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F0C" w:rsidRDefault="00F02F0C" w:rsidP="00F02F0C">
      <w:pPr>
        <w:rPr>
          <w:b/>
          <w:bCs/>
        </w:rPr>
      </w:pPr>
      <w:bookmarkStart w:id="0" w:name="_GoBack"/>
      <w:bookmarkEnd w:id="0"/>
      <w:r w:rsidRPr="00421452">
        <w:rPr>
          <w:b/>
          <w:bCs/>
        </w:rPr>
        <w:t>Supplementary material</w:t>
      </w:r>
    </w:p>
    <w:p w:rsidR="00F02F0C" w:rsidRDefault="00F02F0C" w:rsidP="00F02F0C">
      <w:r>
        <w:t>Appendix S1.</w:t>
      </w:r>
      <w:r w:rsidRPr="00BC4E63">
        <w:t xml:space="preserve"> Estimation of the extent to which identified prey items in fox dietary samples are consumed as carrion or killed by the fox that ate them.</w:t>
      </w:r>
      <w:r>
        <w:t xml:space="preserve"> (Available as separate word document)</w:t>
      </w:r>
    </w:p>
    <w:p w:rsidR="00F02F0C" w:rsidRDefault="00F02F0C" w:rsidP="00F02F0C"/>
    <w:p w:rsidR="00F02F0C" w:rsidRDefault="00F02F0C" w:rsidP="00F02F0C">
      <w:r>
        <w:t xml:space="preserve">Table S1. Description and source of all predictor variables used for fox density, fox diet and cat diet analyses. </w:t>
      </w:r>
    </w:p>
    <w:tbl>
      <w:tblPr>
        <w:tblStyle w:val="TableGrid"/>
        <w:tblW w:w="992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394"/>
        <w:gridCol w:w="3544"/>
      </w:tblGrid>
      <w:tr w:rsidR="00F02F0C" w:rsidRPr="006A72B2" w:rsidTr="00204418">
        <w:trPr>
          <w:trHeight w:val="294"/>
        </w:trPr>
        <w:tc>
          <w:tcPr>
            <w:tcW w:w="1985" w:type="dxa"/>
            <w:tcBorders>
              <w:top w:val="single" w:sz="4" w:space="0" w:color="auto"/>
              <w:bottom w:val="single" w:sz="4" w:space="0" w:color="auto"/>
            </w:tcBorders>
            <w:noWrap/>
            <w:hideMark/>
          </w:tcPr>
          <w:p w:rsidR="00F02F0C" w:rsidRPr="006A72B2" w:rsidRDefault="00F02F0C" w:rsidP="00204418">
            <w:r w:rsidRPr="006A72B2">
              <w:t>Predictor variable</w:t>
            </w:r>
          </w:p>
        </w:tc>
        <w:tc>
          <w:tcPr>
            <w:tcW w:w="4394" w:type="dxa"/>
            <w:tcBorders>
              <w:top w:val="single" w:sz="4" w:space="0" w:color="auto"/>
              <w:bottom w:val="single" w:sz="4" w:space="0" w:color="auto"/>
            </w:tcBorders>
            <w:hideMark/>
          </w:tcPr>
          <w:p w:rsidR="00F02F0C" w:rsidRPr="006A72B2" w:rsidRDefault="00F02F0C" w:rsidP="00204418">
            <w:r w:rsidRPr="006A72B2">
              <w:t>Description</w:t>
            </w:r>
          </w:p>
        </w:tc>
        <w:tc>
          <w:tcPr>
            <w:tcW w:w="3544" w:type="dxa"/>
            <w:tcBorders>
              <w:top w:val="single" w:sz="4" w:space="0" w:color="auto"/>
              <w:bottom w:val="single" w:sz="4" w:space="0" w:color="auto"/>
            </w:tcBorders>
            <w:hideMark/>
          </w:tcPr>
          <w:p w:rsidR="00F02F0C" w:rsidRPr="006A72B2" w:rsidRDefault="00F02F0C" w:rsidP="00204418">
            <w:r w:rsidRPr="006A72B2">
              <w:t>Source</w:t>
            </w:r>
          </w:p>
        </w:tc>
      </w:tr>
      <w:tr w:rsidR="00F02F0C" w:rsidRPr="006A72B2" w:rsidTr="00204418">
        <w:trPr>
          <w:trHeight w:val="883"/>
        </w:trPr>
        <w:tc>
          <w:tcPr>
            <w:tcW w:w="1985" w:type="dxa"/>
            <w:tcBorders>
              <w:top w:val="single" w:sz="4" w:space="0" w:color="auto"/>
            </w:tcBorders>
            <w:noWrap/>
            <w:hideMark/>
          </w:tcPr>
          <w:p w:rsidR="00F02F0C" w:rsidRPr="006A72B2" w:rsidRDefault="00F02F0C" w:rsidP="00204418">
            <w:r w:rsidRPr="006A72B2">
              <w:t>Mean annual temperature</w:t>
            </w:r>
          </w:p>
        </w:tc>
        <w:tc>
          <w:tcPr>
            <w:tcW w:w="4394" w:type="dxa"/>
            <w:tcBorders>
              <w:top w:val="single" w:sz="4" w:space="0" w:color="auto"/>
            </w:tcBorders>
            <w:hideMark/>
          </w:tcPr>
          <w:p w:rsidR="00F02F0C" w:rsidRPr="006A72B2" w:rsidRDefault="00F02F0C" w:rsidP="00204418">
            <w:r w:rsidRPr="006A72B2">
              <w:t>Mean annual temperature (°C) averaged over 1961-1990.</w:t>
            </w:r>
          </w:p>
        </w:tc>
        <w:tc>
          <w:tcPr>
            <w:tcW w:w="3544" w:type="dxa"/>
            <w:tcBorders>
              <w:top w:val="single" w:sz="4" w:space="0" w:color="auto"/>
            </w:tcBorders>
            <w:hideMark/>
          </w:tcPr>
          <w:p w:rsidR="00F02F0C" w:rsidRPr="006A72B2" w:rsidRDefault="00F02F0C" w:rsidP="00204418">
            <w:r w:rsidRPr="006A72B2">
              <w:t>Australian Bureau of Meteorology, (2016a) Average Annual and Monthly Maximum, Minimum, and Mean Temperature</w:t>
            </w:r>
          </w:p>
        </w:tc>
      </w:tr>
      <w:tr w:rsidR="00F02F0C" w:rsidRPr="006A72B2" w:rsidTr="00204418">
        <w:trPr>
          <w:trHeight w:val="588"/>
        </w:trPr>
        <w:tc>
          <w:tcPr>
            <w:tcW w:w="1985" w:type="dxa"/>
            <w:noWrap/>
            <w:hideMark/>
          </w:tcPr>
          <w:p w:rsidR="00F02F0C" w:rsidRPr="006A72B2" w:rsidRDefault="00F02F0C" w:rsidP="00204418">
            <w:r w:rsidRPr="006A72B2">
              <w:t>Mean annual rainfall</w:t>
            </w:r>
          </w:p>
        </w:tc>
        <w:tc>
          <w:tcPr>
            <w:tcW w:w="4394" w:type="dxa"/>
            <w:hideMark/>
          </w:tcPr>
          <w:p w:rsidR="00F02F0C" w:rsidRPr="006A72B2" w:rsidRDefault="00F02F0C" w:rsidP="00204418">
            <w:r w:rsidRPr="006A72B2">
              <w:t>Mean annual precipitation (mm) averaged over 1961-1990.</w:t>
            </w:r>
          </w:p>
        </w:tc>
        <w:tc>
          <w:tcPr>
            <w:tcW w:w="3544" w:type="dxa"/>
            <w:hideMark/>
          </w:tcPr>
          <w:p w:rsidR="00F02F0C" w:rsidRPr="006A72B2" w:rsidRDefault="00F02F0C" w:rsidP="00204418">
            <w:r w:rsidRPr="006A72B2">
              <w:rPr>
                <w:lang w:val="en-US"/>
              </w:rPr>
              <w:t>Australian Bureau of Meteorology, (2016b) Average Annual, Seasonal and Monthly Rainfall.</w:t>
            </w:r>
          </w:p>
        </w:tc>
      </w:tr>
      <w:tr w:rsidR="00F02F0C" w:rsidRPr="006A72B2" w:rsidTr="00204418">
        <w:trPr>
          <w:trHeight w:val="1472"/>
        </w:trPr>
        <w:tc>
          <w:tcPr>
            <w:tcW w:w="1985" w:type="dxa"/>
            <w:noWrap/>
            <w:hideMark/>
          </w:tcPr>
          <w:p w:rsidR="00F02F0C" w:rsidRPr="006A72B2" w:rsidRDefault="00F02F0C" w:rsidP="00204418">
            <w:r w:rsidRPr="006A72B2">
              <w:t>Mean tree cover</w:t>
            </w:r>
          </w:p>
        </w:tc>
        <w:tc>
          <w:tcPr>
            <w:tcW w:w="4394" w:type="dxa"/>
            <w:hideMark/>
          </w:tcPr>
          <w:p w:rsidR="00F02F0C" w:rsidRPr="006A72B2" w:rsidRDefault="00F02F0C" w:rsidP="00204418">
            <w:bookmarkStart w:id="1" w:name="RANGE!B4"/>
            <w:r w:rsidRPr="006A72B2">
              <w:t>MODIS satellite-derived tree cover (percentage green vegetation cover) within a 5 km radius of the study site.</w:t>
            </w:r>
            <w:bookmarkEnd w:id="1"/>
          </w:p>
        </w:tc>
        <w:tc>
          <w:tcPr>
            <w:tcW w:w="3544" w:type="dxa"/>
            <w:hideMark/>
          </w:tcPr>
          <w:p w:rsidR="00F02F0C" w:rsidRPr="006A72B2" w:rsidRDefault="00F02F0C" w:rsidP="00204418">
            <w:r w:rsidRPr="006A72B2">
              <w:t xml:space="preserve">Hansen, M. C., R. S. </w:t>
            </w:r>
            <w:proofErr w:type="spellStart"/>
            <w:r w:rsidRPr="006A72B2">
              <w:t>DeFries</w:t>
            </w:r>
            <w:proofErr w:type="spellEnd"/>
            <w:r w:rsidRPr="006A72B2">
              <w:t xml:space="preserve">, J. R. G. Townshend, M. Carroll, C. </w:t>
            </w:r>
            <w:proofErr w:type="spellStart"/>
            <w:r w:rsidRPr="006A72B2">
              <w:t>Dimiceli</w:t>
            </w:r>
            <w:proofErr w:type="spellEnd"/>
            <w:r w:rsidRPr="006A72B2">
              <w:t xml:space="preserve"> &amp; R. A. </w:t>
            </w:r>
            <w:proofErr w:type="spellStart"/>
            <w:r w:rsidRPr="006A72B2">
              <w:t>Sohlberg</w:t>
            </w:r>
            <w:proofErr w:type="spellEnd"/>
            <w:r w:rsidRPr="006A72B2">
              <w:t xml:space="preserve"> (2003) Global percent tree cover at a spatial resolution of 500 m: first results of the MODIS vegetation continuous fields algorithm. </w:t>
            </w:r>
            <w:r w:rsidRPr="006A72B2">
              <w:rPr>
                <w:i/>
                <w:iCs/>
              </w:rPr>
              <w:t>Earth Interactions,</w:t>
            </w:r>
            <w:r w:rsidRPr="006A72B2">
              <w:t xml:space="preserve"> 7.</w:t>
            </w:r>
          </w:p>
        </w:tc>
      </w:tr>
      <w:tr w:rsidR="00F02F0C" w:rsidRPr="006A72B2" w:rsidTr="00204418">
        <w:trPr>
          <w:trHeight w:val="883"/>
        </w:trPr>
        <w:tc>
          <w:tcPr>
            <w:tcW w:w="1985" w:type="dxa"/>
            <w:noWrap/>
            <w:hideMark/>
          </w:tcPr>
          <w:p w:rsidR="00F02F0C" w:rsidRPr="006A72B2" w:rsidRDefault="00F02F0C" w:rsidP="00204418">
            <w:r w:rsidRPr="006A72B2">
              <w:t>Topographic ruggedness</w:t>
            </w:r>
          </w:p>
        </w:tc>
        <w:tc>
          <w:tcPr>
            <w:tcW w:w="4394" w:type="dxa"/>
            <w:hideMark/>
          </w:tcPr>
          <w:p w:rsidR="00F02F0C" w:rsidRPr="006A72B2" w:rsidRDefault="00F02F0C" w:rsidP="00204418">
            <w:r w:rsidRPr="006A72B2">
              <w:t>Standard deviation of elevation (m) within a 5 km radius of the study site.</w:t>
            </w:r>
          </w:p>
        </w:tc>
        <w:tc>
          <w:tcPr>
            <w:tcW w:w="3544" w:type="dxa"/>
            <w:hideMark/>
          </w:tcPr>
          <w:p w:rsidR="00F02F0C" w:rsidRPr="006A72B2" w:rsidRDefault="00F02F0C" w:rsidP="00204418">
            <w:r w:rsidRPr="006A72B2">
              <w:rPr>
                <w:lang w:val="en-US"/>
              </w:rPr>
              <w:t>Jarvis, A., H. I. Reuter, A. Nelson &amp; E. Guevara, (2008) Hole-filled SRTM for the globe Version 4 available from the CGIAR-CSI SRTM 90m Database.</w:t>
            </w:r>
          </w:p>
        </w:tc>
      </w:tr>
      <w:tr w:rsidR="00F02F0C" w:rsidRPr="006A72B2" w:rsidTr="00204418">
        <w:trPr>
          <w:trHeight w:val="294"/>
        </w:trPr>
        <w:tc>
          <w:tcPr>
            <w:tcW w:w="1985" w:type="dxa"/>
            <w:noWrap/>
            <w:hideMark/>
          </w:tcPr>
          <w:p w:rsidR="00F02F0C" w:rsidRPr="006A72B2" w:rsidRDefault="00F02F0C" w:rsidP="00204418">
            <w:r w:rsidRPr="006A72B2">
              <w:t>Distance from the coast</w:t>
            </w:r>
          </w:p>
        </w:tc>
        <w:tc>
          <w:tcPr>
            <w:tcW w:w="4394" w:type="dxa"/>
            <w:hideMark/>
          </w:tcPr>
          <w:p w:rsidR="00F02F0C" w:rsidRPr="006A72B2" w:rsidRDefault="00F02F0C" w:rsidP="00204418">
            <w:r w:rsidRPr="006A72B2">
              <w:t xml:space="preserve">Distance to the coast (km) calculated as distance to the nearest coastline using GIS. </w:t>
            </w:r>
          </w:p>
        </w:tc>
        <w:tc>
          <w:tcPr>
            <w:tcW w:w="3544" w:type="dxa"/>
            <w:hideMark/>
          </w:tcPr>
          <w:p w:rsidR="00F02F0C" w:rsidRPr="006A72B2" w:rsidRDefault="00F02F0C" w:rsidP="00204418"/>
        </w:tc>
      </w:tr>
      <w:tr w:rsidR="00F02F0C" w:rsidRPr="006A72B2" w:rsidTr="00204418">
        <w:trPr>
          <w:trHeight w:val="588"/>
        </w:trPr>
        <w:tc>
          <w:tcPr>
            <w:tcW w:w="1985" w:type="dxa"/>
            <w:noWrap/>
            <w:hideMark/>
          </w:tcPr>
          <w:p w:rsidR="00F02F0C" w:rsidRPr="006A72B2" w:rsidRDefault="00F02F0C" w:rsidP="00204418">
            <w:r w:rsidRPr="006A72B2">
              <w:t>Mean human population density</w:t>
            </w:r>
          </w:p>
        </w:tc>
        <w:tc>
          <w:tcPr>
            <w:tcW w:w="4394" w:type="dxa"/>
            <w:hideMark/>
          </w:tcPr>
          <w:p w:rsidR="00F02F0C" w:rsidRPr="006A72B2" w:rsidRDefault="00F02F0C" w:rsidP="00204418">
            <w:r w:rsidRPr="006A72B2">
              <w:t>Mean human population within a 5 km radius of the study site.</w:t>
            </w:r>
          </w:p>
        </w:tc>
        <w:tc>
          <w:tcPr>
            <w:tcW w:w="3544" w:type="dxa"/>
            <w:hideMark/>
          </w:tcPr>
          <w:p w:rsidR="00F02F0C" w:rsidRPr="006A72B2" w:rsidRDefault="00F02F0C" w:rsidP="00204418">
            <w:r w:rsidRPr="006A72B2">
              <w:rPr>
                <w:lang w:val="en-US"/>
              </w:rPr>
              <w:t xml:space="preserve">Australian Bureau of Statistics. (2014). </w:t>
            </w:r>
            <w:r w:rsidRPr="006A72B2">
              <w:rPr>
                <w:i/>
                <w:iCs/>
                <w:lang w:val="en-US"/>
              </w:rPr>
              <w:t>Australian population grid, 2011.</w:t>
            </w:r>
          </w:p>
        </w:tc>
      </w:tr>
      <w:tr w:rsidR="00F02F0C" w:rsidRPr="006A72B2" w:rsidTr="00204418">
        <w:trPr>
          <w:trHeight w:val="567"/>
        </w:trPr>
        <w:tc>
          <w:tcPr>
            <w:tcW w:w="1985" w:type="dxa"/>
            <w:noWrap/>
            <w:hideMark/>
          </w:tcPr>
          <w:p w:rsidR="00F02F0C" w:rsidRPr="006A72B2" w:rsidRDefault="00F02F0C" w:rsidP="00204418">
            <w:r w:rsidRPr="006A72B2">
              <w:t>Vegetation disturbance</w:t>
            </w:r>
          </w:p>
        </w:tc>
        <w:tc>
          <w:tcPr>
            <w:tcW w:w="4394" w:type="dxa"/>
            <w:hideMark/>
          </w:tcPr>
          <w:p w:rsidR="00F02F0C" w:rsidRPr="006A72B2" w:rsidRDefault="00F02F0C" w:rsidP="00204418">
            <w:bookmarkStart w:id="2" w:name="RANGE!B8"/>
            <w:r w:rsidRPr="006A72B2">
              <w:t xml:space="preserve">Mean vegetation disturbance within a 5 km radius of the study site taken from the 'vegetation assets and states and transitions classification' (VAST) of Australian vegetation. The VAST classification categorises vegetation by the degree of modification from least to most intact: 0=bare,1= residual, 2=modified, 3=transformed, 4-5=replaced, 6=removed. For the purposes of our study natural 'bare' vegetation was combined with 'residual' vegetation. When averaged across a study site, VAST categories were converted to a continuous measure of vegetation disturbance ranging from 1 (least disturbed) to 5 (most disturbed). </w:t>
            </w:r>
            <w:bookmarkEnd w:id="2"/>
          </w:p>
        </w:tc>
        <w:tc>
          <w:tcPr>
            <w:tcW w:w="3544" w:type="dxa"/>
            <w:hideMark/>
          </w:tcPr>
          <w:p w:rsidR="00F02F0C" w:rsidRPr="006A72B2" w:rsidRDefault="00F02F0C" w:rsidP="00204418">
            <w:r w:rsidRPr="006A72B2">
              <w:t xml:space="preserve">Australia State of the Environment (2017). </w:t>
            </w:r>
            <w:r w:rsidRPr="006A72B2">
              <w:rPr>
                <w:i/>
                <w:iCs/>
              </w:rPr>
              <w:t>Land VAST classification of Australian vegetation, 2016.</w:t>
            </w:r>
          </w:p>
        </w:tc>
      </w:tr>
    </w:tbl>
    <w:p w:rsidR="00F02F0C" w:rsidRDefault="00F02F0C" w:rsidP="00F02F0C">
      <w:r>
        <w:lastRenderedPageBreak/>
        <w:t>Table S2. Complete list of fox diet studies used to provide frequency of occurrence estimates of reptiles, birds, and mammals in fox diets (scats and/or stomachs).</w:t>
      </w:r>
    </w:p>
    <w:p w:rsidR="00F02F0C" w:rsidRDefault="00F02F0C" w:rsidP="00F02F0C">
      <w:r>
        <w:t>(Available as separate excel workbook)</w:t>
      </w:r>
    </w:p>
    <w:p w:rsidR="00F02F0C" w:rsidRDefault="00F02F0C" w:rsidP="00F02F0C">
      <w:pPr>
        <w:sectPr w:rsidR="00F02F0C" w:rsidSect="00DF366D">
          <w:footerReference w:type="default" r:id="rId4"/>
          <w:pgSz w:w="11906" w:h="16838"/>
          <w:pgMar w:top="1440" w:right="1440" w:bottom="1440" w:left="1440" w:header="708" w:footer="708" w:gutter="0"/>
          <w:lnNumType w:countBy="1" w:restart="continuous"/>
          <w:cols w:space="708"/>
          <w:docGrid w:linePitch="360"/>
        </w:sectPr>
      </w:pPr>
    </w:p>
    <w:p w:rsidR="00F02F0C" w:rsidRDefault="00F02F0C" w:rsidP="00F02F0C">
      <w:r>
        <w:lastRenderedPageBreak/>
        <w:t xml:space="preserve">Table S3. Relative variable importance for all predictor variables used for modelling the frequency of occurrence of each major prey group in fox diets, including and excluding the four island sites. Bolded values highlight significant variables (RVI </w:t>
      </w:r>
      <w:r>
        <w:rPr>
          <w:rFonts w:cstheme="minorHAnsi"/>
        </w:rPr>
        <w:t>≥</w:t>
      </w:r>
      <w:r>
        <w:t xml:space="preserve">0.73). </w:t>
      </w:r>
    </w:p>
    <w:tbl>
      <w:tblPr>
        <w:tblW w:w="14714" w:type="dxa"/>
        <w:tblLook w:val="04A0" w:firstRow="1" w:lastRow="0" w:firstColumn="1" w:lastColumn="0" w:noHBand="0" w:noVBand="1"/>
      </w:tblPr>
      <w:tblGrid>
        <w:gridCol w:w="3231"/>
        <w:gridCol w:w="1982"/>
        <w:gridCol w:w="1436"/>
        <w:gridCol w:w="2205"/>
        <w:gridCol w:w="1199"/>
        <w:gridCol w:w="2274"/>
        <w:gridCol w:w="1281"/>
        <w:gridCol w:w="1384"/>
      </w:tblGrid>
      <w:tr w:rsidR="00F02F0C" w:rsidRPr="0008057E" w:rsidTr="00204418">
        <w:trPr>
          <w:trHeight w:val="399"/>
        </w:trPr>
        <w:tc>
          <w:tcPr>
            <w:tcW w:w="3231"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Prey group</w:t>
            </w:r>
          </w:p>
        </w:tc>
        <w:tc>
          <w:tcPr>
            <w:tcW w:w="1982"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Vegetation disturbance</w:t>
            </w:r>
          </w:p>
        </w:tc>
        <w:tc>
          <w:tcPr>
            <w:tcW w:w="1436"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Distance to coast</w:t>
            </w:r>
          </w:p>
        </w:tc>
        <w:tc>
          <w:tcPr>
            <w:tcW w:w="2205"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Mean annual temperature</w:t>
            </w:r>
          </w:p>
        </w:tc>
        <w:tc>
          <w:tcPr>
            <w:tcW w:w="923"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Vegetation</w:t>
            </w:r>
            <w:r w:rsidRPr="0008057E">
              <w:rPr>
                <w:rFonts w:ascii="Calibri" w:eastAsia="Times New Roman" w:hAnsi="Calibri" w:cs="Calibri"/>
                <w:color w:val="000000"/>
                <w:lang w:eastAsia="en-AU"/>
              </w:rPr>
              <w:t xml:space="preserve"> cover</w:t>
            </w:r>
          </w:p>
        </w:tc>
        <w:tc>
          <w:tcPr>
            <w:tcW w:w="2274"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Human population density</w:t>
            </w:r>
          </w:p>
        </w:tc>
        <w:tc>
          <w:tcPr>
            <w:tcW w:w="1279"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Ruggedness</w:t>
            </w:r>
          </w:p>
        </w:tc>
        <w:tc>
          <w:tcPr>
            <w:tcW w:w="1384" w:type="dxa"/>
            <w:tcBorders>
              <w:top w:val="single" w:sz="4" w:space="0" w:color="auto"/>
              <w:left w:val="nil"/>
              <w:bottom w:val="single" w:sz="4" w:space="0" w:color="auto"/>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Proportion scats</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Reptile </w:t>
            </w:r>
            <w:r w:rsidRPr="0008057E">
              <w:rPr>
                <w:rFonts w:ascii="Calibri" w:eastAsia="Times New Roman" w:hAnsi="Calibri" w:cs="Calibri"/>
                <w:i/>
                <w:iCs/>
                <w:color w:val="000000"/>
                <w:lang w:eastAsia="en-AU"/>
              </w:rPr>
              <w:t>including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0.92</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0.33</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0.98</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0.95</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0.27</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0.31</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0.26</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Reptile ex</w:t>
            </w:r>
            <w:r w:rsidRPr="0008057E">
              <w:rPr>
                <w:rFonts w:ascii="Calibri" w:eastAsia="Times New Roman" w:hAnsi="Calibri" w:cs="Calibri"/>
                <w:i/>
                <w:iCs/>
                <w:color w:val="000000"/>
                <w:lang w:eastAsia="en-AU"/>
              </w:rPr>
              <w:t>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0.94</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0.29</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0.94</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0.98</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0.27</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0.30</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0.25</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Bird </w:t>
            </w:r>
            <w:r w:rsidRPr="0008057E">
              <w:rPr>
                <w:rFonts w:ascii="Calibri" w:eastAsia="Times New Roman" w:hAnsi="Calibri" w:cs="Calibri"/>
                <w:i/>
                <w:iCs/>
                <w:color w:val="000000"/>
                <w:lang w:eastAsia="en-AU"/>
              </w:rPr>
              <w:t>including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0.83</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0.45</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0.32</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0.27</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0.97</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Bird ex</w:t>
            </w:r>
            <w:r w:rsidRPr="0008057E">
              <w:rPr>
                <w:rFonts w:ascii="Calibri" w:eastAsia="Times New Roman" w:hAnsi="Calibri" w:cs="Calibri"/>
                <w:i/>
                <w:iCs/>
                <w:color w:val="000000"/>
                <w:lang w:eastAsia="en-AU"/>
              </w:rPr>
              <w:t>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0.77</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0.98</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0.30</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0.65</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0.27</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0.61</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Native mammals </w:t>
            </w:r>
            <w:r w:rsidRPr="0008057E">
              <w:rPr>
                <w:rFonts w:ascii="Calibri" w:eastAsia="Times New Roman" w:hAnsi="Calibri" w:cs="Calibri"/>
                <w:i/>
                <w:iCs/>
                <w:color w:val="000000"/>
                <w:lang w:eastAsia="en-AU"/>
              </w:rPr>
              <w:t>including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0.41</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0.28</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0.57</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0.31</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0.29</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0.31</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Native mammals </w:t>
            </w:r>
            <w:r w:rsidRPr="0008057E">
              <w:rPr>
                <w:rFonts w:ascii="Calibri" w:eastAsia="Times New Roman" w:hAnsi="Calibri" w:cs="Calibri"/>
                <w:i/>
                <w:iCs/>
                <w:color w:val="000000"/>
                <w:lang w:eastAsia="en-AU"/>
              </w:rPr>
              <w:t>excluding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0.46</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0.54</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0.43</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0.41</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0.33</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0.26</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Times New Roman" w:eastAsia="Times New Roman" w:hAnsi="Times New Roman" w:cs="Times New Roman"/>
                <w:sz w:val="20"/>
                <w:szCs w:val="20"/>
                <w:lang w:eastAsia="en-AU"/>
              </w:rPr>
            </w:pP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Introduced mammals </w:t>
            </w:r>
            <w:r w:rsidRPr="0008057E">
              <w:rPr>
                <w:rFonts w:ascii="Calibri" w:eastAsia="Times New Roman" w:hAnsi="Calibri" w:cs="Calibri"/>
                <w:i/>
                <w:iCs/>
                <w:color w:val="000000"/>
                <w:lang w:eastAsia="en-AU"/>
              </w:rPr>
              <w:t>including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0.98</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0.30</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0.43</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0.99</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0.38</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0.91</w:t>
            </w:r>
          </w:p>
        </w:tc>
      </w:tr>
      <w:tr w:rsidR="00F02F0C" w:rsidRPr="0008057E" w:rsidTr="00204418">
        <w:trPr>
          <w:trHeight w:val="399"/>
        </w:trPr>
        <w:tc>
          <w:tcPr>
            <w:tcW w:w="3231" w:type="dxa"/>
            <w:tcBorders>
              <w:top w:val="nil"/>
              <w:left w:val="nil"/>
              <w:bottom w:val="nil"/>
              <w:right w:val="nil"/>
            </w:tcBorders>
            <w:shd w:val="clear" w:color="auto" w:fill="auto"/>
            <w:noWrap/>
            <w:vAlign w:val="center"/>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xml:space="preserve">Introduced mammals </w:t>
            </w:r>
            <w:r w:rsidRPr="0008057E">
              <w:rPr>
                <w:rFonts w:ascii="Calibri" w:eastAsia="Times New Roman" w:hAnsi="Calibri" w:cs="Calibri"/>
                <w:i/>
                <w:iCs/>
                <w:color w:val="000000"/>
                <w:lang w:eastAsia="en-AU"/>
              </w:rPr>
              <w:t>excluding islands</w:t>
            </w:r>
          </w:p>
        </w:tc>
        <w:tc>
          <w:tcPr>
            <w:tcW w:w="1982"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1436"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0.31</w:t>
            </w:r>
          </w:p>
        </w:tc>
        <w:tc>
          <w:tcPr>
            <w:tcW w:w="2205"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0.55</w:t>
            </w:r>
          </w:p>
        </w:tc>
        <w:tc>
          <w:tcPr>
            <w:tcW w:w="923"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227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1.00</w:t>
            </w:r>
          </w:p>
        </w:tc>
        <w:tc>
          <w:tcPr>
            <w:tcW w:w="1279"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0.36</w:t>
            </w:r>
          </w:p>
        </w:tc>
        <w:tc>
          <w:tcPr>
            <w:tcW w:w="1384" w:type="dxa"/>
            <w:tcBorders>
              <w:top w:val="nil"/>
              <w:left w:val="nil"/>
              <w:bottom w:val="nil"/>
              <w:right w:val="nil"/>
            </w:tcBorders>
            <w:shd w:val="clear" w:color="auto" w:fill="auto"/>
            <w:noWrap/>
            <w:vAlign w:val="center"/>
            <w:hideMark/>
          </w:tcPr>
          <w:p w:rsidR="00F02F0C" w:rsidRPr="0008057E" w:rsidRDefault="00F02F0C" w:rsidP="00204418">
            <w:pPr>
              <w:spacing w:line="240" w:lineRule="auto"/>
              <w:jc w:val="center"/>
              <w:rPr>
                <w:rFonts w:ascii="Calibri" w:eastAsia="Times New Roman" w:hAnsi="Calibri" w:cs="Calibri"/>
                <w:b/>
                <w:bCs/>
                <w:color w:val="000000"/>
                <w:lang w:eastAsia="en-AU"/>
              </w:rPr>
            </w:pPr>
            <w:r w:rsidRPr="0008057E">
              <w:rPr>
                <w:rFonts w:ascii="Calibri" w:eastAsia="Times New Roman" w:hAnsi="Calibri" w:cs="Calibri"/>
                <w:b/>
                <w:bCs/>
                <w:color w:val="000000"/>
                <w:lang w:eastAsia="en-AU"/>
              </w:rPr>
              <w:t>0.97</w:t>
            </w:r>
          </w:p>
        </w:tc>
      </w:tr>
      <w:tr w:rsidR="00F02F0C" w:rsidRPr="0008057E" w:rsidTr="00204418">
        <w:trPr>
          <w:trHeight w:val="399"/>
        </w:trPr>
        <w:tc>
          <w:tcPr>
            <w:tcW w:w="3231"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1982"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1436"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2205"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923"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2274"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1279"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c>
          <w:tcPr>
            <w:tcW w:w="1384" w:type="dxa"/>
            <w:tcBorders>
              <w:top w:val="nil"/>
              <w:left w:val="nil"/>
              <w:bottom w:val="single" w:sz="4" w:space="0" w:color="auto"/>
              <w:right w:val="nil"/>
            </w:tcBorders>
            <w:shd w:val="clear" w:color="auto" w:fill="auto"/>
            <w:noWrap/>
            <w:vAlign w:val="bottom"/>
            <w:hideMark/>
          </w:tcPr>
          <w:p w:rsidR="00F02F0C" w:rsidRPr="0008057E" w:rsidRDefault="00F02F0C" w:rsidP="00204418">
            <w:pPr>
              <w:spacing w:line="240" w:lineRule="auto"/>
              <w:jc w:val="center"/>
              <w:rPr>
                <w:rFonts w:ascii="Calibri" w:eastAsia="Times New Roman" w:hAnsi="Calibri" w:cs="Calibri"/>
                <w:color w:val="000000"/>
                <w:lang w:eastAsia="en-AU"/>
              </w:rPr>
            </w:pPr>
            <w:r w:rsidRPr="0008057E">
              <w:rPr>
                <w:rFonts w:ascii="Calibri" w:eastAsia="Times New Roman" w:hAnsi="Calibri" w:cs="Calibri"/>
                <w:color w:val="000000"/>
                <w:lang w:eastAsia="en-AU"/>
              </w:rPr>
              <w:t> </w:t>
            </w:r>
          </w:p>
        </w:tc>
      </w:tr>
    </w:tbl>
    <w:p w:rsidR="00F02F0C" w:rsidRDefault="00F02F0C" w:rsidP="00F02F0C"/>
    <w:p w:rsidR="00F02F0C" w:rsidRDefault="00F02F0C" w:rsidP="00F02F0C">
      <w:pPr>
        <w:spacing w:line="240" w:lineRule="auto"/>
      </w:pPr>
    </w:p>
    <w:p w:rsidR="00F02F0C" w:rsidRDefault="00F02F0C" w:rsidP="00F02F0C">
      <w:pPr>
        <w:spacing w:line="240" w:lineRule="auto"/>
      </w:pPr>
    </w:p>
    <w:p w:rsidR="00F02F0C" w:rsidRDefault="00F02F0C" w:rsidP="00F02F0C">
      <w:pPr>
        <w:spacing w:after="160" w:line="259" w:lineRule="auto"/>
      </w:pPr>
      <w:r>
        <w:br w:type="page"/>
      </w:r>
    </w:p>
    <w:p w:rsidR="00F02F0C" w:rsidRDefault="00F02F0C" w:rsidP="00F02F0C">
      <w:pPr>
        <w:spacing w:line="240" w:lineRule="auto"/>
      </w:pPr>
      <w:r>
        <w:lastRenderedPageBreak/>
        <w:t xml:space="preserve">Table S4. </w:t>
      </w:r>
      <w:r w:rsidRPr="00877C42">
        <w:t xml:space="preserve">Model ranking table for </w:t>
      </w:r>
      <w:r>
        <w:t xml:space="preserve">models to explain spatial variation in fox density. </w:t>
      </w:r>
      <w:r w:rsidRPr="00877C42">
        <w:t xml:space="preserve">Models were ranked according to </w:t>
      </w:r>
      <w:r>
        <w:t xml:space="preserve">increasing </w:t>
      </w:r>
      <w:proofErr w:type="spellStart"/>
      <w:r w:rsidRPr="00877C42">
        <w:t>AIC</w:t>
      </w:r>
      <w:r w:rsidRPr="00877C42">
        <w:rPr>
          <w:vertAlign w:val="subscript"/>
        </w:rPr>
        <w:t>c</w:t>
      </w:r>
      <w:proofErr w:type="spellEnd"/>
      <w:r w:rsidRPr="00877C42">
        <w:t xml:space="preserve">. </w:t>
      </w:r>
      <w:proofErr w:type="spellStart"/>
      <w:r w:rsidRPr="00877C42">
        <w:t>ΔAIC</w:t>
      </w:r>
      <w:r w:rsidRPr="00877C42">
        <w:rPr>
          <w:vertAlign w:val="subscript"/>
        </w:rPr>
        <w:t>c</w:t>
      </w:r>
      <w:proofErr w:type="spellEnd"/>
      <w:r w:rsidRPr="00877C42">
        <w:t xml:space="preserve"> represents the difference between a model's </w:t>
      </w:r>
      <w:proofErr w:type="spellStart"/>
      <w:r w:rsidRPr="00877C42">
        <w:t>AIC</w:t>
      </w:r>
      <w:r w:rsidRPr="00877C42">
        <w:rPr>
          <w:vertAlign w:val="subscript"/>
        </w:rPr>
        <w:t>c</w:t>
      </w:r>
      <w:proofErr w:type="spellEnd"/>
      <w:r w:rsidRPr="00877C42">
        <w:t xml:space="preserve"> value and the minimum </w:t>
      </w:r>
      <w:proofErr w:type="spellStart"/>
      <w:r w:rsidRPr="00877C42">
        <w:t>AIC</w:t>
      </w:r>
      <w:r w:rsidRPr="00877C42">
        <w:rPr>
          <w:vertAlign w:val="subscript"/>
        </w:rPr>
        <w:t>c</w:t>
      </w:r>
      <w:proofErr w:type="spellEnd"/>
      <w:r w:rsidRPr="00877C42">
        <w:t xml:space="preserve"> value in the set of candidate models. </w:t>
      </w:r>
      <w:proofErr w:type="spellStart"/>
      <w:r>
        <w:t>w</w:t>
      </w:r>
      <w:r w:rsidRPr="00C22055">
        <w:rPr>
          <w:i/>
          <w:iCs/>
          <w:vertAlign w:val="subscript"/>
        </w:rPr>
        <w:t>i</w:t>
      </w:r>
      <w:proofErr w:type="spellEnd"/>
      <w:r>
        <w:t xml:space="preserve"> is the </w:t>
      </w:r>
      <w:proofErr w:type="spellStart"/>
      <w:r>
        <w:t>Akaike</w:t>
      </w:r>
      <w:proofErr w:type="spellEnd"/>
      <w:r>
        <w:t xml:space="preserve"> weight, or the probability of the model being the best in the candidate set. </w:t>
      </w:r>
      <w:r w:rsidRPr="00877C42">
        <w:t xml:space="preserve">The set of candidate models included all combinations of the </w:t>
      </w:r>
      <w:r>
        <w:t>six explanatory</w:t>
      </w:r>
      <w:r w:rsidRPr="00877C42">
        <w:t xml:space="preserve"> variables</w:t>
      </w:r>
      <w:r>
        <w:t xml:space="preserve"> (i.e. 64 models)</w:t>
      </w:r>
      <w:r w:rsidRPr="00877C42">
        <w:t xml:space="preserve">, but only the models with </w:t>
      </w:r>
      <w:proofErr w:type="spellStart"/>
      <w:r w:rsidRPr="00877C42">
        <w:t>ΔAIC</w:t>
      </w:r>
      <w:r w:rsidRPr="00877C42">
        <w:rPr>
          <w:vertAlign w:val="subscript"/>
        </w:rPr>
        <w:t>c</w:t>
      </w:r>
      <w:proofErr w:type="spellEnd"/>
      <w:r w:rsidRPr="00877C42">
        <w:t xml:space="preserve"> ≤</w:t>
      </w:r>
      <w:r>
        <w:t>10</w:t>
      </w:r>
      <w:r w:rsidRPr="00877C42">
        <w:t xml:space="preserve"> are shown.</w:t>
      </w:r>
      <w:r>
        <w:t xml:space="preserve"> Relative variable importance (RVI) is also shown for the six explanatory variables; values in bold indicate a clear effect (RVI </w:t>
      </w:r>
      <w:r>
        <w:rPr>
          <w:rFonts w:cstheme="minorHAnsi"/>
        </w:rPr>
        <w:t>≥</w:t>
      </w:r>
      <w:r>
        <w:t>0.73).</w:t>
      </w:r>
    </w:p>
    <w:p w:rsidR="00F02F0C" w:rsidRDefault="00F02F0C" w:rsidP="00F02F0C">
      <w:pPr>
        <w:spacing w:line="240" w:lineRule="auto"/>
      </w:pPr>
    </w:p>
    <w:tbl>
      <w:tblPr>
        <w:tblW w:w="13145" w:type="dxa"/>
        <w:jc w:val="center"/>
        <w:tblLook w:val="04A0" w:firstRow="1" w:lastRow="0" w:firstColumn="1" w:lastColumn="0" w:noHBand="0" w:noVBand="1"/>
      </w:tblPr>
      <w:tblGrid>
        <w:gridCol w:w="1291"/>
        <w:gridCol w:w="1546"/>
        <w:gridCol w:w="1366"/>
        <w:gridCol w:w="1366"/>
        <w:gridCol w:w="1366"/>
        <w:gridCol w:w="1459"/>
        <w:gridCol w:w="1472"/>
        <w:gridCol w:w="1093"/>
        <w:gridCol w:w="1093"/>
        <w:gridCol w:w="1093"/>
      </w:tblGrid>
      <w:tr w:rsidR="00F02F0C" w:rsidRPr="00CB630B" w:rsidTr="00204418">
        <w:trPr>
          <w:trHeight w:val="328"/>
          <w:jc w:val="center"/>
        </w:trPr>
        <w:tc>
          <w:tcPr>
            <w:tcW w:w="1291"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Model rank</w:t>
            </w:r>
          </w:p>
        </w:tc>
        <w:tc>
          <w:tcPr>
            <w:tcW w:w="154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Mean annual temperature</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Human population density</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Tree cover</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Distance to coast</w:t>
            </w:r>
          </w:p>
        </w:tc>
        <w:tc>
          <w:tcPr>
            <w:tcW w:w="1459"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Ruggedness</w:t>
            </w:r>
          </w:p>
        </w:tc>
        <w:tc>
          <w:tcPr>
            <w:tcW w:w="1472"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Disturbance</w:t>
            </w:r>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roofErr w:type="spellStart"/>
            <w:r w:rsidRPr="00CB630B">
              <w:rPr>
                <w:rFonts w:ascii="Calibri" w:eastAsia="Times New Roman" w:hAnsi="Calibri" w:cs="Calibri"/>
                <w:color w:val="000000"/>
                <w:lang w:eastAsia="en-AU"/>
              </w:rPr>
              <w:t>ΔAIC</w:t>
            </w:r>
            <w:r w:rsidRPr="00CB630B">
              <w:rPr>
                <w:rFonts w:ascii="Calibri" w:eastAsia="Times New Roman" w:hAnsi="Calibri" w:cs="Calibri"/>
                <w:color w:val="000000"/>
                <w:vertAlign w:val="subscript"/>
                <w:lang w:eastAsia="en-AU"/>
              </w:rPr>
              <w:t>c</w:t>
            </w:r>
            <w:proofErr w:type="spellEnd"/>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roofErr w:type="spellStart"/>
            <w:r w:rsidRPr="00CB630B">
              <w:rPr>
                <w:rFonts w:ascii="Calibri" w:eastAsia="Times New Roman" w:hAnsi="Calibri" w:cs="Calibri"/>
                <w:color w:val="000000"/>
                <w:lang w:eastAsia="en-AU"/>
              </w:rPr>
              <w:t>w</w:t>
            </w:r>
            <w:r w:rsidRPr="00CB630B">
              <w:rPr>
                <w:rFonts w:ascii="Calibri" w:eastAsia="Times New Roman" w:hAnsi="Calibri" w:cs="Calibri"/>
                <w:i/>
                <w:iCs/>
                <w:color w:val="000000"/>
                <w:vertAlign w:val="subscript"/>
                <w:lang w:eastAsia="en-AU"/>
              </w:rPr>
              <w:t>i</w:t>
            </w:r>
            <w:proofErr w:type="spellEnd"/>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R</w:t>
            </w:r>
            <w:r w:rsidRPr="00CB630B">
              <w:rPr>
                <w:rFonts w:ascii="Calibri" w:eastAsia="Times New Roman" w:hAnsi="Calibri" w:cs="Calibri"/>
                <w:color w:val="000000"/>
                <w:vertAlign w:val="superscript"/>
                <w:lang w:eastAsia="en-AU"/>
              </w:rPr>
              <w:t>2</w:t>
            </w:r>
          </w:p>
        </w:tc>
      </w:tr>
      <w:tr w:rsidR="00F02F0C" w:rsidRPr="00CB630B" w:rsidTr="00204418">
        <w:trPr>
          <w:trHeight w:val="328"/>
          <w:jc w:val="center"/>
        </w:trPr>
        <w:tc>
          <w:tcPr>
            <w:tcW w:w="1291"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w:t>
            </w:r>
          </w:p>
        </w:tc>
        <w:tc>
          <w:tcPr>
            <w:tcW w:w="1546"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59"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72"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093"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w:t>
            </w:r>
          </w:p>
        </w:tc>
        <w:tc>
          <w:tcPr>
            <w:tcW w:w="1093"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0.16</w:t>
            </w:r>
          </w:p>
        </w:tc>
        <w:tc>
          <w:tcPr>
            <w:tcW w:w="1093" w:type="dxa"/>
            <w:tcBorders>
              <w:top w:val="single" w:sz="4" w:space="0" w:color="auto"/>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0.66</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2</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0.12</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0.67</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3</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1.3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0.08</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0.67</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4</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1.4</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0.08</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0.00</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5</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1.4</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0.08</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0.65</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6</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1.6</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0.07</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0.67</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7</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1.8</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0.07</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0.67</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8</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2.0</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0.06</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0.68</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9</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2.3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0.05</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0.68</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10</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2.3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0.05</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0.64</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11</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2.9</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0.04</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0.66</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12</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2.9</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0.04</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0.64</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13</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3.2</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0.68</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14</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3.5</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0.67</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15</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3.6</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0.03</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0.61</w:t>
            </w:r>
          </w:p>
        </w:tc>
      </w:tr>
      <w:tr w:rsidR="00F02F0C" w:rsidRPr="00CB630B" w:rsidTr="00204418">
        <w:trPr>
          <w:trHeight w:val="328"/>
          <w:jc w:val="center"/>
        </w:trPr>
        <w:tc>
          <w:tcPr>
            <w:tcW w:w="1291" w:type="dxa"/>
            <w:tcBorders>
              <w:top w:val="nil"/>
              <w:left w:val="nil"/>
              <w:bottom w:val="nil"/>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16</w:t>
            </w:r>
          </w:p>
        </w:tc>
        <w:tc>
          <w:tcPr>
            <w:tcW w:w="154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59"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472"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4.5</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0.02</w:t>
            </w:r>
          </w:p>
        </w:tc>
        <w:tc>
          <w:tcPr>
            <w:tcW w:w="1093" w:type="dxa"/>
            <w:tcBorders>
              <w:top w:val="nil"/>
              <w:left w:val="nil"/>
              <w:bottom w:val="nil"/>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0.69</w:t>
            </w:r>
          </w:p>
        </w:tc>
      </w:tr>
      <w:tr w:rsidR="00F02F0C" w:rsidRPr="00CB630B" w:rsidTr="00204418">
        <w:trPr>
          <w:trHeight w:val="328"/>
          <w:jc w:val="center"/>
        </w:trPr>
        <w:tc>
          <w:tcPr>
            <w:tcW w:w="1291"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17</w:t>
            </w:r>
          </w:p>
        </w:tc>
        <w:tc>
          <w:tcPr>
            <w:tcW w:w="1546"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366"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366"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366"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59"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472"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w:t>
            </w:r>
          </w:p>
        </w:tc>
        <w:tc>
          <w:tcPr>
            <w:tcW w:w="1093"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8.9</w:t>
            </w:r>
          </w:p>
        </w:tc>
        <w:tc>
          <w:tcPr>
            <w:tcW w:w="1093"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0.00</w:t>
            </w:r>
          </w:p>
        </w:tc>
        <w:tc>
          <w:tcPr>
            <w:tcW w:w="1093" w:type="dxa"/>
            <w:tcBorders>
              <w:top w:val="nil"/>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0.56</w:t>
            </w:r>
          </w:p>
        </w:tc>
      </w:tr>
      <w:tr w:rsidR="00F02F0C" w:rsidRPr="00CB630B" w:rsidTr="00204418">
        <w:trPr>
          <w:trHeight w:val="328"/>
          <w:jc w:val="center"/>
        </w:trPr>
        <w:tc>
          <w:tcPr>
            <w:tcW w:w="1291"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rPr>
                <w:rFonts w:ascii="Calibri" w:eastAsia="Times New Roman" w:hAnsi="Calibri" w:cs="Calibri"/>
                <w:color w:val="000000"/>
                <w:lang w:eastAsia="en-AU"/>
              </w:rPr>
            </w:pPr>
            <w:r w:rsidRPr="00CB630B">
              <w:rPr>
                <w:rFonts w:ascii="Calibri" w:eastAsia="Times New Roman" w:hAnsi="Calibri" w:cs="Calibri"/>
                <w:color w:val="000000"/>
                <w:lang w:eastAsia="en-AU"/>
              </w:rPr>
              <w:t>RVI:</w:t>
            </w:r>
          </w:p>
        </w:tc>
        <w:tc>
          <w:tcPr>
            <w:tcW w:w="154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b/>
                <w:bCs/>
                <w:color w:val="000000"/>
                <w:lang w:eastAsia="en-AU"/>
              </w:rPr>
            </w:pPr>
            <w:r w:rsidRPr="00CB630B">
              <w:rPr>
                <w:rFonts w:ascii="Calibri" w:eastAsia="Times New Roman" w:hAnsi="Calibri" w:cs="Calibri"/>
                <w:b/>
                <w:bCs/>
                <w:color w:val="000000"/>
                <w:lang w:eastAsia="en-AU"/>
              </w:rPr>
              <w:t>1.00</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b/>
                <w:bCs/>
                <w:color w:val="000000"/>
                <w:lang w:eastAsia="en-AU"/>
              </w:rPr>
            </w:pPr>
            <w:r w:rsidRPr="00CB630B">
              <w:rPr>
                <w:rFonts w:ascii="Calibri" w:eastAsia="Times New Roman" w:hAnsi="Calibri" w:cs="Calibri"/>
                <w:b/>
                <w:bCs/>
                <w:color w:val="000000"/>
                <w:lang w:eastAsia="en-AU"/>
              </w:rPr>
              <w:t>1.00</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0.51</w:t>
            </w:r>
          </w:p>
        </w:tc>
        <w:tc>
          <w:tcPr>
            <w:tcW w:w="1366"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0.47</w:t>
            </w:r>
          </w:p>
        </w:tc>
        <w:tc>
          <w:tcPr>
            <w:tcW w:w="1459"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0.43</w:t>
            </w:r>
          </w:p>
        </w:tc>
        <w:tc>
          <w:tcPr>
            <w:tcW w:w="1472"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r w:rsidRPr="00CB630B">
              <w:rPr>
                <w:rFonts w:ascii="Calibri" w:eastAsia="Times New Roman" w:hAnsi="Calibri" w:cs="Calibri"/>
                <w:color w:val="000000"/>
                <w:lang w:eastAsia="en-AU"/>
              </w:rPr>
              <w:t>0.41</w:t>
            </w:r>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Calibri" w:eastAsia="Times New Roman" w:hAnsi="Calibri" w:cs="Calibri"/>
                <w:color w:val="000000"/>
                <w:lang w:eastAsia="en-AU"/>
              </w:rPr>
            </w:pPr>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c>
          <w:tcPr>
            <w:tcW w:w="1093" w:type="dxa"/>
            <w:tcBorders>
              <w:top w:val="single" w:sz="4" w:space="0" w:color="auto"/>
              <w:left w:val="nil"/>
              <w:bottom w:val="single" w:sz="4" w:space="0" w:color="auto"/>
              <w:right w:val="nil"/>
            </w:tcBorders>
            <w:shd w:val="clear" w:color="auto" w:fill="auto"/>
            <w:noWrap/>
            <w:vAlign w:val="center"/>
            <w:hideMark/>
          </w:tcPr>
          <w:p w:rsidR="00F02F0C" w:rsidRPr="00CB630B" w:rsidRDefault="00F02F0C" w:rsidP="00204418">
            <w:pPr>
              <w:spacing w:line="240" w:lineRule="auto"/>
              <w:jc w:val="center"/>
              <w:rPr>
                <w:rFonts w:ascii="Times New Roman" w:eastAsia="Times New Roman" w:hAnsi="Times New Roman" w:cs="Times New Roman"/>
                <w:lang w:eastAsia="en-AU"/>
              </w:rPr>
            </w:pPr>
          </w:p>
        </w:tc>
      </w:tr>
    </w:tbl>
    <w:p w:rsidR="00F02F0C" w:rsidRDefault="00F02F0C" w:rsidP="00F02F0C">
      <w:pPr>
        <w:spacing w:line="240" w:lineRule="auto"/>
      </w:pPr>
    </w:p>
    <w:p w:rsidR="00F02F0C" w:rsidRDefault="00F02F0C" w:rsidP="00F02F0C">
      <w:pPr>
        <w:sectPr w:rsidR="00F02F0C" w:rsidSect="0008057E">
          <w:pgSz w:w="16838" w:h="11906" w:orient="landscape"/>
          <w:pgMar w:top="1440" w:right="1440" w:bottom="1440" w:left="1440" w:header="708" w:footer="708" w:gutter="0"/>
          <w:lnNumType w:countBy="1" w:restart="continuous"/>
          <w:cols w:space="708"/>
          <w:docGrid w:linePitch="360"/>
        </w:sectPr>
      </w:pPr>
    </w:p>
    <w:p w:rsidR="00F02F0C" w:rsidRDefault="00F02F0C" w:rsidP="00F02F0C">
      <w:r>
        <w:rPr>
          <w:noProof/>
          <w:lang w:val="en-US"/>
        </w:rPr>
        <w:lastRenderedPageBreak/>
        <w:drawing>
          <wp:inline distT="0" distB="0" distL="0" distR="0" wp14:anchorId="008CFAC9" wp14:editId="3B7DAA7D">
            <wp:extent cx="4325112" cy="5401056"/>
            <wp:effectExtent l="0" t="0" r="0" b="952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5112" cy="5401056"/>
                    </a:xfrm>
                    <a:prstGeom prst="rect">
                      <a:avLst/>
                    </a:prstGeom>
                  </pic:spPr>
                </pic:pic>
              </a:graphicData>
            </a:graphic>
          </wp:inline>
        </w:drawing>
      </w:r>
    </w:p>
    <w:p w:rsidR="00F02F0C" w:rsidRDefault="00F02F0C" w:rsidP="00F02F0C">
      <w:r>
        <w:t xml:space="preserve">Figure S1. </w:t>
      </w:r>
      <w:r w:rsidRPr="004838AD">
        <w:rPr>
          <w:rFonts w:cstheme="minorHAnsi"/>
        </w:rPr>
        <w:t xml:space="preserve">(a) The occurrence of fox dietary studies used in this study (circles); of the 168 sites all but three occurred on the Australian mainland, the other three sites were located on Phillip </w:t>
      </w:r>
      <w:r>
        <w:rPr>
          <w:rFonts w:cstheme="minorHAnsi"/>
        </w:rPr>
        <w:t>I</w:t>
      </w:r>
      <w:r w:rsidRPr="004838AD">
        <w:rPr>
          <w:rFonts w:cstheme="minorHAnsi"/>
        </w:rPr>
        <w:t xml:space="preserve">sland (2 sites) and Bennison Island (1 site) where fox eradication has since occurred (rough location indicated by black arrow). </w:t>
      </w:r>
      <w:r>
        <w:rPr>
          <w:rFonts w:cstheme="minorHAnsi"/>
        </w:rPr>
        <w:t>(b) The occurrence of fox density studies used in this study, 38 of which occurred in largely natural landscapes, indicated by white circles, and six of which occurred in highly modified environments, indicated by black stars. H</w:t>
      </w:r>
      <w:r w:rsidRPr="004838AD">
        <w:rPr>
          <w:rFonts w:cstheme="minorHAnsi"/>
        </w:rPr>
        <w:t>atching indicates areas outside of the fox’s distributional range.</w:t>
      </w:r>
      <w:r>
        <w:rPr>
          <w:rFonts w:cstheme="minorHAnsi"/>
        </w:rPr>
        <w:t xml:space="preserve"> </w:t>
      </w:r>
      <w:r w:rsidRPr="004838AD">
        <w:rPr>
          <w:rFonts w:cstheme="minorHAnsi"/>
        </w:rPr>
        <w:t>The background map indicates mean annual rainfall (Australian Bureau of Meteorology, 2016).</w:t>
      </w:r>
      <w:r w:rsidRPr="00260182">
        <w:rPr>
          <w:rFonts w:cstheme="minorHAnsi"/>
        </w:rPr>
        <w:t xml:space="preserve"> </w:t>
      </w:r>
      <w:r w:rsidRPr="004838AD">
        <w:rPr>
          <w:rFonts w:cstheme="minorHAnsi"/>
        </w:rPr>
        <w:t>Solid black line indicates the Tropic of Capricorn.</w:t>
      </w:r>
    </w:p>
    <w:p w:rsidR="00F02F0C" w:rsidRDefault="00F02F0C" w:rsidP="00F02F0C">
      <w:pPr>
        <w:spacing w:after="160" w:line="259" w:lineRule="auto"/>
      </w:pPr>
      <w:r>
        <w:br w:type="page"/>
      </w:r>
    </w:p>
    <w:p w:rsidR="00F02F0C" w:rsidRDefault="00F02F0C" w:rsidP="00F02F0C">
      <w:pPr>
        <w:spacing w:after="160" w:line="259" w:lineRule="auto"/>
      </w:pPr>
      <w:r>
        <w:rPr>
          <w:noProof/>
          <w:lang w:val="en-US"/>
        </w:rPr>
        <w:lastRenderedPageBreak/>
        <w:drawing>
          <wp:inline distT="0" distB="0" distL="0" distR="0" wp14:anchorId="5F026376" wp14:editId="79AE9A4D">
            <wp:extent cx="6318309" cy="312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1582" cy="3125818"/>
                    </a:xfrm>
                    <a:prstGeom prst="rect">
                      <a:avLst/>
                    </a:prstGeom>
                    <a:noFill/>
                  </pic:spPr>
                </pic:pic>
              </a:graphicData>
            </a:graphic>
          </wp:inline>
        </w:drawing>
      </w:r>
    </w:p>
    <w:p w:rsidR="00F02F0C" w:rsidRDefault="00F02F0C" w:rsidP="00F02F0C">
      <w:pPr>
        <w:spacing w:after="160" w:line="259" w:lineRule="auto"/>
      </w:pPr>
      <w:r w:rsidRPr="00117B32">
        <w:t>Figure S2. The relationship between fox density and each of: (a) mean annual temperature; and (b) human population density. The circles indicate the raw data; filled circles are observations from urban areas, and unfilled circles are observations elsewhere. The regression lines indicate the predictions of the best model (Table S</w:t>
      </w:r>
      <w:r>
        <w:t>4</w:t>
      </w:r>
      <w:r w:rsidRPr="00117B32">
        <w:t xml:space="preserve">). In (a), all predictor variables other than mean annual temperature were held constant (at their mean value). In (b), all predictor variables other than human population density were held constant (at their mean value). The dashed lines indicate the 95% confidence intervals of the regressions. Note that in (b), 16 </w:t>
      </w:r>
      <w:proofErr w:type="spellStart"/>
      <w:r w:rsidRPr="00117B32">
        <w:t>datapoints</w:t>
      </w:r>
      <w:proofErr w:type="spellEnd"/>
      <w:r w:rsidRPr="00117B32">
        <w:t xml:space="preserve"> had a human population density of zero, such that they could not be plotted on a logarithmic axis; hence, they have been plotted with a value of 0.001.</w:t>
      </w:r>
    </w:p>
    <w:p w:rsidR="00F02F0C" w:rsidRDefault="00F02F0C" w:rsidP="00F02F0C">
      <w:pPr>
        <w:spacing w:after="160" w:line="259" w:lineRule="auto"/>
      </w:pPr>
      <w:r>
        <w:br w:type="page"/>
      </w:r>
    </w:p>
    <w:p w:rsidR="00F02F0C" w:rsidRDefault="00F02F0C" w:rsidP="00F02F0C">
      <w:pPr>
        <w:spacing w:line="240" w:lineRule="auto"/>
        <w:jc w:val="center"/>
      </w:pPr>
      <w:r w:rsidRPr="009E7892">
        <w:rPr>
          <w:noProof/>
          <w:lang w:val="en-US"/>
        </w:rPr>
        <w:lastRenderedPageBreak/>
        <w:drawing>
          <wp:inline distT="0" distB="0" distL="0" distR="0" wp14:anchorId="3A628684" wp14:editId="70CF4A3F">
            <wp:extent cx="3110400" cy="284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0400" cy="2844000"/>
                    </a:xfrm>
                    <a:prstGeom prst="rect">
                      <a:avLst/>
                    </a:prstGeom>
                    <a:noFill/>
                    <a:ln>
                      <a:noFill/>
                    </a:ln>
                  </pic:spPr>
                </pic:pic>
              </a:graphicData>
            </a:graphic>
          </wp:inline>
        </w:drawing>
      </w:r>
    </w:p>
    <w:p w:rsidR="00F02F0C" w:rsidRDefault="00F02F0C" w:rsidP="00F02F0C">
      <w:pPr>
        <w:spacing w:line="240" w:lineRule="auto"/>
      </w:pPr>
    </w:p>
    <w:p w:rsidR="00F02F0C" w:rsidRDefault="00F02F0C" w:rsidP="00F02F0C">
      <w:pPr>
        <w:spacing w:line="240" w:lineRule="auto"/>
      </w:pPr>
      <w:r>
        <w:t>Figure S3. Observed fox density plotted against fox density predicted by the best model (Table S4). The line indicates the one-to-one relationship.</w:t>
      </w:r>
    </w:p>
    <w:p w:rsidR="00F02F0C" w:rsidRDefault="00F02F0C" w:rsidP="00F02F0C">
      <w:pPr>
        <w:spacing w:after="160" w:line="259" w:lineRule="auto"/>
      </w:pPr>
      <w:r>
        <w:br w:type="page"/>
      </w:r>
    </w:p>
    <w:p w:rsidR="00F02F0C" w:rsidRDefault="00F02F0C" w:rsidP="00F02F0C"/>
    <w:p w:rsidR="00F02F0C" w:rsidRDefault="00F02F0C" w:rsidP="00F02F0C">
      <w:r>
        <w:rPr>
          <w:noProof/>
          <w:lang w:val="en-US"/>
        </w:rPr>
        <w:drawing>
          <wp:inline distT="0" distB="0" distL="0" distR="0" wp14:anchorId="5B6039FD" wp14:editId="159D765B">
            <wp:extent cx="5895975" cy="274214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6563" cy="2747068"/>
                    </a:xfrm>
                    <a:prstGeom prst="rect">
                      <a:avLst/>
                    </a:prstGeom>
                    <a:noFill/>
                  </pic:spPr>
                </pic:pic>
              </a:graphicData>
            </a:graphic>
          </wp:inline>
        </w:drawing>
      </w:r>
    </w:p>
    <w:p w:rsidR="00F02F0C" w:rsidRDefault="00F02F0C" w:rsidP="00F02F0C">
      <w:r>
        <w:t>Figure S4. The modelled relationship between the number of individual (a) reptiles and (b) mammals in fox diet samples containing (a) reptiles and (b) mammals, and the frequency of occurrence (a) reptiles and (b) mammals in fox diet samples, according to linear least-squares regression models of the form: log</w:t>
      </w:r>
      <w:r w:rsidRPr="00A057D8">
        <w:rPr>
          <w:vertAlign w:val="subscript"/>
        </w:rPr>
        <w:t>10</w:t>
      </w:r>
      <w:r>
        <w:t xml:space="preserve"> (</w:t>
      </w:r>
      <w:r w:rsidRPr="00A057D8">
        <w:rPr>
          <w:i/>
          <w:iCs/>
        </w:rPr>
        <w:t>individuals</w:t>
      </w:r>
      <w:r>
        <w:t xml:space="preserve"> – 0.99) ~ log</w:t>
      </w:r>
      <w:r w:rsidRPr="00A057D8">
        <w:rPr>
          <w:vertAlign w:val="subscript"/>
        </w:rPr>
        <w:t>10</w:t>
      </w:r>
      <w:r>
        <w:t xml:space="preserve"> (</w:t>
      </w:r>
      <w:r w:rsidRPr="00A057D8">
        <w:rPr>
          <w:i/>
          <w:iCs/>
        </w:rPr>
        <w:t>frequency</w:t>
      </w:r>
      <w:r>
        <w:t xml:space="preserve">), with (a) reptiles </w:t>
      </w:r>
      <w:r w:rsidRPr="00A057D8">
        <w:rPr>
          <w:i/>
          <w:iCs/>
        </w:rPr>
        <w:t>p</w:t>
      </w:r>
      <w:r w:rsidRPr="00A057D8">
        <w:t>=</w:t>
      </w:r>
      <w:r>
        <w:t xml:space="preserve"> 0.05, R</w:t>
      </w:r>
      <w:r w:rsidRPr="00A057D8">
        <w:rPr>
          <w:vertAlign w:val="superscript"/>
        </w:rPr>
        <w:t>2</w:t>
      </w:r>
      <w:r>
        <w:t xml:space="preserve"> of 0.23 and (b) mammals </w:t>
      </w:r>
      <w:r>
        <w:rPr>
          <w:i/>
          <w:iCs/>
        </w:rPr>
        <w:t xml:space="preserve">p= </w:t>
      </w:r>
      <w:r w:rsidRPr="00A057D8">
        <w:t>0.05</w:t>
      </w:r>
      <w:r>
        <w:t>, R</w:t>
      </w:r>
      <w:r w:rsidRPr="00A057D8">
        <w:rPr>
          <w:vertAlign w:val="superscript"/>
        </w:rPr>
        <w:t xml:space="preserve">2 </w:t>
      </w:r>
      <w:r>
        <w:t xml:space="preserve">of 0.19. Bold lines indicate the predictions of the regression model, dashed lines indicate 95% confidence intervals, and circles show raw data values. </w:t>
      </w:r>
    </w:p>
    <w:p w:rsidR="00F02F0C" w:rsidRDefault="00F02F0C" w:rsidP="00F02F0C">
      <w:pPr>
        <w:spacing w:line="259" w:lineRule="auto"/>
      </w:pPr>
      <w:r>
        <w:br w:type="page"/>
      </w:r>
    </w:p>
    <w:p w:rsidR="00F02F0C" w:rsidRDefault="00F02F0C" w:rsidP="00F02F0C">
      <w:pPr>
        <w:spacing w:line="259" w:lineRule="auto"/>
      </w:pPr>
      <w:r>
        <w:rPr>
          <w:noProof/>
          <w:lang w:val="en-US"/>
        </w:rPr>
        <w:lastRenderedPageBreak/>
        <w:drawing>
          <wp:inline distT="0" distB="0" distL="0" distR="0" wp14:anchorId="54D2338F" wp14:editId="1F10DF20">
            <wp:extent cx="6053485" cy="59817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8538" cy="5986693"/>
                    </a:xfrm>
                    <a:prstGeom prst="rect">
                      <a:avLst/>
                    </a:prstGeom>
                    <a:noFill/>
                  </pic:spPr>
                </pic:pic>
              </a:graphicData>
            </a:graphic>
          </wp:inline>
        </w:drawing>
      </w:r>
    </w:p>
    <w:p w:rsidR="00F02F0C" w:rsidRDefault="00F02F0C" w:rsidP="00F02F0C">
      <w:pPr>
        <w:spacing w:line="259" w:lineRule="auto"/>
      </w:pPr>
      <w:r>
        <w:t>Figure S5. Variation in the frequency of occurrence of reptiles in fox diet samples (stomachs and/or scats) in relation to significant predictor variables: (a) vegetation cover (</w:t>
      </w:r>
      <w:r>
        <w:rPr>
          <w:i/>
          <w:iCs/>
        </w:rPr>
        <w:t>p= 0.001</w:t>
      </w:r>
      <w:r w:rsidRPr="001638E1">
        <w:t>)</w:t>
      </w:r>
      <w:r>
        <w:t>; (b) mean annual temperature (</w:t>
      </w:r>
      <w:r>
        <w:rPr>
          <w:i/>
          <w:iCs/>
        </w:rPr>
        <w:t>p= 0.015</w:t>
      </w:r>
      <w:r w:rsidRPr="001638E1">
        <w:t>)</w:t>
      </w:r>
      <w:r>
        <w:t>; and (c) vegetation disturbance (</w:t>
      </w:r>
      <w:r>
        <w:rPr>
          <w:i/>
          <w:iCs/>
        </w:rPr>
        <w:t>p= 0.011</w:t>
      </w:r>
      <w:r w:rsidRPr="001638E1">
        <w:t>)</w:t>
      </w:r>
      <w:r>
        <w:t xml:space="preserve">. Solid lines represent the predictions of a generalised linear model, shaded bands represent 95% confidence intervals and circles show raw data values (black circles are from mainland sites, red circles from island sites).  </w:t>
      </w:r>
    </w:p>
    <w:p w:rsidR="00F02F0C" w:rsidRDefault="00F02F0C" w:rsidP="00F02F0C">
      <w:pPr>
        <w:spacing w:after="160" w:line="259" w:lineRule="auto"/>
      </w:pPr>
      <w:r>
        <w:br w:type="page"/>
      </w:r>
    </w:p>
    <w:p w:rsidR="00F02F0C" w:rsidRDefault="00F02F0C" w:rsidP="00F02F0C">
      <w:pPr>
        <w:spacing w:line="259" w:lineRule="auto"/>
      </w:pPr>
      <w:r>
        <w:rPr>
          <w:noProof/>
          <w:lang w:val="en-US"/>
        </w:rPr>
        <w:lastRenderedPageBreak/>
        <w:drawing>
          <wp:inline distT="0" distB="0" distL="0" distR="0" wp14:anchorId="654C90DC" wp14:editId="455E37A4">
            <wp:extent cx="6245044" cy="59626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5372" cy="5972511"/>
                    </a:xfrm>
                    <a:prstGeom prst="rect">
                      <a:avLst/>
                    </a:prstGeom>
                    <a:noFill/>
                  </pic:spPr>
                </pic:pic>
              </a:graphicData>
            </a:graphic>
          </wp:inline>
        </w:drawing>
      </w:r>
    </w:p>
    <w:p w:rsidR="00F02F0C" w:rsidRDefault="00F02F0C" w:rsidP="00F02F0C">
      <w:pPr>
        <w:spacing w:line="259" w:lineRule="auto"/>
      </w:pPr>
      <w:r>
        <w:t xml:space="preserve">Figure S6. Variation in the frequency of occurrence of birds in fox diet samples (stomachs and/or scats) in relation to significant predictor variables: (a) </w:t>
      </w:r>
      <w:r w:rsidRPr="006C4DE1">
        <w:t>distance to the coastline (</w:t>
      </w:r>
      <w:r w:rsidRPr="006C4DE1">
        <w:rPr>
          <w:i/>
          <w:iCs/>
        </w:rPr>
        <w:t>p &lt;0.001</w:t>
      </w:r>
      <w:r w:rsidRPr="006C4DE1">
        <w:t>); (b) mean annual temperature (</w:t>
      </w:r>
      <w:r w:rsidRPr="006C4DE1">
        <w:rPr>
          <w:i/>
          <w:iCs/>
        </w:rPr>
        <w:t>p &lt;0.001</w:t>
      </w:r>
      <w:r w:rsidRPr="006C4DE1">
        <w:t>); and (c) vegetation disturbance (</w:t>
      </w:r>
      <w:r w:rsidRPr="006C4DE1">
        <w:rPr>
          <w:i/>
          <w:iCs/>
        </w:rPr>
        <w:t>p &lt;0.001</w:t>
      </w:r>
      <w:r w:rsidRPr="006C4DE1">
        <w:t>). Solid</w:t>
      </w:r>
      <w:r>
        <w:t xml:space="preserve"> lines represent the predictions of a generalised linear model, shaded bands represent 95% confidence intervals and circles show raw data values (black circles are from mainland sites, red circles from island sites).  </w:t>
      </w:r>
    </w:p>
    <w:p w:rsidR="00F02F0C" w:rsidRDefault="00F02F0C" w:rsidP="00F02F0C">
      <w:pPr>
        <w:spacing w:after="160" w:line="259" w:lineRule="auto"/>
      </w:pPr>
      <w:r>
        <w:br w:type="page"/>
      </w:r>
    </w:p>
    <w:p w:rsidR="00F02F0C" w:rsidRDefault="00F02F0C" w:rsidP="00F02F0C">
      <w:pPr>
        <w:spacing w:line="259" w:lineRule="auto"/>
      </w:pPr>
      <w:r>
        <w:rPr>
          <w:noProof/>
          <w:lang w:val="en-US"/>
        </w:rPr>
        <w:lastRenderedPageBreak/>
        <w:drawing>
          <wp:inline distT="0" distB="0" distL="0" distR="0" wp14:anchorId="4A8961C0" wp14:editId="1377CE0E">
            <wp:extent cx="6413464" cy="625792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2668" cy="6266906"/>
                    </a:xfrm>
                    <a:prstGeom prst="rect">
                      <a:avLst/>
                    </a:prstGeom>
                    <a:noFill/>
                  </pic:spPr>
                </pic:pic>
              </a:graphicData>
            </a:graphic>
          </wp:inline>
        </w:drawing>
      </w:r>
    </w:p>
    <w:p w:rsidR="00F02F0C" w:rsidRDefault="00F02F0C" w:rsidP="00F02F0C">
      <w:pPr>
        <w:spacing w:line="259" w:lineRule="auto"/>
      </w:pPr>
      <w:r>
        <w:t xml:space="preserve">Figure S7. Variation in the frequency of occurrence of introduced (dark shades) and native mammals (light shades) in fox diet samples (stomachs and/or scats) in relation to significant predictor variables: (a) vegetation cover (introduced </w:t>
      </w:r>
      <w:proofErr w:type="gramStart"/>
      <w:r w:rsidRPr="00A35B31">
        <w:t>mammals</w:t>
      </w:r>
      <w:proofErr w:type="gramEnd"/>
      <w:r w:rsidRPr="00A35B31">
        <w:t xml:space="preserve"> </w:t>
      </w:r>
      <w:r w:rsidRPr="00A35B31">
        <w:rPr>
          <w:i/>
          <w:iCs/>
        </w:rPr>
        <w:t>p &lt;0.</w:t>
      </w:r>
      <w:r>
        <w:rPr>
          <w:i/>
          <w:iCs/>
        </w:rPr>
        <w:t xml:space="preserve">001; </w:t>
      </w:r>
      <w:r>
        <w:t xml:space="preserve">native </w:t>
      </w:r>
      <w:r w:rsidRPr="00A35B31">
        <w:t xml:space="preserve">mammals </w:t>
      </w:r>
      <w:r w:rsidRPr="00A35B31">
        <w:rPr>
          <w:i/>
          <w:iCs/>
        </w:rPr>
        <w:t>p &lt;0.001</w:t>
      </w:r>
      <w:r w:rsidRPr="00A35B31">
        <w:t>); (b</w:t>
      </w:r>
      <w:r>
        <w:t xml:space="preserve">) human population density (introduced mammals </w:t>
      </w:r>
      <w:r w:rsidRPr="00A35B31">
        <w:rPr>
          <w:i/>
          <w:iCs/>
        </w:rPr>
        <w:t>p= 0.001</w:t>
      </w:r>
      <w:r w:rsidRPr="00A35B31">
        <w:t xml:space="preserve">); and (c) vegetation disturbance (introduced mammals </w:t>
      </w:r>
      <w:r w:rsidRPr="00A35B31">
        <w:rPr>
          <w:i/>
          <w:iCs/>
        </w:rPr>
        <w:t>p= 0.001</w:t>
      </w:r>
      <w:r w:rsidRPr="00A35B31">
        <w:t>). Solid lines represent the predictions of a generalised linear model, shaded bands represent 95% confidence intervals and</w:t>
      </w:r>
      <w:r>
        <w:t xml:space="preserve"> circles and asterisks show raw data values (black circles are from introduced mammal records on mainland sites, grey circles are from native mammals on mainland sites, red circles are from introduced mammals on island sites, red asterisks are from native mammals on island sites).  </w:t>
      </w:r>
    </w:p>
    <w:p w:rsidR="00F02F0C" w:rsidRDefault="00F02F0C" w:rsidP="00F02F0C">
      <w:pPr>
        <w:spacing w:after="160" w:line="259" w:lineRule="auto"/>
      </w:pPr>
      <w:r>
        <w:br w:type="page"/>
      </w:r>
    </w:p>
    <w:p w:rsidR="00F02F0C" w:rsidRDefault="00F02F0C" w:rsidP="00F02F0C">
      <w:r>
        <w:rPr>
          <w:noProof/>
          <w:lang w:val="en-US"/>
        </w:rPr>
        <w:lastRenderedPageBreak/>
        <w:drawing>
          <wp:inline distT="0" distB="0" distL="0" distR="0" wp14:anchorId="7628B79D" wp14:editId="1318FBA6">
            <wp:extent cx="5731510" cy="7867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cstate="print">
                      <a:extLst>
                        <a:ext uri="{28A0092B-C50C-407E-A947-70E740481C1C}">
                          <a14:useLocalDpi xmlns:a14="http://schemas.microsoft.com/office/drawing/2010/main" val="0"/>
                        </a:ext>
                      </a:extLst>
                    </a:blip>
                    <a:srcRect b="3376"/>
                    <a:stretch/>
                  </pic:blipFill>
                  <pic:spPr bwMode="auto">
                    <a:xfrm>
                      <a:off x="0" y="0"/>
                      <a:ext cx="5731510" cy="7867650"/>
                    </a:xfrm>
                    <a:prstGeom prst="rect">
                      <a:avLst/>
                    </a:prstGeom>
                    <a:ln>
                      <a:noFill/>
                    </a:ln>
                    <a:extLst>
                      <a:ext uri="{53640926-AAD7-44D8-BBD7-CCE9431645EC}">
                        <a14:shadowObscured xmlns:a14="http://schemas.microsoft.com/office/drawing/2010/main"/>
                      </a:ext>
                    </a:extLst>
                  </pic:spPr>
                </pic:pic>
              </a:graphicData>
            </a:graphic>
          </wp:inline>
        </w:drawing>
      </w:r>
    </w:p>
    <w:p w:rsidR="006718FE" w:rsidRPr="00F02F0C" w:rsidRDefault="00F02F0C" w:rsidP="00F02F0C">
      <w:r>
        <w:lastRenderedPageBreak/>
        <w:t xml:space="preserve">Figure S8. </w:t>
      </w:r>
      <w:r w:rsidRPr="004838AD">
        <w:rPr>
          <w:rFonts w:cstheme="minorHAnsi"/>
        </w:rPr>
        <w:t xml:space="preserve">Model projections of the frequency of occurrence of (a) native </w:t>
      </w:r>
      <w:r>
        <w:rPr>
          <w:rFonts w:cstheme="minorHAnsi"/>
        </w:rPr>
        <w:t>rodents</w:t>
      </w:r>
      <w:r w:rsidRPr="004838AD">
        <w:rPr>
          <w:rFonts w:cstheme="minorHAnsi"/>
        </w:rPr>
        <w:t xml:space="preserve">, (b) </w:t>
      </w:r>
      <w:r>
        <w:rPr>
          <w:rFonts w:cstheme="minorHAnsi"/>
        </w:rPr>
        <w:t>introduced rodents</w:t>
      </w:r>
      <w:r w:rsidRPr="004838AD">
        <w:rPr>
          <w:rFonts w:cstheme="minorHAnsi"/>
        </w:rPr>
        <w:t xml:space="preserve">, (c) </w:t>
      </w:r>
      <w:r>
        <w:rPr>
          <w:rFonts w:cstheme="minorHAnsi"/>
        </w:rPr>
        <w:t xml:space="preserve">lagomorphs, </w:t>
      </w:r>
      <w:r w:rsidRPr="004838AD">
        <w:rPr>
          <w:rFonts w:cstheme="minorHAnsi"/>
        </w:rPr>
        <w:t xml:space="preserve">(d) </w:t>
      </w:r>
      <w:r>
        <w:rPr>
          <w:rFonts w:cstheme="minorHAnsi"/>
        </w:rPr>
        <w:t xml:space="preserve">livestock, (e) possums and gliders, (f) macropods, and (g) </w:t>
      </w:r>
      <w:proofErr w:type="spellStart"/>
      <w:r>
        <w:rPr>
          <w:rFonts w:cstheme="minorHAnsi"/>
        </w:rPr>
        <w:t>dasyurids</w:t>
      </w:r>
      <w:proofErr w:type="spellEnd"/>
      <w:r w:rsidRPr="004838AD">
        <w:rPr>
          <w:rFonts w:cstheme="minorHAnsi"/>
        </w:rPr>
        <w:t xml:space="preserve"> in fox diets throughout Australia. Solid black line indicates the Tropic of Capricorn and hatching indicates areas outside of the fox’s distributional range.</w:t>
      </w:r>
    </w:p>
    <w:sectPr w:rsidR="006718FE" w:rsidRPr="00F02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8863236"/>
      <w:docPartObj>
        <w:docPartGallery w:val="Page Numbers (Bottom of Page)"/>
        <w:docPartUnique/>
      </w:docPartObj>
    </w:sdtPr>
    <w:sdtEndPr>
      <w:rPr>
        <w:noProof/>
      </w:rPr>
    </w:sdtEndPr>
    <w:sdtContent>
      <w:p w:rsidR="00F608DB" w:rsidRDefault="00F02F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F608DB" w:rsidRDefault="00F02F0C">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B6B"/>
    <w:rsid w:val="006718FE"/>
    <w:rsid w:val="00B35B6B"/>
    <w:rsid w:val="00E57998"/>
    <w:rsid w:val="00F02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06E89-0614-42C4-8D49-63255492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998"/>
    <w:pPr>
      <w:spacing w:after="0" w:line="276" w:lineRule="auto"/>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02F0C"/>
    <w:pPr>
      <w:tabs>
        <w:tab w:val="center" w:pos="4513"/>
        <w:tab w:val="right" w:pos="9026"/>
      </w:tabs>
      <w:spacing w:line="240" w:lineRule="auto"/>
    </w:pPr>
  </w:style>
  <w:style w:type="character" w:customStyle="1" w:styleId="FooterChar">
    <w:name w:val="Footer Char"/>
    <w:basedOn w:val="DefaultParagraphFont"/>
    <w:link w:val="Footer"/>
    <w:uiPriority w:val="99"/>
    <w:rsid w:val="00F02F0C"/>
    <w:rPr>
      <w:lang w:val="en-AU"/>
    </w:rPr>
  </w:style>
  <w:style w:type="table" w:styleId="TableGrid">
    <w:name w:val="Table Grid"/>
    <w:basedOn w:val="TableNormal"/>
    <w:uiPriority w:val="39"/>
    <w:rsid w:val="00F02F0C"/>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02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emf"/><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footer" Target="footer1.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1390</Words>
  <Characters>7929</Characters>
  <Application>Microsoft Office Word</Application>
  <DocSecurity>0</DocSecurity>
  <Lines>66</Lines>
  <Paragraphs>18</Paragraphs>
  <ScaleCrop>false</ScaleCrop>
  <Company>SPS</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dc:creator>
  <cp:keywords/>
  <dc:description/>
  <cp:lastModifiedBy>Pavithra</cp:lastModifiedBy>
  <cp:revision>3</cp:revision>
  <dcterms:created xsi:type="dcterms:W3CDTF">2022-02-11T03:02:00Z</dcterms:created>
  <dcterms:modified xsi:type="dcterms:W3CDTF">2022-02-11T03:04:00Z</dcterms:modified>
</cp:coreProperties>
</file>