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C7B39" w14:textId="4741E32D" w:rsidR="00CC10E6" w:rsidRDefault="00A46EB4" w:rsidP="00DA6560">
      <w:pPr>
        <w:pStyle w:val="Heading1"/>
      </w:pPr>
      <w:r>
        <w:t>Multi-omics</w:t>
      </w:r>
      <w:r w:rsidR="00EE0C99">
        <w:t xml:space="preserve"> </w:t>
      </w:r>
      <w:r w:rsidR="00EE0C99">
        <w:tab/>
      </w:r>
      <w:r w:rsidR="00EE0C99">
        <w:tab/>
        <w:t xml:space="preserve">2020-November-23 </w:t>
      </w:r>
      <w:r w:rsidR="00EE0C99">
        <w:tab/>
        <w:t>thomas.stoeger@northwestern.edu</w:t>
      </w:r>
    </w:p>
    <w:p w14:paraId="4DDBA69C" w14:textId="77777777" w:rsidR="00005080" w:rsidRPr="00005080" w:rsidRDefault="00005080" w:rsidP="00005080"/>
    <w:p w14:paraId="210BC5E6" w14:textId="09841079" w:rsidR="007B6EC0" w:rsidRDefault="007B6EC0" w:rsidP="007B6EC0">
      <w:r>
        <w:t xml:space="preserve">Rationale: </w:t>
      </w:r>
      <w:r w:rsidRPr="007B6EC0">
        <w:rPr>
          <w:b/>
          <w:bCs/>
        </w:rPr>
        <w:t xml:space="preserve">Biology occurs at </w:t>
      </w:r>
      <w:r w:rsidRPr="00005080">
        <w:rPr>
          <w:b/>
          <w:bCs/>
          <w:u w:val="single"/>
        </w:rPr>
        <w:t>different scales of complexity</w:t>
      </w:r>
    </w:p>
    <w:p w14:paraId="02C9C4D3" w14:textId="1E9F8576" w:rsidR="007B6EC0" w:rsidRDefault="007B6EC0" w:rsidP="007B6EC0">
      <w:pPr>
        <w:pStyle w:val="ListParagraph"/>
        <w:numPr>
          <w:ilvl w:val="0"/>
          <w:numId w:val="1"/>
        </w:numPr>
      </w:pPr>
      <w:r>
        <w:t>Understand how they relate to each other</w:t>
      </w:r>
    </w:p>
    <w:p w14:paraId="68CFC7F2" w14:textId="0397466D" w:rsidR="007B6EC0" w:rsidRDefault="007B6EC0" w:rsidP="007B6EC0">
      <w:pPr>
        <w:pStyle w:val="ListParagraph"/>
        <w:numPr>
          <w:ilvl w:val="0"/>
          <w:numId w:val="1"/>
        </w:numPr>
      </w:pPr>
      <w:r>
        <w:t>Make educated guesses about one scale based from another scale</w:t>
      </w:r>
    </w:p>
    <w:p w14:paraId="0AF68B29" w14:textId="79266240" w:rsidR="007B6EC0" w:rsidRDefault="007B6EC0" w:rsidP="007B6EC0">
      <w:pPr>
        <w:pStyle w:val="ListParagraph"/>
        <w:numPr>
          <w:ilvl w:val="0"/>
          <w:numId w:val="1"/>
        </w:numPr>
      </w:pPr>
      <w:r>
        <w:t>Consistency across different scales can improve certain applications (e.g.: classifying patients according to disease severity</w:t>
      </w:r>
      <w:r w:rsidR="002F68F8">
        <w:t>, removing confounding effects</w:t>
      </w:r>
      <w:r>
        <w:t>)</w:t>
      </w:r>
    </w:p>
    <w:p w14:paraId="7CFE95BD" w14:textId="322A5F94" w:rsidR="007B6EC0" w:rsidRDefault="007B6EC0" w:rsidP="007B6EC0"/>
    <w:p w14:paraId="1EA17AA6" w14:textId="18AB62D7" w:rsidR="007B6EC0" w:rsidRPr="00815F33" w:rsidRDefault="007B6EC0" w:rsidP="007B6EC0">
      <w:pPr>
        <w:rPr>
          <w:b/>
          <w:bCs/>
          <w:u w:val="single"/>
        </w:rPr>
      </w:pPr>
      <w:r w:rsidRPr="00815F33">
        <w:rPr>
          <w:b/>
          <w:bCs/>
          <w:u w:val="single"/>
        </w:rPr>
        <w:t>What is multi-omics?</w:t>
      </w:r>
    </w:p>
    <w:p w14:paraId="01FB8E5A" w14:textId="034C05AA" w:rsidR="007B6EC0" w:rsidRDefault="007B6EC0" w:rsidP="007B6EC0">
      <w:pPr>
        <w:pStyle w:val="ListParagraph"/>
        <w:numPr>
          <w:ilvl w:val="0"/>
          <w:numId w:val="2"/>
        </w:numPr>
      </w:pPr>
      <w:r>
        <w:t>Combination of different -omics approaches.</w:t>
      </w:r>
    </w:p>
    <w:p w14:paraId="06B09942" w14:textId="6737F82B" w:rsidR="007B6EC0" w:rsidRDefault="007B6EC0" w:rsidP="007B6EC0">
      <w:pPr>
        <w:pStyle w:val="ListParagraph"/>
        <w:numPr>
          <w:ilvl w:val="0"/>
          <w:numId w:val="2"/>
        </w:numPr>
      </w:pPr>
      <w:r>
        <w:t>Comparably small, but rapidly growing field.</w:t>
      </w:r>
    </w:p>
    <w:p w14:paraId="384EC2A6" w14:textId="012EE58A" w:rsidR="007B6EC0" w:rsidRDefault="007B6EC0" w:rsidP="007B6EC0">
      <w:pPr>
        <w:pStyle w:val="ListParagraph"/>
        <w:numPr>
          <w:ilvl w:val="1"/>
          <w:numId w:val="2"/>
        </w:numPr>
      </w:pPr>
      <w:r>
        <w:t>Can be personally exciting.</w:t>
      </w:r>
    </w:p>
    <w:p w14:paraId="000D6AD9" w14:textId="3867B8C3" w:rsidR="007B6EC0" w:rsidRDefault="007B6EC0" w:rsidP="007B6EC0">
      <w:pPr>
        <w:pStyle w:val="ListParagraph"/>
        <w:numPr>
          <w:ilvl w:val="1"/>
          <w:numId w:val="2"/>
        </w:numPr>
      </w:pPr>
      <w:r>
        <w:t xml:space="preserve">Often absence of widely accepted tools. </w:t>
      </w:r>
    </w:p>
    <w:p w14:paraId="1CC03A87" w14:textId="75E7AB82" w:rsidR="007B6EC0" w:rsidRPr="002F68F8" w:rsidRDefault="002F68F8" w:rsidP="007B6EC0">
      <w:pPr>
        <w:pStyle w:val="ListParagraph"/>
        <w:numPr>
          <w:ilvl w:val="1"/>
          <w:numId w:val="2"/>
        </w:numPr>
      </w:pPr>
      <w:r>
        <w:t>Invites creativity</w:t>
      </w:r>
      <w:r w:rsidR="00005080">
        <w:t>: options</w:t>
      </w:r>
      <w:r w:rsidRPr="002F68F8">
        <w:t xml:space="preserve"> </w:t>
      </w:r>
      <w:r>
        <w:t>(</w:t>
      </w:r>
      <w:r w:rsidRPr="002F68F8">
        <w:t>for combination</w:t>
      </w:r>
      <w:r>
        <w:t>)</w:t>
      </w:r>
      <w:r w:rsidRPr="002F68F8">
        <w:t xml:space="preserve"> scale exponentially with datasets.</w:t>
      </w:r>
    </w:p>
    <w:p w14:paraId="422E9367" w14:textId="7BEC1ECD" w:rsidR="007B6EC0" w:rsidRDefault="007B6EC0" w:rsidP="007B6EC0"/>
    <w:p w14:paraId="2C66867A" w14:textId="292AFA29" w:rsidR="007B6EC0" w:rsidRPr="00DA6560" w:rsidRDefault="00AF08A2" w:rsidP="007B6EC0">
      <w:pPr>
        <w:rPr>
          <w:b/>
          <w:bCs/>
        </w:rPr>
      </w:pPr>
      <w:r>
        <w:t>An exemplary tale</w:t>
      </w:r>
      <w:r w:rsidR="007B6EC0">
        <w:t xml:space="preserve">: </w:t>
      </w:r>
      <w:r w:rsidR="003D32FA">
        <w:rPr>
          <w:b/>
          <w:bCs/>
          <w:u w:val="single"/>
        </w:rPr>
        <w:t>Do p</w:t>
      </w:r>
      <w:r w:rsidR="00DA6560" w:rsidRPr="00005080">
        <w:rPr>
          <w:b/>
          <w:bCs/>
          <w:u w:val="single"/>
        </w:rPr>
        <w:t>roteomes only mildly depend on transcriptome</w:t>
      </w:r>
      <w:r w:rsidR="003D32FA">
        <w:rPr>
          <w:b/>
          <w:bCs/>
          <w:u w:val="single"/>
        </w:rPr>
        <w:t>s?</w:t>
      </w:r>
    </w:p>
    <w:p w14:paraId="3E65AA9F" w14:textId="2CFE2E12" w:rsidR="007B6EC0" w:rsidRDefault="007B6EC0" w:rsidP="007B6EC0">
      <w:pPr>
        <w:pStyle w:val="ListParagraph"/>
        <w:numPr>
          <w:ilvl w:val="0"/>
          <w:numId w:val="3"/>
        </w:numPr>
      </w:pPr>
      <w:r>
        <w:t xml:space="preserve">Take home: </w:t>
      </w:r>
      <w:r w:rsidR="00D316C2">
        <w:t xml:space="preserve">Be careful about </w:t>
      </w:r>
      <w:r w:rsidR="00DA6560" w:rsidRPr="00005080">
        <w:rPr>
          <w:b/>
          <w:bCs/>
        </w:rPr>
        <w:t>gene-specific scaling</w:t>
      </w:r>
      <w:r w:rsidR="00DA6560">
        <w:t xml:space="preserve"> and </w:t>
      </w:r>
      <w:r w:rsidR="00DA6560" w:rsidRPr="00005080">
        <w:rPr>
          <w:b/>
          <w:bCs/>
        </w:rPr>
        <w:t>measurement noise</w:t>
      </w:r>
      <w:r w:rsidR="00DA6560">
        <w:t>.</w:t>
      </w:r>
    </w:p>
    <w:p w14:paraId="075F568E" w14:textId="4DDAC0FF" w:rsidR="00DA6560" w:rsidRDefault="00D316C2" w:rsidP="007B6EC0">
      <w:pPr>
        <w:pStyle w:val="ListParagraph"/>
        <w:numPr>
          <w:ilvl w:val="0"/>
          <w:numId w:val="3"/>
        </w:numPr>
      </w:pPr>
      <w:r>
        <w:t>Claim</w:t>
      </w:r>
      <w:r w:rsidR="00DA6560">
        <w:t xml:space="preserve">: </w:t>
      </w:r>
      <w:r w:rsidR="00F31CE5">
        <w:t>“</w:t>
      </w:r>
      <w:r w:rsidR="00DA6560">
        <w:t>Proteomes only mildly depend on transcriptomes.</w:t>
      </w:r>
      <w:r w:rsidR="00F31CE5">
        <w:t>”</w:t>
      </w:r>
    </w:p>
    <w:p w14:paraId="5A8E6F20" w14:textId="047C65EF" w:rsidR="00DA6560" w:rsidRDefault="00DA6560" w:rsidP="00DA6560">
      <w:pPr>
        <w:pStyle w:val="ListParagraph"/>
        <w:numPr>
          <w:ilvl w:val="1"/>
          <w:numId w:val="3"/>
        </w:numPr>
      </w:pPr>
      <w:r>
        <w:t xml:space="preserve">Based on observation that transcript abundance is only loosely correlated with protein abundance (former </w:t>
      </w:r>
      <w:r w:rsidR="00AF08A2">
        <w:t>only explains</w:t>
      </w:r>
      <w:r>
        <w:t xml:space="preserve"> </w:t>
      </w:r>
      <w:r w:rsidR="00AF08A2">
        <w:t xml:space="preserve">a third </w:t>
      </w:r>
      <w:r>
        <w:t>of latter)</w:t>
      </w:r>
      <w:r w:rsidR="00125399">
        <w:br/>
      </w:r>
      <w:r w:rsidR="00125399">
        <w:rPr>
          <w:noProof/>
        </w:rPr>
        <w:drawing>
          <wp:inline distT="0" distB="0" distL="0" distR="0" wp14:anchorId="4F3D1EF6" wp14:editId="1A2CD9DC">
            <wp:extent cx="3064747" cy="1594585"/>
            <wp:effectExtent l="0" t="0" r="0" b="571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96712" cy="1663246"/>
                    </a:xfrm>
                    <a:prstGeom prst="rect">
                      <a:avLst/>
                    </a:prstGeom>
                  </pic:spPr>
                </pic:pic>
              </a:graphicData>
            </a:graphic>
          </wp:inline>
        </w:drawing>
      </w:r>
    </w:p>
    <w:p w14:paraId="2548D6D0" w14:textId="3CEEC332" w:rsidR="00DA6560" w:rsidRDefault="00AF08A2" w:rsidP="00DA6560">
      <w:pPr>
        <w:pStyle w:val="ListParagraph"/>
        <w:numPr>
          <w:ilvl w:val="1"/>
          <w:numId w:val="3"/>
        </w:numPr>
      </w:pPr>
      <w:r>
        <w:t>Widely believed</w:t>
      </w:r>
      <w:r w:rsidR="00DA6560">
        <w:t xml:space="preserve"> until </w:t>
      </w:r>
      <w:r w:rsidR="00ED41E3">
        <w:t xml:space="preserve">approx. </w:t>
      </w:r>
      <w:r w:rsidR="00DA6560">
        <w:t>2010</w:t>
      </w:r>
      <w:r w:rsidR="00125399">
        <w:t xml:space="preserve">, and still sometimes </w:t>
      </w:r>
      <w:r>
        <w:t>mentioned.</w:t>
      </w:r>
    </w:p>
    <w:p w14:paraId="58C47B43" w14:textId="77777777" w:rsidR="00C33036" w:rsidRDefault="00DA6560" w:rsidP="00DA6560">
      <w:pPr>
        <w:pStyle w:val="ListParagraph"/>
        <w:numPr>
          <w:ilvl w:val="1"/>
          <w:numId w:val="3"/>
        </w:numPr>
      </w:pPr>
      <w:r>
        <w:t xml:space="preserve"> </w:t>
      </w:r>
      <w:r w:rsidR="00125399">
        <w:t>(Retrospectively?) the claim appears quite unintuitive.</w:t>
      </w:r>
    </w:p>
    <w:p w14:paraId="7102CA8A" w14:textId="77777777" w:rsidR="002F68F8" w:rsidRDefault="002F68F8" w:rsidP="00C33036">
      <w:pPr>
        <w:pStyle w:val="ListParagraph"/>
        <w:numPr>
          <w:ilvl w:val="0"/>
          <w:numId w:val="3"/>
        </w:numPr>
      </w:pPr>
      <w:r>
        <w:t>Explanation:</w:t>
      </w:r>
    </w:p>
    <w:p w14:paraId="34D4C308" w14:textId="4F669381" w:rsidR="00005080" w:rsidRDefault="00005080" w:rsidP="002F68F8">
      <w:pPr>
        <w:pStyle w:val="ListParagraph"/>
        <w:numPr>
          <w:ilvl w:val="1"/>
          <w:numId w:val="3"/>
        </w:numPr>
      </w:pPr>
      <w:r>
        <w:t>Sequence properties of transcripts and proteins – mainly those that predict the stabilities of transcripts and proteins</w:t>
      </w:r>
      <w:r w:rsidR="007A353C">
        <w:t xml:space="preserve"> –</w:t>
      </w:r>
      <w:r>
        <w:t xml:space="preserve"> uncouple transcript and protein abundance in a highly expected manner (this explains a further third</w:t>
      </w:r>
      <w:r w:rsidR="007A353C">
        <w:t xml:space="preserve"> of correlation between transcripts and proteins</w:t>
      </w:r>
      <w:r>
        <w:t xml:space="preserve">). Vogel et al., 2010 </w:t>
      </w:r>
      <w:hyperlink r:id="rId7" w:history="1">
        <w:r w:rsidRPr="00737A71">
          <w:rPr>
            <w:rStyle w:val="Hyperlink"/>
          </w:rPr>
          <w:t>https://doi.org/10.1038/msb.2010.59</w:t>
        </w:r>
      </w:hyperlink>
      <w:r>
        <w:t xml:space="preserve"> used transcriptomics + proteomics + sequence properties and predictive multivariate models</w:t>
      </w:r>
    </w:p>
    <w:p w14:paraId="22C9FDA4" w14:textId="2E382701" w:rsidR="00D316C2" w:rsidRDefault="00005080" w:rsidP="002F68F8">
      <w:pPr>
        <w:pStyle w:val="ListParagraph"/>
        <w:numPr>
          <w:ilvl w:val="1"/>
          <w:numId w:val="3"/>
        </w:numPr>
      </w:pPr>
      <w:r>
        <w:t xml:space="preserve">Mass spectrometry still has many </w:t>
      </w:r>
      <w:r w:rsidRPr="00005080">
        <w:rPr>
          <w:b/>
          <w:bCs/>
        </w:rPr>
        <w:t>measurement inaccuracies</w:t>
      </w:r>
      <w:r>
        <w:t xml:space="preserve"> compared to transcriptomics. If accounting for </w:t>
      </w:r>
      <w:r w:rsidR="007A353C">
        <w:t>these</w:t>
      </w:r>
      <w:r>
        <w:t xml:space="preserve"> measurement inaccuracies, less than 10% of protein abundance remain unexplained by transcriptome and sequences properties relating to degradation of transcripts and proteins. Li et Biggin, 2015, </w:t>
      </w:r>
      <w:hyperlink r:id="rId8" w:history="1">
        <w:r w:rsidRPr="00737A71">
          <w:rPr>
            <w:rStyle w:val="Hyperlink"/>
          </w:rPr>
          <w:t>https://doi.org/10.1126/science.aaa8332</w:t>
        </w:r>
      </w:hyperlink>
    </w:p>
    <w:p w14:paraId="039C4F70" w14:textId="3F3353B8" w:rsidR="00005080" w:rsidRDefault="00005080" w:rsidP="00005080"/>
    <w:p w14:paraId="2F1F9BB4" w14:textId="6B73F7C2" w:rsidR="00005080" w:rsidRDefault="00005080" w:rsidP="00005080">
      <w:r>
        <w:t xml:space="preserve">Some unconventional, but ultimately useful, </w:t>
      </w:r>
      <w:r w:rsidRPr="00815F33">
        <w:rPr>
          <w:b/>
          <w:bCs/>
          <w:u w:val="single"/>
        </w:rPr>
        <w:t xml:space="preserve">ideas for </w:t>
      </w:r>
      <w:r w:rsidR="00804823" w:rsidRPr="00815F33">
        <w:rPr>
          <w:b/>
          <w:bCs/>
          <w:u w:val="single"/>
        </w:rPr>
        <w:t>combining</w:t>
      </w:r>
      <w:r w:rsidRPr="00815F33">
        <w:rPr>
          <w:b/>
          <w:bCs/>
          <w:u w:val="single"/>
        </w:rPr>
        <w:t xml:space="preserve"> different </w:t>
      </w:r>
      <w:r w:rsidR="007D048B" w:rsidRPr="00815F33">
        <w:rPr>
          <w:b/>
          <w:bCs/>
          <w:u w:val="single"/>
        </w:rPr>
        <w:t>aspects</w:t>
      </w:r>
      <w:r w:rsidR="00804823" w:rsidRPr="00815F33">
        <w:rPr>
          <w:b/>
          <w:bCs/>
          <w:u w:val="single"/>
        </w:rPr>
        <w:t xml:space="preserve"> of biology</w:t>
      </w:r>
      <w:r w:rsidR="00804823">
        <w:t>:</w:t>
      </w:r>
    </w:p>
    <w:p w14:paraId="0546BE3C" w14:textId="2D3BAC74" w:rsidR="00804823" w:rsidRDefault="00804823" w:rsidP="00804823">
      <w:pPr>
        <w:pStyle w:val="ListParagraph"/>
        <w:numPr>
          <w:ilvl w:val="0"/>
          <w:numId w:val="4"/>
        </w:numPr>
      </w:pPr>
      <w:r>
        <w:t>Take home: Take advantage of biology happening on different scales of complexity</w:t>
      </w:r>
      <w:r w:rsidR="003920AB">
        <w:t>!</w:t>
      </w:r>
    </w:p>
    <w:p w14:paraId="7669D974" w14:textId="20E2DA73" w:rsidR="00804823" w:rsidRDefault="00804823" w:rsidP="00804823">
      <w:pPr>
        <w:pStyle w:val="ListParagraph"/>
        <w:numPr>
          <w:ilvl w:val="0"/>
          <w:numId w:val="4"/>
        </w:numPr>
      </w:pPr>
      <w:r>
        <w:t>Examples:</w:t>
      </w:r>
    </w:p>
    <w:p w14:paraId="39E33808" w14:textId="5EF9DCBF" w:rsidR="00804823" w:rsidRDefault="00804823" w:rsidP="00804823">
      <w:pPr>
        <w:pStyle w:val="ListParagraph"/>
        <w:numPr>
          <w:ilvl w:val="1"/>
          <w:numId w:val="4"/>
        </w:numPr>
      </w:pPr>
      <w:r>
        <w:t xml:space="preserve">Use similarity in protein folds to predict interaction of proteins, and in extension virulence of different, new, strains of viruses. Lasso et al. 2019, </w:t>
      </w:r>
      <w:hyperlink r:id="rId9" w:history="1">
        <w:r w:rsidRPr="00737A71">
          <w:rPr>
            <w:rStyle w:val="Hyperlink"/>
          </w:rPr>
          <w:t>https://doi.org/10.1016/j.cell.2019.08.005</w:t>
        </w:r>
      </w:hyperlink>
      <w:r>
        <w:t xml:space="preserve"> </w:t>
      </w:r>
    </w:p>
    <w:p w14:paraId="5F1AA333" w14:textId="77777777" w:rsidR="00804823" w:rsidRDefault="00804823" w:rsidP="00804823">
      <w:pPr>
        <w:pStyle w:val="ListParagraph"/>
        <w:numPr>
          <w:ilvl w:val="1"/>
          <w:numId w:val="4"/>
        </w:numPr>
      </w:pPr>
      <w:r>
        <w:lastRenderedPageBreak/>
        <w:t xml:space="preserve">Use subcellular localization of transcripts to explain cell-to-cell variability in protein levels. Popovich et al. 2019, </w:t>
      </w:r>
      <w:hyperlink r:id="rId10" w:history="1">
        <w:r w:rsidRPr="00737A71">
          <w:rPr>
            <w:rStyle w:val="Hyperlink"/>
          </w:rPr>
          <w:t>https://doi.org/10.1016/j.cels.2018.09.001</w:t>
        </w:r>
      </w:hyperlink>
      <w:r>
        <w:t xml:space="preserve"> </w:t>
      </w:r>
    </w:p>
    <w:p w14:paraId="329677A9" w14:textId="47AF46BF" w:rsidR="00804823" w:rsidRDefault="00804823" w:rsidP="00804823">
      <w:pPr>
        <w:pStyle w:val="ListParagraph"/>
        <w:numPr>
          <w:ilvl w:val="1"/>
          <w:numId w:val="4"/>
        </w:numPr>
      </w:pPr>
      <w:r>
        <w:t xml:space="preserve">Combine metabolomes, transcriptomes, proteomes, post-translational modifications to understand rapid vs. slow adaptation of bacteria to different nutrient sources. Buescher et al. 2012 </w:t>
      </w:r>
      <w:hyperlink r:id="rId11" w:history="1">
        <w:r w:rsidRPr="00737A71">
          <w:rPr>
            <w:rStyle w:val="Hyperlink"/>
          </w:rPr>
          <w:t>https://doi.org/10.1126/science.1206871</w:t>
        </w:r>
      </w:hyperlink>
      <w:r>
        <w:t xml:space="preserve"> </w:t>
      </w:r>
    </w:p>
    <w:p w14:paraId="2A39DDF0" w14:textId="460D2E66" w:rsidR="00804823" w:rsidRDefault="00F94CA8" w:rsidP="00804823">
      <w:pPr>
        <w:pStyle w:val="ListParagraph"/>
        <w:numPr>
          <w:ilvl w:val="1"/>
          <w:numId w:val="4"/>
        </w:numPr>
      </w:pPr>
      <w:r>
        <w:t xml:space="preserve">Predict the success of clinical trials by </w:t>
      </w:r>
      <w:r w:rsidR="007D048B" w:rsidRPr="007D048B">
        <w:rPr>
          <w:b/>
          <w:bCs/>
        </w:rPr>
        <w:t>disregarding published scientific literature</w:t>
      </w:r>
      <w:r w:rsidR="007D048B">
        <w:t xml:space="preserve"> (which is biased) and instead re-evaluating support for involvement of genes in phenotypes of interest by only </w:t>
      </w:r>
      <w:r w:rsidR="003920AB">
        <w:t>considering</w:t>
      </w:r>
      <w:r w:rsidR="007D048B">
        <w:t xml:space="preserve"> genome-wide assays on gene products and demonstrating effect of polymorphisms on gene products. Nelson et al. 2015, </w:t>
      </w:r>
      <w:hyperlink r:id="rId12" w:history="1">
        <w:r w:rsidR="007D048B" w:rsidRPr="00737A71">
          <w:rPr>
            <w:rStyle w:val="Hyperlink"/>
          </w:rPr>
          <w:t>https://doi.org/10.1038/ng.3314</w:t>
        </w:r>
      </w:hyperlink>
      <w:r w:rsidR="007D048B">
        <w:t xml:space="preserve"> </w:t>
      </w:r>
    </w:p>
    <w:p w14:paraId="7D9BA868" w14:textId="03EBD87F" w:rsidR="00FC0CAF" w:rsidRDefault="00FC0CAF" w:rsidP="00804823">
      <w:pPr>
        <w:pStyle w:val="ListParagraph"/>
        <w:numPr>
          <w:ilvl w:val="1"/>
          <w:numId w:val="4"/>
        </w:numPr>
      </w:pPr>
      <w:r>
        <w:t xml:space="preserve">Relationship between gene-specific properties, patents, and research grants. </w:t>
      </w:r>
      <w:proofErr w:type="spellStart"/>
      <w:r>
        <w:t>Oprea</w:t>
      </w:r>
      <w:proofErr w:type="spellEnd"/>
      <w:r>
        <w:t xml:space="preserve"> et al. 2018 </w:t>
      </w:r>
      <w:hyperlink r:id="rId13" w:history="1">
        <w:r w:rsidRPr="00737A71">
          <w:rPr>
            <w:rStyle w:val="Hyperlink"/>
          </w:rPr>
          <w:t>https://doi.org/10.1038/nrd.2018.14</w:t>
        </w:r>
      </w:hyperlink>
      <w:r>
        <w:t xml:space="preserve"> </w:t>
      </w:r>
    </w:p>
    <w:p w14:paraId="09DD2FA5" w14:textId="67A3ED99" w:rsidR="00FC0CAF" w:rsidRDefault="00FC0CAF" w:rsidP="00804823">
      <w:pPr>
        <w:pStyle w:val="ListParagraph"/>
        <w:numPr>
          <w:ilvl w:val="1"/>
          <w:numId w:val="4"/>
        </w:numPr>
      </w:pPr>
      <w:r>
        <w:t xml:space="preserve">Predicting reproducibility of individual claims in </w:t>
      </w:r>
      <w:r w:rsidR="007A353C">
        <w:t>biomedical</w:t>
      </w:r>
      <w:r>
        <w:t xml:space="preserve"> literature by </w:t>
      </w:r>
      <w:r w:rsidR="007A353C">
        <w:t>tying claims to experimental approaches and</w:t>
      </w:r>
      <w:r>
        <w:t xml:space="preserve"> social networks of individual authors. </w:t>
      </w:r>
      <w:proofErr w:type="spellStart"/>
      <w:r>
        <w:t>Danchev</w:t>
      </w:r>
      <w:proofErr w:type="spellEnd"/>
      <w:r>
        <w:t xml:space="preserve"> et al. 2019, </w:t>
      </w:r>
      <w:hyperlink r:id="rId14" w:history="1">
        <w:r w:rsidRPr="00737A71">
          <w:rPr>
            <w:rStyle w:val="Hyperlink"/>
          </w:rPr>
          <w:t>https://doi.org/10.7554/eLife.43094</w:t>
        </w:r>
      </w:hyperlink>
      <w:r>
        <w:t xml:space="preserve"> </w:t>
      </w:r>
    </w:p>
    <w:p w14:paraId="3F2AC520" w14:textId="0D14663D" w:rsidR="00D50B63" w:rsidRDefault="00D50B63" w:rsidP="00804823">
      <w:pPr>
        <w:pStyle w:val="ListParagraph"/>
        <w:numPr>
          <w:ilvl w:val="1"/>
          <w:numId w:val="4"/>
        </w:numPr>
      </w:pPr>
      <w:r>
        <w:t xml:space="preserve">Obtain rough overview on correlation between distinct entities that can be measured in a disease content, e.g.: microbiomes, transcriptomics, clinical parameters. Lloyd-Price et al. 2019 </w:t>
      </w:r>
      <w:hyperlink r:id="rId15" w:history="1">
        <w:r w:rsidRPr="00737A71">
          <w:rPr>
            <w:rStyle w:val="Hyperlink"/>
          </w:rPr>
          <w:t>https://doi.org/10.1038/s41586-019-1237-9</w:t>
        </w:r>
      </w:hyperlink>
      <w:r>
        <w:t xml:space="preserve"> </w:t>
      </w:r>
    </w:p>
    <w:p w14:paraId="62A2F6DE" w14:textId="6553A88B" w:rsidR="009D59BA" w:rsidRDefault="009D59BA" w:rsidP="00804823">
      <w:pPr>
        <w:pStyle w:val="ListParagraph"/>
        <w:numPr>
          <w:ilvl w:val="1"/>
          <w:numId w:val="4"/>
        </w:numPr>
      </w:pPr>
      <w:r>
        <w:t>Combining distinct -</w:t>
      </w:r>
      <w:proofErr w:type="spellStart"/>
      <w:r>
        <w:t>omes</w:t>
      </w:r>
      <w:proofErr w:type="spellEnd"/>
      <w:r>
        <w:t xml:space="preserve"> in multivariate models can predict on influenza</w:t>
      </w:r>
      <w:r w:rsidR="00883B75">
        <w:t xml:space="preserve"> immunization better than metabolomes, proteomes, clinical labels, transcriptomes, microbiomes alone. Zhou et al. 2019, </w:t>
      </w:r>
      <w:hyperlink r:id="rId16" w:history="1">
        <w:r w:rsidR="00883B75" w:rsidRPr="00737A71">
          <w:rPr>
            <w:rStyle w:val="Hyperlink"/>
          </w:rPr>
          <w:t>https://doi.org/10.1038/s41586-019-1236-x</w:t>
        </w:r>
      </w:hyperlink>
      <w:r w:rsidR="00883B75">
        <w:t xml:space="preserve"> </w:t>
      </w:r>
    </w:p>
    <w:p w14:paraId="5575DB80" w14:textId="44CD9242" w:rsidR="003920AB" w:rsidRDefault="003920AB" w:rsidP="00804823">
      <w:pPr>
        <w:pStyle w:val="ListParagraph"/>
        <w:numPr>
          <w:ilvl w:val="1"/>
          <w:numId w:val="4"/>
        </w:numPr>
      </w:pPr>
      <w:r>
        <w:t xml:space="preserve">Identify </w:t>
      </w:r>
      <w:r w:rsidRPr="00490EB0">
        <w:rPr>
          <w:b/>
          <w:bCs/>
        </w:rPr>
        <w:t>host factors that confound microbial studies</w:t>
      </w:r>
      <w:r>
        <w:t xml:space="preserve"> of human disease. </w:t>
      </w:r>
      <w:proofErr w:type="spellStart"/>
      <w:r>
        <w:t>Vujkovic-Cvijin</w:t>
      </w:r>
      <w:proofErr w:type="spellEnd"/>
      <w:r>
        <w:t xml:space="preserve"> et al. 2020, </w:t>
      </w:r>
      <w:hyperlink r:id="rId17" w:history="1">
        <w:r w:rsidRPr="00737A71">
          <w:rPr>
            <w:rStyle w:val="Hyperlink"/>
          </w:rPr>
          <w:t>https://doi.org/10.1038/s41586-020-2881-9</w:t>
        </w:r>
      </w:hyperlink>
      <w:r>
        <w:t xml:space="preserve"> </w:t>
      </w:r>
    </w:p>
    <w:p w14:paraId="1D70CDD0" w14:textId="00416804" w:rsidR="00490EB0" w:rsidRDefault="00490EB0" w:rsidP="00490EB0"/>
    <w:p w14:paraId="68401A79" w14:textId="185D47E6" w:rsidR="00490EB0" w:rsidRPr="003B3720" w:rsidRDefault="00490EB0" w:rsidP="00490EB0">
      <w:pPr>
        <w:rPr>
          <w:b/>
          <w:bCs/>
          <w:u w:val="single"/>
        </w:rPr>
      </w:pPr>
      <w:r w:rsidRPr="003B3720">
        <w:rPr>
          <w:b/>
          <w:bCs/>
          <w:u w:val="single"/>
        </w:rPr>
        <w:t>Data organization – A practical challenge when working with (many) large datasets</w:t>
      </w:r>
      <w:r w:rsidR="006604ED">
        <w:rPr>
          <w:b/>
          <w:bCs/>
          <w:u w:val="single"/>
        </w:rPr>
        <w:t xml:space="preserve"> (</w:t>
      </w:r>
      <w:r w:rsidR="009D45DA">
        <w:rPr>
          <w:b/>
          <w:bCs/>
          <w:u w:val="single"/>
        </w:rPr>
        <w:t>including</w:t>
      </w:r>
      <w:r w:rsidR="006604ED">
        <w:rPr>
          <w:b/>
          <w:bCs/>
          <w:u w:val="single"/>
        </w:rPr>
        <w:t xml:space="preserve"> -</w:t>
      </w:r>
      <w:proofErr w:type="spellStart"/>
      <w:r w:rsidR="006604ED">
        <w:rPr>
          <w:b/>
          <w:bCs/>
          <w:u w:val="single"/>
        </w:rPr>
        <w:t>omes</w:t>
      </w:r>
      <w:proofErr w:type="spellEnd"/>
      <w:r w:rsidR="006604ED">
        <w:rPr>
          <w:b/>
          <w:bCs/>
          <w:u w:val="single"/>
        </w:rPr>
        <w:t>)</w:t>
      </w:r>
      <w:r w:rsidRPr="003B3720">
        <w:rPr>
          <w:b/>
          <w:bCs/>
          <w:u w:val="single"/>
        </w:rPr>
        <w:t>.</w:t>
      </w:r>
    </w:p>
    <w:p w14:paraId="20CA9C8D" w14:textId="63A7D575" w:rsidR="00490EB0" w:rsidRDefault="00490EB0" w:rsidP="00490EB0">
      <w:pPr>
        <w:pStyle w:val="ListParagraph"/>
        <w:numPr>
          <w:ilvl w:val="0"/>
          <w:numId w:val="5"/>
        </w:numPr>
      </w:pPr>
      <w:r>
        <w:t xml:space="preserve">Take home: Know some principles early enough to </w:t>
      </w:r>
      <w:r w:rsidRPr="001F0153">
        <w:rPr>
          <w:b/>
          <w:bCs/>
        </w:rPr>
        <w:t xml:space="preserve">save you – or your computational collaborator – multiple months of avoidable work </w:t>
      </w:r>
      <w:r>
        <w:t>later on.</w:t>
      </w:r>
    </w:p>
    <w:p w14:paraId="38B4CDD5" w14:textId="0F600BB2" w:rsidR="00490EB0" w:rsidRDefault="009B1D3D" w:rsidP="00490EB0">
      <w:pPr>
        <w:pStyle w:val="ListParagraph"/>
        <w:numPr>
          <w:ilvl w:val="0"/>
          <w:numId w:val="5"/>
        </w:numPr>
      </w:pPr>
      <w:r>
        <w:t>Know the</w:t>
      </w:r>
      <w:r w:rsidR="00846F2E">
        <w:t xml:space="preserve"> basics</w:t>
      </w:r>
      <w:r w:rsidR="00490EB0">
        <w:t>:</w:t>
      </w:r>
    </w:p>
    <w:p w14:paraId="51F64A15" w14:textId="58DB94CC" w:rsidR="00075388" w:rsidRDefault="00490EB0" w:rsidP="007E3C86">
      <w:pPr>
        <w:pStyle w:val="ListParagraph"/>
        <w:numPr>
          <w:ilvl w:val="1"/>
          <w:numId w:val="5"/>
        </w:numPr>
      </w:pPr>
      <w:r>
        <w:t xml:space="preserve">How to organize data in tables, so that they are computationally well traceable? Broman et Woo 2017 </w:t>
      </w:r>
      <w:hyperlink r:id="rId18" w:history="1">
        <w:r w:rsidRPr="00737A71">
          <w:rPr>
            <w:rStyle w:val="Hyperlink"/>
          </w:rPr>
          <w:t>https://doi.org/10.1080/00031305.2017.1375989</w:t>
        </w:r>
      </w:hyperlink>
      <w:r w:rsidR="007E3C86">
        <w:t xml:space="preserve">: </w:t>
      </w:r>
      <w:r>
        <w:t>Be consistent</w:t>
      </w:r>
      <w:r w:rsidR="007E3C86">
        <w:t>, w</w:t>
      </w:r>
      <w:r>
        <w:t>rite dates like YYYY-MM-DD</w:t>
      </w:r>
      <w:r w:rsidR="007E3C86">
        <w:t>, d</w:t>
      </w:r>
      <w:r>
        <w:t>o not leave any cells empty</w:t>
      </w:r>
      <w:r w:rsidR="007E3C86">
        <w:t xml:space="preserve">, </w:t>
      </w:r>
      <w:r w:rsidR="007E3C86" w:rsidRPr="007E3C86">
        <w:rPr>
          <w:b/>
          <w:bCs/>
        </w:rPr>
        <w:t>p</w:t>
      </w:r>
      <w:r w:rsidRPr="007E3C86">
        <w:rPr>
          <w:b/>
          <w:bCs/>
        </w:rPr>
        <w:t>ut just one thing in a cel</w:t>
      </w:r>
      <w:r>
        <w:t>l</w:t>
      </w:r>
      <w:r w:rsidR="007E3C86">
        <w:t xml:space="preserve">, organize </w:t>
      </w:r>
      <w:r>
        <w:t xml:space="preserve">data as </w:t>
      </w:r>
      <w:r w:rsidR="00075388" w:rsidRPr="00075388">
        <w:t>single rectangle (with subjects as rows and variables as columns, and with a single header row</w:t>
      </w:r>
      <w:r w:rsidR="00075388">
        <w:t>)</w:t>
      </w:r>
      <w:r w:rsidR="007E3C86">
        <w:t xml:space="preserve">, </w:t>
      </w:r>
      <w:r w:rsidR="007E3C86" w:rsidRPr="007E3C86">
        <w:rPr>
          <w:b/>
          <w:bCs/>
        </w:rPr>
        <w:t>c</w:t>
      </w:r>
      <w:r w:rsidR="00075388" w:rsidRPr="007E3C86">
        <w:rPr>
          <w:b/>
          <w:bCs/>
        </w:rPr>
        <w:t>reate a data dictionary</w:t>
      </w:r>
      <w:r w:rsidR="007E3C86">
        <w:t>, d</w:t>
      </w:r>
      <w:r w:rsidR="00075388">
        <w:t>o not include calculations in the raw data files</w:t>
      </w:r>
      <w:r w:rsidR="007E3C86">
        <w:t>, d</w:t>
      </w:r>
      <w:r w:rsidR="00075388">
        <w:t>o not use font color for highlighting data</w:t>
      </w:r>
      <w:r w:rsidR="007E3C86">
        <w:t>, c</w:t>
      </w:r>
      <w:r w:rsidR="00075388">
        <w:t>hoose good names for things</w:t>
      </w:r>
      <w:r w:rsidR="007E3C86">
        <w:t>, m</w:t>
      </w:r>
      <w:r w:rsidR="00075388">
        <w:t xml:space="preserve">ake </w:t>
      </w:r>
      <w:r w:rsidR="007E3C86">
        <w:t>b</w:t>
      </w:r>
      <w:r w:rsidR="00075388">
        <w:t>ackups</w:t>
      </w:r>
      <w:r w:rsidR="007E3C86">
        <w:t>, u</w:t>
      </w:r>
      <w:r w:rsidR="00075388">
        <w:t>se data validation to avoid data entry errors</w:t>
      </w:r>
      <w:r w:rsidR="007E3C86">
        <w:t>, s</w:t>
      </w:r>
      <w:r w:rsidR="00075388">
        <w:t>ave the data as plain text files</w:t>
      </w:r>
    </w:p>
    <w:p w14:paraId="53378640" w14:textId="684DD149" w:rsidR="007E3C86" w:rsidRDefault="007E3C86" w:rsidP="007E3C86">
      <w:pPr>
        <w:pStyle w:val="ListParagraph"/>
        <w:numPr>
          <w:ilvl w:val="1"/>
          <w:numId w:val="5"/>
        </w:numPr>
      </w:pPr>
      <w:r>
        <w:t xml:space="preserve">Eleven tips for working with large data. </w:t>
      </w:r>
      <w:proofErr w:type="spellStart"/>
      <w:r>
        <w:t>Nowogrodzki</w:t>
      </w:r>
      <w:proofErr w:type="spellEnd"/>
      <w:r>
        <w:t xml:space="preserve"> 2020 </w:t>
      </w:r>
      <w:hyperlink r:id="rId19" w:history="1">
        <w:r w:rsidRPr="00737A71">
          <w:rPr>
            <w:rStyle w:val="Hyperlink"/>
          </w:rPr>
          <w:t>https://www.nature.com/articles/d41586-020-00062-z</w:t>
        </w:r>
      </w:hyperlink>
      <w:r>
        <w:t xml:space="preserve">: Cherish your data, visualize the information, </w:t>
      </w:r>
      <w:r w:rsidRPr="007E3C86">
        <w:rPr>
          <w:b/>
          <w:bCs/>
        </w:rPr>
        <w:t>show your workflow</w:t>
      </w:r>
      <w:r>
        <w:t xml:space="preserve">, </w:t>
      </w:r>
      <w:r w:rsidRPr="007E3C86">
        <w:rPr>
          <w:b/>
          <w:bCs/>
        </w:rPr>
        <w:t>use version control</w:t>
      </w:r>
      <w:r>
        <w:t>, record metadata, automate-automate-automate, make computing time count, capture your environment, don’t download the data, start early with data organization, get help</w:t>
      </w:r>
    </w:p>
    <w:p w14:paraId="0C62BE41" w14:textId="01A5F4F8" w:rsidR="00E70135" w:rsidRDefault="00E70135" w:rsidP="00E70135">
      <w:pPr>
        <w:pStyle w:val="ListParagraph"/>
        <w:numPr>
          <w:ilvl w:val="0"/>
          <w:numId w:val="5"/>
        </w:numPr>
      </w:pPr>
      <w:r>
        <w:t>If working with data personally:</w:t>
      </w:r>
    </w:p>
    <w:p w14:paraId="56B37222" w14:textId="43BE434E" w:rsidR="00E70135" w:rsidRDefault="00E70135" w:rsidP="00E70135">
      <w:pPr>
        <w:pStyle w:val="ListParagraph"/>
        <w:numPr>
          <w:ilvl w:val="1"/>
          <w:numId w:val="5"/>
        </w:numPr>
      </w:pPr>
      <w:r>
        <w:t>Consider reading a textbook on data integration – which is a discipline that exist</w:t>
      </w:r>
      <w:r w:rsidR="00173FCC">
        <w:t>ed</w:t>
      </w:r>
      <w:r>
        <w:t xml:space="preserve"> independent</w:t>
      </w:r>
      <w:r w:rsidR="00173FCC">
        <w:t xml:space="preserve">ly </w:t>
      </w:r>
      <w:r>
        <w:t xml:space="preserve">of biology, and has many problems </w:t>
      </w:r>
      <w:r w:rsidR="00FE171D">
        <w:t xml:space="preserve">already </w:t>
      </w:r>
      <w:r>
        <w:t>solved; recommend</w:t>
      </w:r>
      <w:r w:rsidR="00FE171D">
        <w:t>:</w:t>
      </w:r>
      <w:r>
        <w:t xml:space="preserve"> Principles of Data Integration by Doan, Halevy, Ives</w:t>
      </w:r>
    </w:p>
    <w:p w14:paraId="1C3AF064" w14:textId="13E4B2EB" w:rsidR="00E70135" w:rsidRDefault="00E70135" w:rsidP="00E70135">
      <w:pPr>
        <w:pStyle w:val="ListParagraph"/>
        <w:numPr>
          <w:ilvl w:val="1"/>
          <w:numId w:val="5"/>
        </w:numPr>
      </w:pPr>
      <w:r>
        <w:t xml:space="preserve">Consider </w:t>
      </w:r>
      <w:r w:rsidR="005518C0">
        <w:t xml:space="preserve">including/adding </w:t>
      </w:r>
      <w:r>
        <w:t>field-specific conventions,</w:t>
      </w:r>
      <w:r w:rsidR="00FE171D">
        <w:t xml:space="preserve"> of which you might have heard,</w:t>
      </w:r>
      <w:r>
        <w:t xml:space="preserve"> </w:t>
      </w:r>
      <w:r w:rsidR="005518C0">
        <w:t>e.g.: tidy data (</w:t>
      </w:r>
      <w:hyperlink r:id="rId20" w:history="1">
        <w:r w:rsidR="00C62399" w:rsidRPr="00737A71">
          <w:rPr>
            <w:rStyle w:val="Hyperlink"/>
          </w:rPr>
          <w:t>https://en.wikipedia.org/wiki/Tidy_data</w:t>
        </w:r>
      </w:hyperlink>
      <w:r w:rsidR="005518C0">
        <w:t>)</w:t>
      </w:r>
    </w:p>
    <w:p w14:paraId="030C0C16" w14:textId="6144FCA3" w:rsidR="005363CF" w:rsidRDefault="005363CF" w:rsidP="005363CF">
      <w:pPr>
        <w:pStyle w:val="ListParagraph"/>
        <w:numPr>
          <w:ilvl w:val="1"/>
          <w:numId w:val="5"/>
        </w:numPr>
      </w:pPr>
      <w:r w:rsidRPr="005518C0">
        <w:rPr>
          <w:b/>
          <w:bCs/>
        </w:rPr>
        <w:t>Wrappers</w:t>
      </w:r>
      <w:r>
        <w:t xml:space="preserve">: Do not access data directly from your analytical code, and instead access it through a function that sits between analytical code and data. This way you can focus on analytics, while allowing data to grow (or be moved to other storage location or </w:t>
      </w:r>
      <w:r w:rsidR="00FE171D">
        <w:t xml:space="preserve">storage </w:t>
      </w:r>
      <w:r>
        <w:t xml:space="preserve">type when project matures). Also, </w:t>
      </w:r>
      <w:r w:rsidR="00FE171D">
        <w:t>this strategy will</w:t>
      </w:r>
      <w:r>
        <w:t xml:space="preserve"> allow you to optimize speed of data access only when needed.</w:t>
      </w:r>
    </w:p>
    <w:p w14:paraId="090C3E90" w14:textId="77777777" w:rsidR="005347B1" w:rsidRDefault="005347B1" w:rsidP="00C0073D"/>
    <w:p w14:paraId="3F033E0F" w14:textId="34C76B4F" w:rsidR="00C0073D" w:rsidRPr="005347B1" w:rsidRDefault="005347B1" w:rsidP="00C0073D">
      <w:pPr>
        <w:rPr>
          <w:b/>
          <w:bCs/>
          <w:u w:val="single"/>
        </w:rPr>
      </w:pPr>
      <w:r w:rsidRPr="005347B1">
        <w:rPr>
          <w:b/>
          <w:bCs/>
          <w:u w:val="single"/>
        </w:rPr>
        <w:t>Analytical approaches to combine multiple datasets</w:t>
      </w:r>
    </w:p>
    <w:p w14:paraId="616C832C" w14:textId="5EFAE955" w:rsidR="005347B1" w:rsidRDefault="005347B1" w:rsidP="005347B1">
      <w:pPr>
        <w:pStyle w:val="ListParagraph"/>
        <w:numPr>
          <w:ilvl w:val="0"/>
          <w:numId w:val="6"/>
        </w:numPr>
      </w:pPr>
      <w:r>
        <w:t xml:space="preserve">Take home: Be cautious and </w:t>
      </w:r>
      <w:r w:rsidRPr="00804FDD">
        <w:rPr>
          <w:b/>
          <w:bCs/>
        </w:rPr>
        <w:t>know how you know how well approaches work</w:t>
      </w:r>
      <w:r>
        <w:t>.</w:t>
      </w:r>
    </w:p>
    <w:p w14:paraId="427184F1" w14:textId="188FCCE5" w:rsidR="005347B1" w:rsidRDefault="005347B1" w:rsidP="00C0073D">
      <w:pPr>
        <w:pStyle w:val="ListParagraph"/>
        <w:numPr>
          <w:ilvl w:val="0"/>
          <w:numId w:val="6"/>
        </w:numPr>
      </w:pPr>
      <w:r>
        <w:t>Some standardized tools – particularly around common -</w:t>
      </w:r>
      <w:proofErr w:type="spellStart"/>
      <w:r>
        <w:t>omes</w:t>
      </w:r>
      <w:proofErr w:type="spellEnd"/>
      <w:r>
        <w:t>, such as those relating to gene expression</w:t>
      </w:r>
      <w:r w:rsidR="00596A0F">
        <w:t>,</w:t>
      </w:r>
      <w:r>
        <w:t xml:space="preserve"> e.g.: </w:t>
      </w:r>
      <w:hyperlink r:id="rId21" w:history="1">
        <w:r w:rsidRPr="00804FDD">
          <w:rPr>
            <w:rStyle w:val="Hyperlink"/>
          </w:rPr>
          <w:t>github.com/</w:t>
        </w:r>
        <w:proofErr w:type="spellStart"/>
        <w:r w:rsidRPr="00804FDD">
          <w:rPr>
            <w:rStyle w:val="Hyperlink"/>
          </w:rPr>
          <w:t>mikelove</w:t>
        </w:r>
        <w:proofErr w:type="spellEnd"/>
        <w:r w:rsidRPr="00804FDD">
          <w:rPr>
            <w:rStyle w:val="Hyperlink"/>
          </w:rPr>
          <w:t>/awesome-multi-omics</w:t>
        </w:r>
      </w:hyperlink>
      <w:r w:rsidR="00596A0F">
        <w:t>, but less for more creative multi-</w:t>
      </w:r>
      <w:proofErr w:type="spellStart"/>
      <w:r w:rsidR="00596A0F">
        <w:t>omes</w:t>
      </w:r>
      <w:proofErr w:type="spellEnd"/>
    </w:p>
    <w:p w14:paraId="384B347A" w14:textId="33AB8E38" w:rsidR="005347B1" w:rsidRDefault="00596A0F" w:rsidP="00C0073D">
      <w:pPr>
        <w:pStyle w:val="ListParagraph"/>
        <w:numPr>
          <w:ilvl w:val="0"/>
          <w:numId w:val="6"/>
        </w:numPr>
      </w:pPr>
      <w:r>
        <w:t>Some</w:t>
      </w:r>
      <w:r w:rsidR="005347B1">
        <w:t xml:space="preserve"> different </w:t>
      </w:r>
      <w:r>
        <w:t>general</w:t>
      </w:r>
      <w:r w:rsidR="005347B1">
        <w:t xml:space="preserve"> strategies</w:t>
      </w:r>
      <w:r w:rsidR="00EF6419">
        <w:t>;</w:t>
      </w:r>
      <w:r w:rsidR="005347B1">
        <w:t xml:space="preserve"> </w:t>
      </w:r>
      <w:proofErr w:type="spellStart"/>
      <w:r w:rsidR="005347B1">
        <w:t>Rappoport</w:t>
      </w:r>
      <w:proofErr w:type="spellEnd"/>
      <w:r w:rsidR="005347B1">
        <w:t xml:space="preserve"> et Shamir, 2018, </w:t>
      </w:r>
      <w:hyperlink r:id="rId22" w:history="1">
        <w:r w:rsidR="005347B1" w:rsidRPr="00737A71">
          <w:rPr>
            <w:rStyle w:val="Hyperlink"/>
          </w:rPr>
          <w:t>https://doi.org/10.1093/nar/gky889</w:t>
        </w:r>
      </w:hyperlink>
      <w:r w:rsidR="005347B1">
        <w:t xml:space="preserve"> and Stuart et </w:t>
      </w:r>
      <w:proofErr w:type="spellStart"/>
      <w:r w:rsidR="005347B1">
        <w:t>Satija</w:t>
      </w:r>
      <w:proofErr w:type="spellEnd"/>
      <w:r w:rsidR="005347B1">
        <w:t xml:space="preserve">, 2019, </w:t>
      </w:r>
      <w:hyperlink r:id="rId23" w:history="1">
        <w:r w:rsidR="005347B1" w:rsidRPr="00737A71">
          <w:rPr>
            <w:rStyle w:val="Hyperlink"/>
          </w:rPr>
          <w:t>https://doi.org/10.1038/s41576-019-0093-7</w:t>
        </w:r>
      </w:hyperlink>
    </w:p>
    <w:p w14:paraId="5AFCA41B" w14:textId="6944167E" w:rsidR="005347B1" w:rsidRDefault="005347B1" w:rsidP="008E5EF9">
      <w:pPr>
        <w:ind w:firstLine="360"/>
        <w:jc w:val="center"/>
      </w:pPr>
      <w:r>
        <w:rPr>
          <w:noProof/>
        </w:rPr>
        <w:drawing>
          <wp:inline distT="0" distB="0" distL="0" distR="0" wp14:anchorId="405C2484" wp14:editId="3387F7E6">
            <wp:extent cx="3554392" cy="1848897"/>
            <wp:effectExtent l="0" t="0" r="1905" b="5715"/>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rotWithShape="1">
                    <a:blip r:embed="rId24" cstate="print">
                      <a:extLst>
                        <a:ext uri="{28A0092B-C50C-407E-A947-70E740481C1C}">
                          <a14:useLocalDpi xmlns:a14="http://schemas.microsoft.com/office/drawing/2010/main" val="0"/>
                        </a:ext>
                      </a:extLst>
                    </a:blip>
                    <a:srcRect l="9228" b="8530"/>
                    <a:stretch/>
                  </pic:blipFill>
                  <pic:spPr bwMode="auto">
                    <a:xfrm>
                      <a:off x="0" y="0"/>
                      <a:ext cx="3706152" cy="1927839"/>
                    </a:xfrm>
                    <a:prstGeom prst="rect">
                      <a:avLst/>
                    </a:prstGeom>
                    <a:ln>
                      <a:noFill/>
                    </a:ln>
                    <a:extLst>
                      <a:ext uri="{53640926-AAD7-44D8-BBD7-CCE9431645EC}">
                        <a14:shadowObscured xmlns:a14="http://schemas.microsoft.com/office/drawing/2010/main"/>
                      </a:ext>
                    </a:extLst>
                  </pic:spPr>
                </pic:pic>
              </a:graphicData>
            </a:graphic>
          </wp:inline>
        </w:drawing>
      </w:r>
      <w:r w:rsidR="001F0153" w:rsidRPr="001F0153">
        <w:rPr>
          <w:sz w:val="21"/>
          <w:szCs w:val="21"/>
        </w:rPr>
        <w:t xml:space="preserve">Figure from </w:t>
      </w:r>
      <w:proofErr w:type="spellStart"/>
      <w:r w:rsidR="001F0153" w:rsidRPr="001F0153">
        <w:rPr>
          <w:sz w:val="21"/>
          <w:szCs w:val="21"/>
        </w:rPr>
        <w:t>Rappoport</w:t>
      </w:r>
      <w:proofErr w:type="spellEnd"/>
      <w:r w:rsidR="001F0153" w:rsidRPr="001F0153">
        <w:rPr>
          <w:sz w:val="21"/>
          <w:szCs w:val="21"/>
        </w:rPr>
        <w:t xml:space="preserve"> et Shamir</w:t>
      </w:r>
    </w:p>
    <w:p w14:paraId="7AE19315" w14:textId="01BADB8F" w:rsidR="005347B1" w:rsidRDefault="005347B1" w:rsidP="005347B1">
      <w:pPr>
        <w:pStyle w:val="ListParagraph"/>
        <w:numPr>
          <w:ilvl w:val="0"/>
          <w:numId w:val="8"/>
        </w:numPr>
      </w:pPr>
      <w:r>
        <w:t xml:space="preserve">Performance can ultimately depend on how good underlying assumptions match biology (e.g.: if “true” observations are conserved across distinct modalities of the data – or if they are not); see above review </w:t>
      </w:r>
      <w:r w:rsidR="00C103FE">
        <w:t xml:space="preserve">by </w:t>
      </w:r>
      <w:proofErr w:type="spellStart"/>
      <w:r w:rsidR="00C103FE">
        <w:t>Rappoport</w:t>
      </w:r>
      <w:proofErr w:type="spellEnd"/>
      <w:r w:rsidR="00C103FE">
        <w:t xml:space="preserve"> et Shamir </w:t>
      </w:r>
      <w:r>
        <w:t>for example.</w:t>
      </w:r>
      <w:r w:rsidR="00E0744F">
        <w:t xml:space="preserve"> This also means that there might not be something like a “best” approach.</w:t>
      </w:r>
    </w:p>
    <w:p w14:paraId="79A9AFEB" w14:textId="37A22260" w:rsidR="005347B1" w:rsidRDefault="00804FDD" w:rsidP="005347B1">
      <w:pPr>
        <w:pStyle w:val="ListParagraph"/>
        <w:numPr>
          <w:ilvl w:val="0"/>
          <w:numId w:val="8"/>
        </w:numPr>
      </w:pPr>
      <w:r>
        <w:t>Addressing how well an approach works:</w:t>
      </w:r>
    </w:p>
    <w:p w14:paraId="620D8A0D" w14:textId="71C24DEF" w:rsidR="00804FDD" w:rsidRDefault="00804FDD" w:rsidP="00EE448A">
      <w:pPr>
        <w:pStyle w:val="ListParagraph"/>
        <w:numPr>
          <w:ilvl w:val="1"/>
          <w:numId w:val="8"/>
        </w:numPr>
      </w:pPr>
      <w:r w:rsidRPr="001F0153">
        <w:rPr>
          <w:b/>
          <w:bCs/>
        </w:rPr>
        <w:t>Performance of a</w:t>
      </w:r>
      <w:r w:rsidR="00EF6419">
        <w:rPr>
          <w:b/>
          <w:bCs/>
        </w:rPr>
        <w:t xml:space="preserve"> </w:t>
      </w:r>
      <w:proofErr w:type="spellStart"/>
      <w:r w:rsidR="00EF6419">
        <w:rPr>
          <w:b/>
          <w:bCs/>
        </w:rPr>
        <w:t>modle</w:t>
      </w:r>
      <w:proofErr w:type="spellEnd"/>
      <w:r w:rsidRPr="001F0153">
        <w:rPr>
          <w:b/>
          <w:bCs/>
        </w:rPr>
        <w:t xml:space="preserve"> might not depend much on computational choice</w:t>
      </w:r>
      <w:r w:rsidR="00056E70">
        <w:t xml:space="preserve">, and instead might reflect absence of having observed the right data modality; E.g.: From field of sociology (regretfully such studies are rare/absent from most domains of biology), </w:t>
      </w:r>
      <w:proofErr w:type="spellStart"/>
      <w:r w:rsidR="00056E70">
        <w:t>Salganik</w:t>
      </w:r>
      <w:proofErr w:type="spellEnd"/>
      <w:r w:rsidR="00056E70">
        <w:t xml:space="preserve"> et al., 2020, </w:t>
      </w:r>
      <w:hyperlink r:id="rId25" w:history="1">
        <w:r w:rsidR="00056E70" w:rsidRPr="00737A71">
          <w:rPr>
            <w:rStyle w:val="Hyperlink"/>
          </w:rPr>
          <w:t>https://doi.org/10.1073/pnas.1915006117</w:t>
        </w:r>
      </w:hyperlink>
      <w:r w:rsidR="00056E70">
        <w:t xml:space="preserve"> had 160 scientific teams competing on constructing predictive models from the same massive multimodal data set through many different analytical approaches, and realized that the approaches not only had similar performances, but that their mistakes appeared for the same families (suggesting that lack of observing/measuring right modality, rather than analytical details, were problem)</w:t>
      </w:r>
    </w:p>
    <w:p w14:paraId="367E6C07" w14:textId="2DD6D890" w:rsidR="00804FDD" w:rsidRDefault="00804FDD" w:rsidP="00804FDD">
      <w:pPr>
        <w:pStyle w:val="ListParagraph"/>
        <w:numPr>
          <w:ilvl w:val="1"/>
          <w:numId w:val="8"/>
        </w:numPr>
      </w:pPr>
      <w:r>
        <w:t xml:space="preserve">Do </w:t>
      </w:r>
      <w:r w:rsidRPr="00FE171D">
        <w:rPr>
          <w:b/>
          <w:bCs/>
          <w:u w:val="single"/>
        </w:rPr>
        <w:t>cross-validation</w:t>
      </w:r>
      <w:r w:rsidRPr="00FE171D">
        <w:rPr>
          <w:u w:val="single"/>
        </w:rPr>
        <w:t>,</w:t>
      </w:r>
      <w:r>
        <w:t xml:space="preserve"> a data-scientific approach used independent of -omics: Leave out some samples, develop model, and see how well it explains observations among the samples that have not been used to develop the model. E.g.: McCabe et al, 2019, </w:t>
      </w:r>
      <w:hyperlink r:id="rId26" w:history="1">
        <w:r w:rsidRPr="00737A71">
          <w:rPr>
            <w:rStyle w:val="Hyperlink"/>
          </w:rPr>
          <w:t>https://doi.org/10.1093/bib/bbz070</w:t>
        </w:r>
      </w:hyperlink>
      <w:r>
        <w:t xml:space="preserve"> </w:t>
      </w:r>
    </w:p>
    <w:p w14:paraId="1D2630D4" w14:textId="5D2C069C" w:rsidR="00B043F3" w:rsidRDefault="00B043F3" w:rsidP="00B043F3"/>
    <w:p w14:paraId="7D068774" w14:textId="52DA6719" w:rsidR="00B043F3" w:rsidRDefault="00B043F3" w:rsidP="00B043F3">
      <w:pPr>
        <w:rPr>
          <w:b/>
          <w:bCs/>
          <w:u w:val="single"/>
        </w:rPr>
      </w:pPr>
      <w:r>
        <w:rPr>
          <w:b/>
          <w:bCs/>
          <w:u w:val="single"/>
        </w:rPr>
        <w:t>How similar are genes to each other when assessed through the lenses of distinct -</w:t>
      </w:r>
      <w:proofErr w:type="spellStart"/>
      <w:r>
        <w:rPr>
          <w:b/>
          <w:bCs/>
          <w:u w:val="single"/>
        </w:rPr>
        <w:t>omes</w:t>
      </w:r>
      <w:proofErr w:type="spellEnd"/>
      <w:r>
        <w:rPr>
          <w:b/>
          <w:bCs/>
          <w:u w:val="single"/>
        </w:rPr>
        <w:t>?</w:t>
      </w:r>
    </w:p>
    <w:p w14:paraId="1FB21130" w14:textId="1DFE38BA" w:rsidR="00B043F3" w:rsidRDefault="00B043F3" w:rsidP="00B043F3">
      <w:pPr>
        <w:pStyle w:val="ListParagraph"/>
        <w:numPr>
          <w:ilvl w:val="0"/>
          <w:numId w:val="9"/>
        </w:numPr>
      </w:pPr>
      <w:r>
        <w:t xml:space="preserve">It is possible to assess similarity between two genes </w:t>
      </w:r>
      <w:r w:rsidR="008E5EF9">
        <w:t>from an individual -</w:t>
      </w:r>
      <w:proofErr w:type="spellStart"/>
      <w:r w:rsidR="008E5EF9">
        <w:t>ome</w:t>
      </w:r>
      <w:proofErr w:type="spellEnd"/>
      <w:r w:rsidR="008E5EF9">
        <w:t>, e.g.: genes with a similar differential expression across perturbations can be said to be more similar to each other</w:t>
      </w:r>
      <w:r w:rsidR="005C5EFA">
        <w:t>; likewise, it is possible to define similarities by known biology (e.g.: if genes are involved in same pathways)</w:t>
      </w:r>
    </w:p>
    <w:p w14:paraId="5A4043EC" w14:textId="1BE290E2" w:rsidR="005C5EFA" w:rsidRDefault="005C5EFA" w:rsidP="00B043F3">
      <w:pPr>
        <w:pStyle w:val="ListParagraph"/>
        <w:numPr>
          <w:ilvl w:val="0"/>
          <w:numId w:val="9"/>
        </w:numPr>
      </w:pPr>
      <w:r>
        <w:t>In next 45 minutes: Ask whether distinct lenses (e.g.: gene expression, pathways, diseases) identify the same</w:t>
      </w:r>
      <w:r w:rsidR="002F2579">
        <w:t xml:space="preserve"> pairs of</w:t>
      </w:r>
      <w:r>
        <w:t xml:space="preserve"> genes to be similar and if/when they provided additional information.</w:t>
      </w:r>
    </w:p>
    <w:p w14:paraId="39E2646F" w14:textId="15186E48" w:rsidR="005C5EFA" w:rsidRDefault="005C5EFA" w:rsidP="00EF0191">
      <w:pPr>
        <w:pStyle w:val="ListParagraph"/>
        <w:numPr>
          <w:ilvl w:val="0"/>
          <w:numId w:val="9"/>
        </w:numPr>
      </w:pPr>
      <w:r>
        <w:t xml:space="preserve">You can download preprocessed similarities from </w:t>
      </w:r>
      <w:hyperlink r:id="rId27" w:history="1">
        <w:r w:rsidRPr="00737A71">
          <w:rPr>
            <w:rStyle w:val="Hyperlink"/>
          </w:rPr>
          <w:t>https://maayanlab.cloud/Harmonizome</w:t>
        </w:r>
      </w:hyperlink>
      <w:r>
        <w:t xml:space="preserve"> or (better as faster, but limited to some -</w:t>
      </w:r>
      <w:proofErr w:type="spellStart"/>
      <w:r>
        <w:t>omes</w:t>
      </w:r>
      <w:proofErr w:type="spellEnd"/>
      <w:r>
        <w:t xml:space="preserve">) from </w:t>
      </w:r>
      <w:hyperlink r:id="rId28" w:history="1">
        <w:r w:rsidR="00EF6419" w:rsidRPr="00095A3E">
          <w:rPr>
            <w:rStyle w:val="Hyperlink"/>
          </w:rPr>
          <w:t>https://northwestern.box.com/s/dvrxld7ioe6jgm2srrs7rj8mzkqpkhsa</w:t>
        </w:r>
      </w:hyperlink>
      <w:r w:rsidR="00EF6419">
        <w:t xml:space="preserve"> .</w:t>
      </w:r>
      <w:r w:rsidR="00EF0191" w:rsidRPr="00EF0191">
        <w:t xml:space="preserve"> </w:t>
      </w:r>
      <w:r w:rsidR="00EF0191">
        <w:t>For example code</w:t>
      </w:r>
      <w:r w:rsidR="00EF0191">
        <w:t xml:space="preserve"> </w:t>
      </w:r>
      <w:r w:rsidR="00EF0191">
        <w:t xml:space="preserve">see </w:t>
      </w:r>
      <w:hyperlink r:id="rId29" w:history="1">
        <w:r w:rsidR="00EF0191" w:rsidRPr="00095A3E">
          <w:rPr>
            <w:rStyle w:val="Hyperlink"/>
          </w:rPr>
          <w:t>https://github.com/tstoeger/course_multi_omics/blob/main/how_well_do_different_views_on_biology_correlate.ipynb</w:t>
        </w:r>
      </w:hyperlink>
      <w:r w:rsidR="00EF0191">
        <w:t xml:space="preserve"> </w:t>
      </w:r>
    </w:p>
    <w:p w14:paraId="6D781869" w14:textId="3422239E" w:rsidR="005C5EFA" w:rsidRPr="005C5EFA" w:rsidRDefault="005C5EFA" w:rsidP="00B043F3">
      <w:pPr>
        <w:pStyle w:val="ListParagraph"/>
        <w:numPr>
          <w:ilvl w:val="0"/>
          <w:numId w:val="9"/>
        </w:numPr>
        <w:rPr>
          <w:b/>
          <w:bCs/>
        </w:rPr>
      </w:pPr>
      <w:r w:rsidRPr="005C5EFA">
        <w:rPr>
          <w:b/>
          <w:bCs/>
        </w:rPr>
        <w:t>Be creative!</w:t>
      </w:r>
    </w:p>
    <w:p w14:paraId="0E3E9EE5" w14:textId="68C9CE67" w:rsidR="008E5EF9" w:rsidRDefault="005C5EFA" w:rsidP="005C5EFA">
      <w:pPr>
        <w:pStyle w:val="ListParagraph"/>
        <w:numPr>
          <w:ilvl w:val="0"/>
          <w:numId w:val="9"/>
        </w:numPr>
      </w:pPr>
      <w:r>
        <w:t>Afterwards, interested people can optionally share their results/conclusions.</w:t>
      </w:r>
    </w:p>
    <w:sectPr w:rsidR="008E5EF9" w:rsidSect="0000508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C49CA"/>
    <w:multiLevelType w:val="hybridMultilevel"/>
    <w:tmpl w:val="15688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0B3F94"/>
    <w:multiLevelType w:val="hybridMultilevel"/>
    <w:tmpl w:val="BED810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900F48"/>
    <w:multiLevelType w:val="hybridMultilevel"/>
    <w:tmpl w:val="F044E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8D1064"/>
    <w:multiLevelType w:val="hybridMultilevel"/>
    <w:tmpl w:val="106E9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D40717"/>
    <w:multiLevelType w:val="hybridMultilevel"/>
    <w:tmpl w:val="555C05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BB31E57"/>
    <w:multiLevelType w:val="hybridMultilevel"/>
    <w:tmpl w:val="3F90F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1D093A"/>
    <w:multiLevelType w:val="hybridMultilevel"/>
    <w:tmpl w:val="6F6CD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411AFE"/>
    <w:multiLevelType w:val="hybridMultilevel"/>
    <w:tmpl w:val="91E22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4048FE"/>
    <w:multiLevelType w:val="hybridMultilevel"/>
    <w:tmpl w:val="1BD07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0"/>
  </w:num>
  <w:num w:numId="5">
    <w:abstractNumId w:val="3"/>
  </w:num>
  <w:num w:numId="6">
    <w:abstractNumId w:val="8"/>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EB4"/>
    <w:rsid w:val="00005080"/>
    <w:rsid w:val="000074CF"/>
    <w:rsid w:val="00022735"/>
    <w:rsid w:val="00035C85"/>
    <w:rsid w:val="00056E70"/>
    <w:rsid w:val="000715E4"/>
    <w:rsid w:val="00075388"/>
    <w:rsid w:val="00077AF1"/>
    <w:rsid w:val="000D21F4"/>
    <w:rsid w:val="000E504D"/>
    <w:rsid w:val="001003B5"/>
    <w:rsid w:val="0010041C"/>
    <w:rsid w:val="00113935"/>
    <w:rsid w:val="00113B06"/>
    <w:rsid w:val="00125399"/>
    <w:rsid w:val="001527C9"/>
    <w:rsid w:val="001666C0"/>
    <w:rsid w:val="001700B0"/>
    <w:rsid w:val="00172D39"/>
    <w:rsid w:val="00173FCC"/>
    <w:rsid w:val="00180C23"/>
    <w:rsid w:val="0018279B"/>
    <w:rsid w:val="00182878"/>
    <w:rsid w:val="00195068"/>
    <w:rsid w:val="001A7368"/>
    <w:rsid w:val="001B5B32"/>
    <w:rsid w:val="001C7A0D"/>
    <w:rsid w:val="001F0153"/>
    <w:rsid w:val="002234DC"/>
    <w:rsid w:val="00266FD1"/>
    <w:rsid w:val="00280630"/>
    <w:rsid w:val="00286534"/>
    <w:rsid w:val="002A434F"/>
    <w:rsid w:val="002C7D4C"/>
    <w:rsid w:val="002E03C7"/>
    <w:rsid w:val="002E4359"/>
    <w:rsid w:val="002E59A5"/>
    <w:rsid w:val="002F2579"/>
    <w:rsid w:val="002F68F8"/>
    <w:rsid w:val="00327205"/>
    <w:rsid w:val="00344980"/>
    <w:rsid w:val="00347BA8"/>
    <w:rsid w:val="0037174E"/>
    <w:rsid w:val="003920AB"/>
    <w:rsid w:val="00394447"/>
    <w:rsid w:val="003A51E8"/>
    <w:rsid w:val="003A68C8"/>
    <w:rsid w:val="003B2B1B"/>
    <w:rsid w:val="003B3720"/>
    <w:rsid w:val="003B60B7"/>
    <w:rsid w:val="003C396C"/>
    <w:rsid w:val="003D32FA"/>
    <w:rsid w:val="003D3F00"/>
    <w:rsid w:val="00406377"/>
    <w:rsid w:val="00415C14"/>
    <w:rsid w:val="00464861"/>
    <w:rsid w:val="00477A34"/>
    <w:rsid w:val="00481FD2"/>
    <w:rsid w:val="0048495A"/>
    <w:rsid w:val="0048713D"/>
    <w:rsid w:val="00490EB0"/>
    <w:rsid w:val="00492AF9"/>
    <w:rsid w:val="004B0318"/>
    <w:rsid w:val="00515850"/>
    <w:rsid w:val="00524666"/>
    <w:rsid w:val="005347B1"/>
    <w:rsid w:val="005363CF"/>
    <w:rsid w:val="005518C0"/>
    <w:rsid w:val="00584D63"/>
    <w:rsid w:val="00596A0F"/>
    <w:rsid w:val="005A3C99"/>
    <w:rsid w:val="005B1DE8"/>
    <w:rsid w:val="005B71A9"/>
    <w:rsid w:val="005C4349"/>
    <w:rsid w:val="005C5EFA"/>
    <w:rsid w:val="005E33E4"/>
    <w:rsid w:val="006154B8"/>
    <w:rsid w:val="00623EE8"/>
    <w:rsid w:val="00627192"/>
    <w:rsid w:val="00637299"/>
    <w:rsid w:val="0065611F"/>
    <w:rsid w:val="006600E4"/>
    <w:rsid w:val="006604ED"/>
    <w:rsid w:val="0067279A"/>
    <w:rsid w:val="00676A36"/>
    <w:rsid w:val="00694021"/>
    <w:rsid w:val="006A6806"/>
    <w:rsid w:val="006D0904"/>
    <w:rsid w:val="007006B5"/>
    <w:rsid w:val="007057B5"/>
    <w:rsid w:val="00711293"/>
    <w:rsid w:val="00744E3D"/>
    <w:rsid w:val="007938FA"/>
    <w:rsid w:val="007A353C"/>
    <w:rsid w:val="007A4039"/>
    <w:rsid w:val="007B0C94"/>
    <w:rsid w:val="007B6EC0"/>
    <w:rsid w:val="007C6488"/>
    <w:rsid w:val="007D048B"/>
    <w:rsid w:val="007D1982"/>
    <w:rsid w:val="007D753A"/>
    <w:rsid w:val="007E3C86"/>
    <w:rsid w:val="00804823"/>
    <w:rsid w:val="00804FDD"/>
    <w:rsid w:val="00815F33"/>
    <w:rsid w:val="00846F2E"/>
    <w:rsid w:val="00847F1B"/>
    <w:rsid w:val="00860B2A"/>
    <w:rsid w:val="00880056"/>
    <w:rsid w:val="00881527"/>
    <w:rsid w:val="0088160D"/>
    <w:rsid w:val="00883B75"/>
    <w:rsid w:val="00892DDF"/>
    <w:rsid w:val="008B7B43"/>
    <w:rsid w:val="008E5EF9"/>
    <w:rsid w:val="009177D5"/>
    <w:rsid w:val="00921ACC"/>
    <w:rsid w:val="00937A5F"/>
    <w:rsid w:val="00960FFB"/>
    <w:rsid w:val="00965293"/>
    <w:rsid w:val="00982A0F"/>
    <w:rsid w:val="009942E4"/>
    <w:rsid w:val="009B1D3D"/>
    <w:rsid w:val="009C602B"/>
    <w:rsid w:val="009C7BE5"/>
    <w:rsid w:val="009D45DA"/>
    <w:rsid w:val="009D59BA"/>
    <w:rsid w:val="00A27A54"/>
    <w:rsid w:val="00A36E18"/>
    <w:rsid w:val="00A46EB4"/>
    <w:rsid w:val="00A50323"/>
    <w:rsid w:val="00A51D98"/>
    <w:rsid w:val="00A5711E"/>
    <w:rsid w:val="00A605FA"/>
    <w:rsid w:val="00A62057"/>
    <w:rsid w:val="00A63B8E"/>
    <w:rsid w:val="00A83338"/>
    <w:rsid w:val="00AE4767"/>
    <w:rsid w:val="00AF08A2"/>
    <w:rsid w:val="00B043F3"/>
    <w:rsid w:val="00B124A7"/>
    <w:rsid w:val="00B14315"/>
    <w:rsid w:val="00B34514"/>
    <w:rsid w:val="00B423B9"/>
    <w:rsid w:val="00B46465"/>
    <w:rsid w:val="00B51720"/>
    <w:rsid w:val="00B55832"/>
    <w:rsid w:val="00BA0323"/>
    <w:rsid w:val="00BA2CE8"/>
    <w:rsid w:val="00BB187B"/>
    <w:rsid w:val="00BB5952"/>
    <w:rsid w:val="00C0073D"/>
    <w:rsid w:val="00C06C5B"/>
    <w:rsid w:val="00C103FE"/>
    <w:rsid w:val="00C14EEE"/>
    <w:rsid w:val="00C33036"/>
    <w:rsid w:val="00C42F3E"/>
    <w:rsid w:val="00C52CE3"/>
    <w:rsid w:val="00C62399"/>
    <w:rsid w:val="00C877B9"/>
    <w:rsid w:val="00C90982"/>
    <w:rsid w:val="00C95926"/>
    <w:rsid w:val="00C97097"/>
    <w:rsid w:val="00CB4D3C"/>
    <w:rsid w:val="00CE1999"/>
    <w:rsid w:val="00CF02EF"/>
    <w:rsid w:val="00CF0E70"/>
    <w:rsid w:val="00CF13EC"/>
    <w:rsid w:val="00CF1F01"/>
    <w:rsid w:val="00D10C90"/>
    <w:rsid w:val="00D316C2"/>
    <w:rsid w:val="00D50B63"/>
    <w:rsid w:val="00D50CA3"/>
    <w:rsid w:val="00D72637"/>
    <w:rsid w:val="00D738FC"/>
    <w:rsid w:val="00D7466A"/>
    <w:rsid w:val="00DA09C5"/>
    <w:rsid w:val="00DA219D"/>
    <w:rsid w:val="00DA6560"/>
    <w:rsid w:val="00DC3212"/>
    <w:rsid w:val="00DF77DD"/>
    <w:rsid w:val="00E05953"/>
    <w:rsid w:val="00E0744F"/>
    <w:rsid w:val="00E2012C"/>
    <w:rsid w:val="00E268FA"/>
    <w:rsid w:val="00E41883"/>
    <w:rsid w:val="00E644BD"/>
    <w:rsid w:val="00E70135"/>
    <w:rsid w:val="00EA5854"/>
    <w:rsid w:val="00EB0CB1"/>
    <w:rsid w:val="00EC2392"/>
    <w:rsid w:val="00EC4028"/>
    <w:rsid w:val="00ED41E3"/>
    <w:rsid w:val="00EE051F"/>
    <w:rsid w:val="00EE0C99"/>
    <w:rsid w:val="00EF0191"/>
    <w:rsid w:val="00EF6419"/>
    <w:rsid w:val="00F01256"/>
    <w:rsid w:val="00F07A2D"/>
    <w:rsid w:val="00F25CD9"/>
    <w:rsid w:val="00F31CE5"/>
    <w:rsid w:val="00F36332"/>
    <w:rsid w:val="00F443A5"/>
    <w:rsid w:val="00F52755"/>
    <w:rsid w:val="00F53A59"/>
    <w:rsid w:val="00F5495E"/>
    <w:rsid w:val="00F635CB"/>
    <w:rsid w:val="00F709E7"/>
    <w:rsid w:val="00F72B48"/>
    <w:rsid w:val="00F94CA8"/>
    <w:rsid w:val="00FB49F1"/>
    <w:rsid w:val="00FC0CAF"/>
    <w:rsid w:val="00FC27A1"/>
    <w:rsid w:val="00FD1783"/>
    <w:rsid w:val="00FD630E"/>
    <w:rsid w:val="00FE171D"/>
    <w:rsid w:val="00FF7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E5C66"/>
  <w15:chartTrackingRefBased/>
  <w15:docId w15:val="{E20DA27B-A42B-3449-AC11-073EBECB8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56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656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EC0"/>
    <w:pPr>
      <w:ind w:left="720"/>
      <w:contextualSpacing/>
    </w:pPr>
  </w:style>
  <w:style w:type="character" w:customStyle="1" w:styleId="Heading1Char">
    <w:name w:val="Heading 1 Char"/>
    <w:basedOn w:val="DefaultParagraphFont"/>
    <w:link w:val="Heading1"/>
    <w:uiPriority w:val="9"/>
    <w:rsid w:val="00DA656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A6560"/>
  </w:style>
  <w:style w:type="character" w:customStyle="1" w:styleId="Heading2Char">
    <w:name w:val="Heading 2 Char"/>
    <w:basedOn w:val="DefaultParagraphFont"/>
    <w:link w:val="Heading2"/>
    <w:uiPriority w:val="9"/>
    <w:rsid w:val="00DA656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05080"/>
    <w:rPr>
      <w:color w:val="0563C1" w:themeColor="hyperlink"/>
      <w:u w:val="single"/>
    </w:rPr>
  </w:style>
  <w:style w:type="character" w:styleId="UnresolvedMention">
    <w:name w:val="Unresolved Mention"/>
    <w:basedOn w:val="DefaultParagraphFont"/>
    <w:uiPriority w:val="99"/>
    <w:semiHidden/>
    <w:unhideWhenUsed/>
    <w:rsid w:val="000050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985746">
      <w:bodyDiv w:val="1"/>
      <w:marLeft w:val="0"/>
      <w:marRight w:val="0"/>
      <w:marTop w:val="0"/>
      <w:marBottom w:val="0"/>
      <w:divBdr>
        <w:top w:val="none" w:sz="0" w:space="0" w:color="auto"/>
        <w:left w:val="none" w:sz="0" w:space="0" w:color="auto"/>
        <w:bottom w:val="none" w:sz="0" w:space="0" w:color="auto"/>
        <w:right w:val="none" w:sz="0" w:space="0" w:color="auto"/>
      </w:divBdr>
    </w:div>
    <w:div w:id="267349206">
      <w:bodyDiv w:val="1"/>
      <w:marLeft w:val="0"/>
      <w:marRight w:val="0"/>
      <w:marTop w:val="0"/>
      <w:marBottom w:val="0"/>
      <w:divBdr>
        <w:top w:val="none" w:sz="0" w:space="0" w:color="auto"/>
        <w:left w:val="none" w:sz="0" w:space="0" w:color="auto"/>
        <w:bottom w:val="none" w:sz="0" w:space="0" w:color="auto"/>
        <w:right w:val="none" w:sz="0" w:space="0" w:color="auto"/>
      </w:divBdr>
    </w:div>
    <w:div w:id="852185738">
      <w:bodyDiv w:val="1"/>
      <w:marLeft w:val="0"/>
      <w:marRight w:val="0"/>
      <w:marTop w:val="0"/>
      <w:marBottom w:val="0"/>
      <w:divBdr>
        <w:top w:val="none" w:sz="0" w:space="0" w:color="auto"/>
        <w:left w:val="none" w:sz="0" w:space="0" w:color="auto"/>
        <w:bottom w:val="none" w:sz="0" w:space="0" w:color="auto"/>
        <w:right w:val="none" w:sz="0" w:space="0" w:color="auto"/>
      </w:divBdr>
    </w:div>
    <w:div w:id="1001280481">
      <w:bodyDiv w:val="1"/>
      <w:marLeft w:val="0"/>
      <w:marRight w:val="0"/>
      <w:marTop w:val="0"/>
      <w:marBottom w:val="0"/>
      <w:divBdr>
        <w:top w:val="none" w:sz="0" w:space="0" w:color="auto"/>
        <w:left w:val="none" w:sz="0" w:space="0" w:color="auto"/>
        <w:bottom w:val="none" w:sz="0" w:space="0" w:color="auto"/>
        <w:right w:val="none" w:sz="0" w:space="0" w:color="auto"/>
      </w:divBdr>
    </w:div>
    <w:div w:id="1779443231">
      <w:bodyDiv w:val="1"/>
      <w:marLeft w:val="0"/>
      <w:marRight w:val="0"/>
      <w:marTop w:val="0"/>
      <w:marBottom w:val="0"/>
      <w:divBdr>
        <w:top w:val="none" w:sz="0" w:space="0" w:color="auto"/>
        <w:left w:val="none" w:sz="0" w:space="0" w:color="auto"/>
        <w:bottom w:val="none" w:sz="0" w:space="0" w:color="auto"/>
        <w:right w:val="none" w:sz="0" w:space="0" w:color="auto"/>
      </w:divBdr>
    </w:div>
    <w:div w:id="189412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26/science.aaa8332" TargetMode="External"/><Relationship Id="rId13" Type="http://schemas.openxmlformats.org/officeDocument/2006/relationships/hyperlink" Target="https://doi.org/10.1038/nrd.2018.14" TargetMode="External"/><Relationship Id="rId18" Type="http://schemas.openxmlformats.org/officeDocument/2006/relationships/hyperlink" Target="https://doi.org/10.1080/00031305.2017.1375989" TargetMode="External"/><Relationship Id="rId26" Type="http://schemas.openxmlformats.org/officeDocument/2006/relationships/hyperlink" Target="https://doi.org/10.1093/bib/bbz070" TargetMode="External"/><Relationship Id="rId3" Type="http://schemas.openxmlformats.org/officeDocument/2006/relationships/styles" Target="styles.xml"/><Relationship Id="rId21" Type="http://schemas.openxmlformats.org/officeDocument/2006/relationships/hyperlink" Target="http://github.com/mikelove/awesome-multi-omics" TargetMode="External"/><Relationship Id="rId7" Type="http://schemas.openxmlformats.org/officeDocument/2006/relationships/hyperlink" Target="https://doi.org/10.1038/msb.2010.59" TargetMode="External"/><Relationship Id="rId12" Type="http://schemas.openxmlformats.org/officeDocument/2006/relationships/hyperlink" Target="https://doi.org/10.1038/ng.3314" TargetMode="External"/><Relationship Id="rId17" Type="http://schemas.openxmlformats.org/officeDocument/2006/relationships/hyperlink" Target="https://doi.org/10.1038/s41586-020-2881-9" TargetMode="External"/><Relationship Id="rId25" Type="http://schemas.openxmlformats.org/officeDocument/2006/relationships/hyperlink" Target="https://doi.org/10.1073/pnas.1915006117" TargetMode="External"/><Relationship Id="rId2" Type="http://schemas.openxmlformats.org/officeDocument/2006/relationships/numbering" Target="numbering.xml"/><Relationship Id="rId16" Type="http://schemas.openxmlformats.org/officeDocument/2006/relationships/hyperlink" Target="https://doi.org/10.1038/s41586-019-1236-x" TargetMode="External"/><Relationship Id="rId20" Type="http://schemas.openxmlformats.org/officeDocument/2006/relationships/hyperlink" Target="https://en.wikipedia.org/wiki/Tidy_data" TargetMode="External"/><Relationship Id="rId29" Type="http://schemas.openxmlformats.org/officeDocument/2006/relationships/hyperlink" Target="https://github.com/tstoeger/course_multi_omics/blob/main/how_well_do_different_views_on_biology_correlate.ipynb"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126/science.1206871" TargetMode="Externa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i.org/10.1038/s41586-019-1237-9" TargetMode="External"/><Relationship Id="rId23" Type="http://schemas.openxmlformats.org/officeDocument/2006/relationships/hyperlink" Target="https://doi.org/10.1038/s41576-019-0093-7" TargetMode="External"/><Relationship Id="rId28" Type="http://schemas.openxmlformats.org/officeDocument/2006/relationships/hyperlink" Target="https://northwestern.box.com/s/dvrxld7ioe6jgm2srrs7rj8mzkqpkhsa" TargetMode="External"/><Relationship Id="rId10" Type="http://schemas.openxmlformats.org/officeDocument/2006/relationships/hyperlink" Target="https://doi.org/10.1016/j.cels.2018.09.001" TargetMode="External"/><Relationship Id="rId19" Type="http://schemas.openxmlformats.org/officeDocument/2006/relationships/hyperlink" Target="https://www.nature.com/articles/d41586-020-00062-z"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1016/j.cell.2019.08.005" TargetMode="External"/><Relationship Id="rId14" Type="http://schemas.openxmlformats.org/officeDocument/2006/relationships/hyperlink" Target="https://doi.org/10.7554/eLife.43094" TargetMode="External"/><Relationship Id="rId22" Type="http://schemas.openxmlformats.org/officeDocument/2006/relationships/hyperlink" Target="https://doi.org/10.1093/nar/gky889" TargetMode="External"/><Relationship Id="rId27" Type="http://schemas.openxmlformats.org/officeDocument/2006/relationships/hyperlink" Target="https://maayanlab.cloud/Harmonizom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9F49E-24FC-9545-8A0F-CA77F25B3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Pages>
  <Words>1520</Words>
  <Characters>8666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Stoeger</dc:creator>
  <cp:keywords/>
  <dc:description/>
  <cp:lastModifiedBy>Thomas Stoeger</cp:lastModifiedBy>
  <cp:revision>42</cp:revision>
  <dcterms:created xsi:type="dcterms:W3CDTF">2020-11-01T19:49:00Z</dcterms:created>
  <dcterms:modified xsi:type="dcterms:W3CDTF">2020-11-09T14:06:00Z</dcterms:modified>
</cp:coreProperties>
</file>