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A6B"/>
          <w:sz w:val="24"/>
          <w:szCs w:val="24"/>
        </w:rPr>
        <w:t xml:space="preserve">Franciscan Ministries | Plant Operations</w:t>
      </w:r>
    </w:p>
    <w:p>
      <w:pPr>
        <w:pBdr>
          <w:bottom w:val="single" w:color="C9A84C" w:sz="12" w:space="4"/>
        </w:pBdr>
        <w:spacing w:after="80"/>
      </w:pPr>
      <w:r>
        <w:rPr>
          <w:rFonts w:ascii="Calibri" w:cs="Calibri" w:eastAsia="Calibri" w:hAnsi="Calibri"/>
          <w:b/>
          <w:bCs/>
          <w:color w:val="1B3A6B"/>
          <w:sz w:val="40"/>
          <w:szCs w:val="40"/>
        </w:rPr>
        <w:t xml:space="preserve">Unit Turn Scheduling Tool</w:t>
      </w:r>
    </w:p>
    <w:p>
      <w:pPr>
        <w:spacing w:after="160" w:line="264"/>
      </w:pPr>
      <w:r>
        <w:rPr>
          <w:rFonts w:ascii="Calibri" w:cs="Calibri" w:eastAsia="Calibri" w:hAnsi="Calibri"/>
          <w:i/>
          <w:iCs/>
          <w:sz w:val="22"/>
          <w:szCs w:val="22"/>
        </w:rPr>
        <w:t xml:space="preserve">Working Specification | Status: In Design, Not Yet Built | Revision 5</w:t>
      </w:r>
    </w:p>
    <w:p>
      <w:pPr>
        <w:spacing w:after="160" w:line="264"/>
      </w:pPr>
      <w:r>
        <w:rPr>
          <w:rFonts w:ascii="Calibri" w:cs="Calibri" w:eastAsia="Calibri" w:hAnsi="Calibri"/>
          <w:i/>
          <w:iCs/>
          <w:sz w:val="22"/>
          <w:szCs w:val="22"/>
        </w:rPr>
        <w:t xml:space="preserve">Prepared for Tim Stoub, Regional Director of Plant Operations</w:t>
      </w:r>
    </w:p>
    <w:p>
      <w:pPr>
        <w:spacing w:after="160" w:line="264"/>
      </w:pPr>
      <w:r>
        <w:rPr>
          <w:rFonts w:ascii="Calibri" w:cs="Calibri" w:eastAsia="Calibri" w:hAnsi="Calibri"/>
          <w:sz w:val="22"/>
          <w:szCs w:val="22"/>
        </w:rPr>
        <w:t xml:space="preserve">Revision 5 incorporates the findings of the pre build product and process review of Revision 4, the first review pass focused on adoption, trust, and data custody rather than build correctness. Every Blocker, Major, Minor, and Question from that review is resolved or dispositioned in this revision, with one deliberate exception: M1, regional rollup visibility, is a strategic decision Tim is holding and is intentionally not resolved in this specification. This revision also rebuilds Branding Configuration around a single shared style block consumed by both the tool interface and the PDF output, and tightens the document overall, consolidating rules previously restated across multiple sections. A full change log appears at the end of this document.</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Purpose</w:t>
      </w:r>
    </w:p>
    <w:p>
      <w:pPr>
        <w:spacing w:after="160" w:line="264"/>
      </w:pPr>
      <w:r>
        <w:rPr>
          <w:rFonts w:ascii="Calibri" w:cs="Calibri" w:eastAsia="Calibri" w:hAnsi="Calibri"/>
          <w:sz w:val="22"/>
          <w:szCs w:val="22"/>
        </w:rPr>
        <w:t xml:space="preserve">This document consolidates the design decisions made to date for a unit turn scheduling tool. The tool is intended for DPO use only. It is not a compliance mechanism or a reporting tool for the region. It exists to give each DPO a way to build a scope of work for a unit turn, assign resources and durations to each step, capture costs as they become known, and generate a calculated schedule and a Unit Turn Request PDF for approval submission.</w:t>
      </w:r>
    </w:p>
    <w:p>
      <w:pPr>
        <w:spacing w:after="160" w:line="264"/>
      </w:pPr>
      <w:r>
        <w:rPr>
          <w:rFonts w:ascii="Calibri" w:cs="Calibri" w:eastAsia="Calibri" w:hAnsi="Calibri"/>
          <w:sz w:val="22"/>
          <w:szCs w:val="22"/>
        </w:rPr>
        <w:t xml:space="preserve">Scheduling happens in a single pass at the time of vacancy notice. Cost figures can be entered during that same pass when they are known, or at any time afterward as quotes arrive; see Setup Completion and Pricing Status. This is a working document.</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Core Concept</w:t>
      </w:r>
    </w:p>
    <w:p>
      <w:pPr>
        <w:spacing w:after="160" w:line="264"/>
      </w:pPr>
      <w:r>
        <w:rPr>
          <w:rFonts w:ascii="Calibri" w:cs="Calibri" w:eastAsia="Calibri" w:hAnsi="Calibri"/>
          <w:sz w:val="22"/>
          <w:szCs w:val="22"/>
        </w:rPr>
        <w:t xml:space="preserve">A DPO receives a vacancy notice and opens a new unit turn project. In one top to bottom setup pass, they toggle the applicable steps on or off, enter a scheduled window, assign a resource, flag whether FM is purchasing materials directly, and answer whether the step requires a material order. Cost figures are entered in the same pass when available, and can otherwise trail in as quotes arrive without blocking anything. From that setup pass the tool produces two outputs, a live schedule on the community calendar, and a completed Unit Turn Request PDF once the project is priced and ready for approval submission.</w:t>
      </w:r>
    </w:p>
    <w:p>
      <w:pPr>
        <w:spacing w:after="160" w:line="264"/>
      </w:pPr>
      <w:r>
        <w:rPr>
          <w:rFonts w:ascii="Calibri" w:cs="Calibri" w:eastAsia="Calibri" w:hAnsi="Calibri"/>
          <w:sz w:val="22"/>
          <w:szCs w:val="22"/>
        </w:rPr>
        <w:t xml:space="preserve">No additional steps are added to the DPO's day. Scheduling and budgeting become the same workflow rather than two separate tasks, and pricing never holds the schedule hostage.</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Unit Turn Step Sequence</w:t>
      </w:r>
    </w:p>
    <w:p>
      <w:pPr>
        <w:spacing w:after="160" w:line="264"/>
      </w:pPr>
      <w:r>
        <w:rPr>
          <w:rFonts w:ascii="Calibri" w:cs="Calibri" w:eastAsia="Calibri" w:hAnsi="Calibri"/>
          <w:sz w:val="22"/>
          <w:szCs w:val="22"/>
        </w:rPr>
        <w:t xml:space="preserve">This is the locked spine of the tool. Every step is conditional unless marked always present. A unit turn can range from nearly every step engaged to a minimal scope, for example touch up paint and clean only, with everything else skipped. The Waits On column names each step's predecessors; toggle off behavior is defined in Dependency Graph and Toggle Off Resolution.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260"/>
        <w:gridCol w:w="3200"/>
      </w:tblGrid>
      <w:tr>
        <w:trPr>
          <w:tblHeader/>
        </w:trPr>
        <w:tc>
          <w:tcPr>
            <w:tcW w:type="dxa" w:w="29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Step</w:t>
            </w:r>
          </w:p>
        </w:tc>
        <w:tc>
          <w:tcPr>
            <w:tcW w:type="dxa" w:w="32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Presence and Notes</w:t>
            </w:r>
          </w:p>
        </w:tc>
        <w:tc>
          <w:tcPr>
            <w:tcW w:type="dxa" w:w="32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Waits On</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 Demo and wall relocation</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 scope may be minimal. Root of the dependency graph.</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None. Floors to unit available date.</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2. MEPFP rough in relocation</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independent toggle per trade: mechanical, plumbing, fire protection, electrical. Each trade is its own cost bearing line with its own window, resource, and cost fields. Trades can run concurrently.</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Demo</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3. Shower conversion</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as needed. Runs concurrent with MEPFP rough in.</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Demo</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4. Drywall, patch, prime</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Costs roll into the Paint form line.</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MEPFP rough in and Shower conversion, whichever finishes later</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5. Hard surface flooring (LVP)</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as needed.</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Drywall</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6. Cabinet installation</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as needed. Follows LVP so new flooring is in place before cabinets go in.</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Hard surface flooring (LVP)</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7. Countertop measurement</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Runs concurrent with millwork and trim repair. Vendor or sole proprietor only; see Costing Model.</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Cabinet installation</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8. Millwork and trim repair</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Runs concurrent with countertop measurement.</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Drywall</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9. Countertop installation</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Vendor or sole proprietor only; see Costing Model.</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Countertop measurement and Millwork/trim, whichever finishes later</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10. Paint</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Runs independently of countertop installation. Drywall costs roll up here.</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Cabinet installation, Millwork/trim, and Drywall, whichever finishes latest</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11. MEPFP trim</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independent toggle per trade, configured the same as MEPFP rough in. A trade needed for trim is not automatically assumed needed for rough in, or vice versa.</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Countertop installation</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12. Appliance installation</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Runs concurrent with MEPFP trim.</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Countertop installation</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13. Carpet installation</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Conditional, as needed. Sequenced after finish work to avoid damage to new carpet and new paint.</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MEPFP trim, Appliance installation, and Paint, whichever finishes latest</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14. Clean</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Carpet installation, or Paint if carpet is off</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15. Inspect</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 No cost; all cost columns disabled.</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Clean</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16. Punchlist repairs</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 No cost; all cost columns disabled. Staff time absorbed into normal operations.</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Inspect</w:t>
            </w:r>
          </w:p>
        </w:tc>
      </w:tr>
      <w:tr>
        <w:tc>
          <w:tcPr>
            <w:tcW w:type="dxa" w:w="29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17. Maintenance team PM inspection and service</w:t>
            </w:r>
          </w:p>
        </w:tc>
        <w:tc>
          <w:tcPr>
            <w:tcW w:type="dxa" w:w="32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 Runs concurrent with Punchlist repairs off the same anchor. Costs roll into Other.</w:t>
            </w:r>
          </w:p>
        </w:tc>
        <w:tc>
          <w:tcPr>
            <w:tcW w:type="dxa" w:w="32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Inspect</w:t>
            </w:r>
          </w:p>
        </w:tc>
      </w:tr>
      <w:tr>
        <w:tc>
          <w:tcPr>
            <w:tcW w:type="dxa" w:w="29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18. Final cleaning touch up</w:t>
            </w:r>
          </w:p>
        </w:tc>
        <w:tc>
          <w:tcPr>
            <w:tcW w:type="dxa" w:w="32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Always present. Costs roll into the Cleaning form line.</w:t>
            </w:r>
          </w:p>
        </w:tc>
        <w:tc>
          <w:tcPr>
            <w:tcW w:type="dxa" w:w="32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Punchlist repairs and Maintenance PM inspection, whichever finishes later</w:t>
            </w:r>
          </w:p>
        </w:tc>
      </w:tr>
    </w:tbl>
    <w:p>
      <w:pPr>
        <w:spacing w:after="120"/>
      </w:pP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Dependency Graph and Toggle Off Resolution</w:t>
      </w:r>
    </w:p>
    <w:p>
      <w:pPr>
        <w:spacing w:after="160" w:line="264"/>
      </w:pPr>
      <w:r>
        <w:rPr>
          <w:rFonts w:ascii="Calibri" w:cs="Calibri" w:eastAsia="Calibri" w:hAnsi="Calibri"/>
          <w:sz w:val="22"/>
          <w:szCs w:val="22"/>
        </w:rPr>
        <w:t xml:space="preserve">Demo is the root of the dependency graph. Every first tier active step waits on Demo whenever Demo is in scope, which it always is, since Demo is always present.</w:t>
      </w:r>
    </w:p>
    <w:p>
      <w:pPr>
        <w:spacing w:after="160" w:line="264"/>
      </w:pPr>
      <w:r>
        <w:rPr>
          <w:rFonts w:ascii="Calibri" w:cs="Calibri" w:eastAsia="Calibri" w:hAnsi="Calibri"/>
          <w:sz w:val="22"/>
          <w:szCs w:val="22"/>
        </w:rPr>
        <w:t xml:space="preserve">When a step is toggled on, its actual start resolves against its nearest active predecessor. If a named predecessor is toggled off, the tool looks to that predecessor's own predecessor, and continues walking up the graph until it finds an active step or reaches Demo. A step with no active predecessor at all floors to the unit available date. No step other than Demo can float free of the graph.</w:t>
      </w:r>
    </w:p>
    <w:p>
      <w:pPr>
        <w:spacing w:after="160" w:line="264"/>
      </w:pPr>
      <w:r>
        <w:rPr>
          <w:rFonts w:ascii="Calibri" w:cs="Calibri" w:eastAsia="Calibri" w:hAnsi="Calibri"/>
          <w:sz w:val="22"/>
          <w:szCs w:val="22"/>
        </w:rPr>
        <w:t xml:space="preserve">Multi predecessor walk up. When the walk up passes a step that itself has more than one named predecessor, the tool substitutes the maximum end date across all of that step's active resolved predecessors, applied recursively down to Demo. Example: LVP is on, and its named predecessor Drywall is off. The walk up reaches Drywall's own predecessors, MEPFP rough in, ending day 10, and Shower conversion, ending day 14. LVP resolves against the later of the two, day 14, not the first one encountered.</w:t>
      </w:r>
    </w:p>
    <w:p>
      <w:pPr>
        <w:pStyle w:val="Heading2"/>
        <w:keepNext/>
        <w:spacing w:after="120" w:before="240"/>
      </w:pPr>
      <w:r>
        <w:rPr>
          <w:rFonts w:ascii="Calibri" w:cs="Calibri" w:eastAsia="Calibri" w:hAnsi="Calibri"/>
          <w:b/>
          <w:bCs/>
          <w:color w:val="1B3A6B"/>
          <w:sz w:val="24"/>
          <w:szCs w:val="24"/>
        </w:rPr>
        <w:t xml:space="preserve">Dependency Rationale</w:t>
      </w:r>
    </w:p>
    <w:p>
      <w:pPr>
        <w:spacing w:after="160" w:line="264"/>
      </w:pPr>
      <w:r>
        <w:rPr>
          <w:rFonts w:ascii="Calibri" w:cs="Calibri" w:eastAsia="Calibri" w:hAnsi="Calibri"/>
          <w:sz w:val="22"/>
          <w:szCs w:val="22"/>
        </w:rPr>
        <w:t xml:space="preserve">Cabinet installation waits on LVP rather than directly on Drywall so new flooring is down before cabinets are set. Paint waits on cabinets, millwork, and drywall but neither waits on nor blocks countertop installation. Carpet installation follows MEPFP trim, appliance installation, and paint to avoid damage to new carpet and new paint.</w:t>
      </w:r>
    </w:p>
    <w:p>
      <w:pPr>
        <w:spacing w:after="160" w:line="264"/>
      </w:pPr>
      <w:r>
        <w:rPr>
          <w:rFonts w:ascii="Calibri" w:cs="Calibri" w:eastAsia="Calibri" w:hAnsi="Calibri"/>
          <w:sz w:val="22"/>
          <w:szCs w:val="22"/>
        </w:rPr>
        <w:t xml:space="preserve">The maintenance team PM inspection and service is a full operational check of the entire unit, new and existing components alike, including outlets, switches, lighting, HVAC operation and filter and duct condition, toilets, showers, and sinks.</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Working Days Model</w:t>
      </w:r>
    </w:p>
    <w:p>
      <w:pPr>
        <w:spacing w:after="160" w:line="264"/>
      </w:pPr>
      <w:r>
        <w:rPr>
          <w:rFonts w:ascii="Calibri" w:cs="Calibri" w:eastAsia="Calibri" w:hAnsi="Calibri"/>
          <w:sz w:val="22"/>
          <w:szCs w:val="22"/>
        </w:rPr>
        <w:t xml:space="preserve">The tool operates on working days, defined as Monday through Friday excluding the holidays listed below.</w:t>
      </w:r>
    </w:p>
    <w:p>
      <w:pPr>
        <w:spacing w:after="160" w:line="264"/>
      </w:pPr>
      <w:r>
        <w:rPr>
          <w:rFonts w:ascii="Calibri" w:cs="Calibri" w:eastAsia="Calibri" w:hAnsi="Calibri"/>
          <w:sz w:val="22"/>
          <w:szCs w:val="22"/>
        </w:rPr>
        <w:t xml:space="preserve">Window convention. A working day window is inclusive of its start day. A window entered as five working days starting on a Monday ends that same week on Friday; the start day counts as day one, not day zero.</w:t>
      </w:r>
    </w:p>
    <w:p>
      <w:pPr>
        <w:spacing w:after="160" w:line="264"/>
      </w:pPr>
      <w:r>
        <w:rPr>
          <w:rFonts w:ascii="Calibri" w:cs="Calibri" w:eastAsia="Calibri" w:hAnsi="Calibri"/>
          <w:sz w:val="22"/>
          <w:szCs w:val="22"/>
        </w:rPr>
        <w:t xml:space="preserve">Successor start convention. A step does not start on its predecessor's end date. It starts on the first working day strictly after its predecessor's end date. Worked example crossing a weekend: if Drywall ends on a Wednesday, the next step starts Thursday. If Drywall ends on a Friday, the next step starts the following Monday, skipping the weekend entirely.</w:t>
      </w:r>
    </w:p>
    <w:p>
      <w:pPr>
        <w:spacing w:after="160" w:line="264"/>
      </w:pPr>
      <w:r>
        <w:rPr>
          <w:rFonts w:ascii="Calibri" w:cs="Calibri" w:eastAsia="Calibri" w:hAnsi="Calibri"/>
          <w:sz w:val="22"/>
          <w:szCs w:val="22"/>
        </w:rPr>
        <w:t xml:space="preserve">Any calculated start or end date that would land on a weekend or holiday advances forward, one day at a time, until it lands on a working day.</w:t>
      </w:r>
    </w:p>
    <w:p>
      <w:pPr>
        <w:pStyle w:val="Heading2"/>
        <w:keepNext/>
        <w:spacing w:after="120" w:before="240"/>
      </w:pPr>
      <w:r>
        <w:rPr>
          <w:rFonts w:ascii="Calibri" w:cs="Calibri" w:eastAsia="Calibri" w:hAnsi="Calibri"/>
          <w:b/>
          <w:bCs/>
          <w:color w:val="1B3A6B"/>
          <w:sz w:val="24"/>
          <w:szCs w:val="24"/>
        </w:rPr>
        <w:t xml:space="preserve">Blocked Holidays</w:t>
      </w:r>
    </w:p>
    <w:p>
      <w:pPr>
        <w:spacing w:after="160" w:line="264"/>
      </w:pPr>
      <w:r>
        <w:rPr>
          <w:rFonts w:ascii="Calibri" w:cs="Calibri" w:eastAsia="Calibri" w:hAnsi="Calibri"/>
          <w:sz w:val="22"/>
          <w:szCs w:val="22"/>
        </w:rPr>
        <w:t xml:space="preserve">The blocking list is the seven days that represent true observed shutdown across the communities. MLK Day, Presidents Day, Juneteenth, Columbus Day, and Veterans Day are working days for trades and internal staff and do not push the schedule out.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Holiday</w:t>
            </w:r>
          </w:p>
        </w:tc>
        <w:tc>
          <w:tcPr>
            <w:tcW w:type="dxa" w:w="59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Observed</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New Years Day</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January 1</w:t>
            </w:r>
          </w:p>
        </w:tc>
      </w:tr>
      <w:tr>
        <w:tc>
          <w:tcPr>
            <w:tcW w:type="dxa" w:w="34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Good Friday</w:t>
            </w:r>
          </w:p>
        </w:tc>
        <w:tc>
          <w:tcPr>
            <w:tcW w:type="dxa" w:w="59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Friday before Easter Sunday. Requires the standard Easter computus calculation, the only holiday in this table that is not a fixed calendar date or an nth weekday rule.</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Memorial Day</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Last Monday in May</w:t>
            </w:r>
          </w:p>
        </w:tc>
      </w:tr>
      <w:tr>
        <w:tc>
          <w:tcPr>
            <w:tcW w:type="dxa" w:w="34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Independence Day</w:t>
            </w:r>
          </w:p>
        </w:tc>
        <w:tc>
          <w:tcPr>
            <w:tcW w:type="dxa" w:w="59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July 4</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Labor Day</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First Monday in September</w:t>
            </w:r>
          </w:p>
        </w:tc>
      </w:tr>
      <w:tr>
        <w:tc>
          <w:tcPr>
            <w:tcW w:type="dxa" w:w="34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Thanksgiving Day</w:t>
            </w:r>
          </w:p>
        </w:tc>
        <w:tc>
          <w:tcPr>
            <w:tcW w:type="dxa" w:w="59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Fourth Thursday in November</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Christmas Day</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December 25</w:t>
            </w:r>
          </w:p>
        </w:tc>
      </w:tr>
    </w:tbl>
    <w:p>
      <w:pPr>
        <w:spacing w:after="120"/>
      </w:pPr>
    </w:p>
    <w:p>
      <w:pPr>
        <w:pStyle w:val="Heading2"/>
        <w:keepNext/>
        <w:spacing w:after="120" w:before="240"/>
      </w:pPr>
      <w:r>
        <w:rPr>
          <w:rFonts w:ascii="Calibri" w:cs="Calibri" w:eastAsia="Calibri" w:hAnsi="Calibri"/>
          <w:b/>
          <w:bCs/>
          <w:color w:val="1B3A6B"/>
          <w:sz w:val="24"/>
          <w:szCs w:val="24"/>
        </w:rPr>
        <w:t xml:space="preserve">Holiday Within a Window</w:t>
      </w:r>
    </w:p>
    <w:p>
      <w:pPr>
        <w:spacing w:after="160" w:line="264"/>
      </w:pPr>
      <w:r>
        <w:rPr>
          <w:rFonts w:ascii="Calibri" w:cs="Calibri" w:eastAsia="Calibri" w:hAnsi="Calibri"/>
          <w:sz w:val="22"/>
          <w:szCs w:val="22"/>
        </w:rPr>
        <w:t xml:space="preserve">When a holiday falls inside a step's scheduled window, the tool flags it with an indicator on that step row. If the DPO determines the holiday does not actually impact the work, they may manually shorten the window by the number of holiday days marked as non impacting, which reduces the working day count accordingly. No action is required if the DPO prefers to leave the window as entered.</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Resource Model</w:t>
      </w:r>
    </w:p>
    <w:p>
      <w:pPr>
        <w:spacing w:after="160" w:line="264"/>
      </w:pPr>
      <w:r>
        <w:rPr>
          <w:rFonts w:ascii="Calibri" w:cs="Calibri" w:eastAsia="Calibri" w:hAnsi="Calibri"/>
          <w:sz w:val="22"/>
          <w:szCs w:val="22"/>
        </w:rPr>
        <w:t xml:space="preserve">Resources are scoped per community. The tool does not check for conflicts across communities, since it is designed to operate independently at each property.</w:t>
      </w:r>
    </w:p>
    <w:p>
      <w:pPr>
        <w:spacing w:after="160" w:line="264"/>
      </w:pPr>
      <w:r>
        <w:rPr>
          <w:rFonts w:ascii="Calibri" w:cs="Calibri" w:eastAsia="Calibri" w:hAnsi="Calibri"/>
          <w:sz w:val="22"/>
          <w:szCs w:val="22"/>
        </w:rPr>
        <w:t xml:space="preserve">Resource names on step assignments are captured as entered at assignment time, not as a live reference to the settings list. Editing or removing a resource in Settings does not change historical or active project records; the name stays on those steps exactly as it read when assigned.</w:t>
      </w:r>
    </w:p>
    <w:p>
      <w:pPr>
        <w:pStyle w:val="Heading2"/>
        <w:keepNext/>
        <w:spacing w:after="120" w:before="240"/>
      </w:pPr>
      <w:r>
        <w:rPr>
          <w:rFonts w:ascii="Calibri" w:cs="Calibri" w:eastAsia="Calibri" w:hAnsi="Calibri"/>
          <w:b/>
          <w:bCs/>
          <w:color w:val="1B3A6B"/>
          <w:sz w:val="24"/>
          <w:szCs w:val="24"/>
        </w:rPr>
        <w:t xml:space="preserve">Assignment Behavior</w:t>
      </w:r>
    </w:p>
    <w:p>
      <w:pPr>
        <w:spacing w:after="160" w:line="264"/>
      </w:pPr>
      <w:r>
        <w:rPr>
          <w:rFonts w:ascii="Calibri" w:cs="Calibri" w:eastAsia="Calibri" w:hAnsi="Calibri"/>
          <w:sz w:val="22"/>
          <w:szCs w:val="22"/>
        </w:rPr>
        <w:t xml:space="preserve">The tool always surfaces a suggestion, ranked by priority and filtered by known availability. It never auto assigns. The DPO makes the final selection on every step.</w:t>
      </w:r>
    </w:p>
    <w:p>
      <w:pPr>
        <w:spacing w:after="160" w:line="264"/>
      </w:pPr>
      <w:r>
        <w:rPr>
          <w:rFonts w:ascii="Calibri" w:cs="Calibri" w:eastAsia="Calibri" w:hAnsi="Calibri"/>
          <w:sz w:val="22"/>
          <w:szCs w:val="22"/>
        </w:rPr>
        <w:t xml:space="preserve">Availability filtering considers two sources together, a resource's manually entered blocked dates, and that resource's committed windows on every other active project at the same community. Both are computed dynamically from existing project and resource data at the time a suggestion is surfaced; there is no separately maintained commitment index to keep in sync.</w:t>
      </w:r>
    </w:p>
    <w:p>
      <w:pPr>
        <w:spacing w:after="160" w:line="264"/>
      </w:pPr>
      <w:r>
        <w:rPr>
          <w:rFonts w:ascii="Calibri" w:cs="Calibri" w:eastAsia="Calibri" w:hAnsi="Calibri"/>
          <w:sz w:val="22"/>
          <w:szCs w:val="22"/>
        </w:rPr>
        <w:t xml:space="preserve">If the top priority resource for a trade is blocked out or already committed elsewhere at this community on the needed date, the DPO is prompted to consider the next ranked resource, but retains full discretion, including the option to double book a resource if they know that vendor or contractor can cover both commitments.</w:t>
      </w:r>
    </w:p>
    <w:p>
      <w:pPr>
        <w:pStyle w:val="Heading2"/>
        <w:keepNext/>
        <w:spacing w:after="120" w:before="240"/>
      </w:pPr>
      <w:r>
        <w:rPr>
          <w:rFonts w:ascii="Calibri" w:cs="Calibri" w:eastAsia="Calibri" w:hAnsi="Calibri"/>
          <w:b/>
          <w:bCs/>
          <w:color w:val="1B3A6B"/>
          <w:sz w:val="24"/>
          <w:szCs w:val="24"/>
        </w:rPr>
        <w:t xml:space="preserve">Scheduling Floor Rule</w:t>
      </w:r>
    </w:p>
    <w:p>
      <w:pPr>
        <w:spacing w:after="160" w:line="264"/>
      </w:pPr>
      <w:r>
        <w:rPr>
          <w:rFonts w:ascii="Calibri" w:cs="Calibri" w:eastAsia="Calibri" w:hAnsi="Calibri"/>
          <w:sz w:val="22"/>
          <w:szCs w:val="22"/>
        </w:rPr>
        <w:t xml:space="preserve">Every step's actual scheduled start date is the earliest date the dependency graph allows, based on the nearest active predecessor's actual end date, resolved per the Working Days Model successor start convention, or, if no active predecessor exists, the unit available date. The DPO can always manually delay a step beyond what the dependency graph would allow. The DPO can never schedule a step earlier than the dependency graph permits.</w:t>
      </w:r>
    </w:p>
    <w:p>
      <w:pPr>
        <w:spacing w:after="160" w:line="264"/>
      </w:pPr>
      <w:r>
        <w:rPr>
          <w:rFonts w:ascii="Calibri" w:cs="Calibri" w:eastAsia="Calibri" w:hAnsi="Calibri"/>
          <w:sz w:val="22"/>
          <w:szCs w:val="22"/>
        </w:rPr>
        <w:t xml:space="preserve">Resource blocked dates do not affect this calculation. If the assigned resource has a blocked date overlapping the computed window, a soft warning appears inline on that step row. The DPO may proceed with the resource as assigned, select a different resource, or manually delay the step. The tool never removes or adjusts a computed date on the basis of resource availability.</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Project Creation Flow</w:t>
      </w:r>
    </w:p>
    <w:p>
      <w:pPr>
        <w:spacing w:after="160" w:line="264"/>
      </w:pPr>
      <w:r>
        <w:rPr>
          <w:rFonts w:ascii="Calibri" w:cs="Calibri" w:eastAsia="Calibri" w:hAnsi="Calibri"/>
          <w:sz w:val="22"/>
          <w:szCs w:val="22"/>
        </w:rPr>
        <w:t xml:space="preserve">A new unit turn project is initiated by completing the project header fields below. All header fields are captured at creation since they are required for the schedule and the Unit Turn Request PDF header.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Field</w:t>
            </w:r>
          </w:p>
        </w:tc>
        <w:tc>
          <w:tcPr>
            <w:tcW w:type="dxa" w:w="63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Notes</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Community</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Pre populated based on the community the tool is configured for; see Settings Tab.</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Care level</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IL, AL, MC, SNF, Home, or Other, matching the community's approved care level list on the existing form.</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Unit number</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Free text entry.</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Apartment type</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Constrained dropdown matching the existing form: Studio, 1BR, 2BR, Combo, Home.</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Turn type</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Unit Turn, Upgrade, or Full Renovation, matching the existing form.</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Deposit on unit</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Yes or no.</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Requested by</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Free text entry.</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Custom costs paid by incoming resident</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Dollar amount or blank. Nets against the total request amount on the PDF; see PDF Contents.</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Vacancy notice date</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Opens the planning window. Appears on the PDF header alongside unit available date.</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Unit available date</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Floor for when physical work can begin; earliest possible start date for step 1, Demo. Appears on the PDF header alongside vacancy notice date. Editable after creation; see below.</w:t>
            </w:r>
          </w:p>
        </w:tc>
      </w:tr>
    </w:tbl>
    <w:p>
      <w:pPr>
        <w:spacing w:after="120"/>
      </w:pPr>
    </w:p>
    <w:p>
      <w:pPr>
        <w:spacing w:after="160" w:line="264"/>
      </w:pPr>
      <w:r>
        <w:rPr>
          <w:rFonts w:ascii="Calibri" w:cs="Calibri" w:eastAsia="Calibri" w:hAnsi="Calibri"/>
          <w:sz w:val="22"/>
          <w:szCs w:val="22"/>
        </w:rPr>
        <w:t xml:space="preserve">Unit available date changes. The unit available date is editable after project creation, since the actual date a resident vacates commonly shifts. Changing it triggers a live schedule recalculation the same as any other predecessor date change, because it is the floor for step 1 and for any step with no active predecessor. Changing it does not reset the baseline; see Baseline and Live Schedule.</w:t>
      </w:r>
    </w:p>
    <w:p>
      <w:pPr>
        <w:spacing w:after="160" w:line="264"/>
      </w:pPr>
      <w:r>
        <w:rPr>
          <w:rFonts w:ascii="Calibri" w:cs="Calibri" w:eastAsia="Calibri" w:hAnsi="Calibri"/>
          <w:sz w:val="22"/>
          <w:szCs w:val="22"/>
        </w:rPr>
        <w:t xml:space="preserve">After entering header fields, the DPO works through the full 18 step list top to bottom, toggling each step on or off. There is no scope questionnaire and no pre filled defaults; every window starts blank. For each step toggled on, the DPO completes the following in one pass.</w:t>
      </w:r>
    </w:p>
    <w:p>
      <w:pPr>
        <w:pStyle w:val="ListParagraph"/>
        <w:numPr>
          <w:ilvl w:val="0"/>
          <w:numId w:val="2"/>
        </w:numPr>
        <w:spacing w:after="100" w:line="264"/>
      </w:pPr>
      <w:r>
        <w:rPr>
          <w:rFonts w:ascii="Calibri" w:cs="Calibri" w:eastAsia="Calibri" w:hAnsi="Calibri"/>
          <w:sz w:val="22"/>
          <w:szCs w:val="22"/>
        </w:rPr>
        <w:t xml:space="preserve">Enters the scheduled window in working days.</w:t>
      </w:r>
    </w:p>
    <w:p>
      <w:pPr>
        <w:pStyle w:val="ListParagraph"/>
        <w:numPr>
          <w:ilvl w:val="0"/>
          <w:numId w:val="2"/>
        </w:numPr>
        <w:spacing w:after="100" w:line="264"/>
      </w:pPr>
      <w:r>
        <w:rPr>
          <w:rFonts w:ascii="Calibri" w:cs="Calibri" w:eastAsia="Calibri" w:hAnsi="Calibri"/>
          <w:sz w:val="22"/>
          <w:szCs w:val="22"/>
        </w:rPr>
        <w:t xml:space="preserve">Assigns a resource from the community resource list. Steps 7 and 9 restrict the list to vendor or sole proprietor types only; see Costing Model.</w:t>
      </w:r>
    </w:p>
    <w:p>
      <w:pPr>
        <w:pStyle w:val="ListParagraph"/>
        <w:numPr>
          <w:ilvl w:val="0"/>
          <w:numId w:val="2"/>
        </w:numPr>
        <w:spacing w:after="100" w:line="264"/>
      </w:pPr>
      <w:r>
        <w:rPr>
          <w:rFonts w:ascii="Calibri" w:cs="Calibri" w:eastAsia="Calibri" w:hAnsi="Calibri"/>
          <w:sz w:val="22"/>
          <w:szCs w:val="22"/>
        </w:rPr>
        <w:t xml:space="preserve">Indicates whether FM is purchasing materials directly for this step, yes or no. If yes, the materials cost field opens; see Costing Model for the columns available on each step.</w:t>
      </w:r>
    </w:p>
    <w:p>
      <w:pPr>
        <w:pStyle w:val="ListParagraph"/>
        <w:numPr>
          <w:ilvl w:val="0"/>
          <w:numId w:val="2"/>
        </w:numPr>
        <w:spacing w:after="100" w:line="264"/>
      </w:pPr>
      <w:r>
        <w:rPr>
          <w:rFonts w:ascii="Calibri" w:cs="Calibri" w:eastAsia="Calibri" w:hAnsi="Calibri"/>
          <w:sz w:val="22"/>
          <w:szCs w:val="22"/>
        </w:rPr>
        <w:t xml:space="preserve">Enters cost fields if figures are known. Cost entry is never required to complete scheduling and can happen at any time after creation; see Setup Completion and Pricing Status.</w:t>
      </w:r>
    </w:p>
    <w:p>
      <w:pPr>
        <w:pStyle w:val="ListParagraph"/>
        <w:numPr>
          <w:ilvl w:val="0"/>
          <w:numId w:val="2"/>
        </w:numPr>
        <w:spacing w:after="100" w:line="264"/>
      </w:pPr>
      <w:r>
        <w:rPr>
          <w:rFonts w:ascii="Calibri" w:cs="Calibri" w:eastAsia="Calibri" w:hAnsi="Calibri"/>
          <w:sz w:val="22"/>
          <w:szCs w:val="22"/>
        </w:rPr>
        <w:t xml:space="preserve">Answers whether this step requires a material order. No defaults; every step starts at no. If yes, procurement checklist items are automatically added for that step, and an optional expected lead time field opens, which floors the initial calculated start date; see Material Order Lead Time.</w:t>
      </w:r>
    </w:p>
    <w:p>
      <w:pPr>
        <w:spacing w:after="160" w:line="264"/>
      </w:pPr>
      <w:r>
        <w:rPr>
          <w:rFonts w:ascii="Calibri" w:cs="Calibri" w:eastAsia="Calibri" w:hAnsi="Calibri"/>
          <w:sz w:val="22"/>
          <w:szCs w:val="22"/>
        </w:rPr>
        <w:t xml:space="preserve">Calculated start and end dates populate inline in real time as the DPO works down the list, based on the dependency graph and, when a lead time is entered, the lead time floor, so the projected end date is visible before saving. A blocked date overlapping a step's window produces the inline soft warning described in Scheduling Floor Rule.</w:t>
      </w:r>
    </w:p>
    <w:p>
      <w:pPr>
        <w:spacing w:after="160" w:line="264"/>
      </w:pPr>
      <w:r>
        <w:rPr>
          <w:rFonts w:ascii="Calibri" w:cs="Calibri" w:eastAsia="Calibri" w:hAnsi="Calibri"/>
          <w:sz w:val="22"/>
          <w:szCs w:val="22"/>
        </w:rPr>
        <w:t xml:space="preserve">A project can be saved partially complete and returned to later. A partially scheduled project appears on the community calendar as a visually distinct muted or outlined bar, separate from active live projects, until scheduling is complete.</w:t>
      </w:r>
    </w:p>
    <w:p>
      <w:pPr>
        <w:pStyle w:val="Heading2"/>
        <w:keepNext/>
        <w:spacing w:after="120" w:before="240"/>
      </w:pPr>
      <w:r>
        <w:rPr>
          <w:rFonts w:ascii="Calibri" w:cs="Calibri" w:eastAsia="Calibri" w:hAnsi="Calibri"/>
          <w:b/>
          <w:bCs/>
          <w:color w:val="1B3A6B"/>
          <w:sz w:val="24"/>
          <w:szCs w:val="24"/>
        </w:rPr>
        <w:t xml:space="preserve">Setup Completion and Pricing Status</w:t>
      </w:r>
    </w:p>
    <w:p>
      <w:pPr>
        <w:spacing w:after="160" w:line="264"/>
      </w:pPr>
      <w:r>
        <w:rPr>
          <w:rFonts w:ascii="Calibri" w:cs="Calibri" w:eastAsia="Calibri" w:hAnsi="Calibri"/>
          <w:sz w:val="22"/>
          <w:szCs w:val="22"/>
        </w:rPr>
        <w:t xml:space="preserve">Schedule completion and cost completion are tracked separately, because vendor quotes for countertops, MEPFP trades, or flooring commonly take days to come back and a DPO should never be forced to guess numbers to complete setup.</w:t>
      </w:r>
    </w:p>
    <w:p>
      <w:pPr>
        <w:pStyle w:val="ListParagraph"/>
        <w:numPr>
          <w:ilvl w:val="0"/>
          <w:numId w:val="3"/>
        </w:numPr>
        <w:spacing w:after="100" w:line="264"/>
      </w:pPr>
      <w:r>
        <w:rPr>
          <w:rFonts w:ascii="Calibri" w:cs="Calibri" w:eastAsia="Calibri" w:hAnsi="Calibri"/>
          <w:sz w:val="22"/>
          <w:szCs w:val="22"/>
        </w:rPr>
        <w:t xml:space="preserve">Scheduled. Every step has been toggled, and every active step has a window and a resource assigned. The tool captures the baseline at this point; see Baseline and Live Schedule. The project renders as a full live bar on the community calendar.</w:t>
      </w:r>
    </w:p>
    <w:p>
      <w:pPr>
        <w:pStyle w:val="ListParagraph"/>
        <w:numPr>
          <w:ilvl w:val="0"/>
          <w:numId w:val="3"/>
        </w:numPr>
        <w:spacing w:after="100" w:line="264"/>
      </w:pPr>
      <w:r>
        <w:rPr>
          <w:rFonts w:ascii="Calibri" w:cs="Calibri" w:eastAsia="Calibri" w:hAnsi="Calibri"/>
          <w:sz w:val="22"/>
          <w:szCs w:val="22"/>
        </w:rPr>
        <w:t xml:space="preserve">Scheduled and Priced. Scheduled, plus every active cost bearing step has its open cost fields entered. This is the expected state before the Unit Turn Request PDF is submitted for approval.</w:t>
      </w:r>
    </w:p>
    <w:p>
      <w:pPr>
        <w:spacing w:after="160" w:line="264"/>
      </w:pPr>
      <w:r>
        <w:rPr>
          <w:rFonts w:ascii="Calibri" w:cs="Calibri" w:eastAsia="Calibri" w:hAnsi="Calibri"/>
          <w:sz w:val="22"/>
          <w:szCs w:val="22"/>
        </w:rPr>
        <w:t xml:space="preserve">Cost fields can be entered or updated at any time after creation, not only during initial setup. The project view shows which state the project is in, so a fully scheduled but not yet priced project is visibly legitimate rather than looking incomplete, and an approver reading the generated PDF gets real numbers, not placeholders entered to satisfy a form.</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Costing Model</w:t>
      </w:r>
    </w:p>
    <w:p>
      <w:pPr>
        <w:spacing w:after="160" w:line="264"/>
      </w:pPr>
      <w:r>
        <w:rPr>
          <w:rFonts w:ascii="Calibri" w:cs="Calibri" w:eastAsia="Calibri" w:hAnsi="Calibri"/>
          <w:sz w:val="22"/>
          <w:szCs w:val="22"/>
        </w:rPr>
        <w:t xml:space="preserve">Costs are entered inline per step, during setup when figures are known or at any later time as quotes arrive. Three columns exist, and which columns are active on a step depends on resource type and whether FM is purchasing materials directly.</w:t>
      </w:r>
    </w:p>
    <w:p>
      <w:pPr>
        <w:pStyle w:val="ListParagraph"/>
        <w:numPr>
          <w:ilvl w:val="0"/>
          <w:numId w:val="3"/>
        </w:numPr>
        <w:spacing w:after="100" w:line="264"/>
      </w:pPr>
      <w:r>
        <w:rPr>
          <w:rFonts w:ascii="Calibri" w:cs="Calibri" w:eastAsia="Calibri" w:hAnsi="Calibri"/>
          <w:sz w:val="22"/>
          <w:szCs w:val="22"/>
        </w:rPr>
        <w:t xml:space="preserve">Labor column. Available when an internal staff member or internal department is assigned.</w:t>
      </w:r>
    </w:p>
    <w:p>
      <w:pPr>
        <w:pStyle w:val="ListParagraph"/>
        <w:numPr>
          <w:ilvl w:val="0"/>
          <w:numId w:val="3"/>
        </w:numPr>
        <w:spacing w:after="100" w:line="264"/>
      </w:pPr>
      <w:r>
        <w:rPr>
          <w:rFonts w:ascii="Calibri" w:cs="Calibri" w:eastAsia="Calibri" w:hAnsi="Calibri"/>
          <w:sz w:val="22"/>
          <w:szCs w:val="22"/>
        </w:rPr>
        <w:t xml:space="preserve">Vendor column. Available when a vendor or sole proprietor contractor is assigned.</w:t>
      </w:r>
    </w:p>
    <w:p>
      <w:pPr>
        <w:pStyle w:val="ListParagraph"/>
        <w:numPr>
          <w:ilvl w:val="0"/>
          <w:numId w:val="3"/>
        </w:numPr>
        <w:spacing w:after="100" w:line="264"/>
      </w:pPr>
      <w:r>
        <w:rPr>
          <w:rFonts w:ascii="Calibri" w:cs="Calibri" w:eastAsia="Calibri" w:hAnsi="Calibri"/>
          <w:sz w:val="22"/>
          <w:szCs w:val="22"/>
        </w:rPr>
        <w:t xml:space="preserve">Materials column. Available on any step when the DPO indicates FM is purchasing materials directly, regardless of resource type. FM frequently purchases materials directly even when a vendor performs the work.</w:t>
      </w:r>
    </w:p>
    <w:p>
      <w:pPr>
        <w:spacing w:after="160" w:line="264"/>
      </w:pPr>
      <w:r>
        <w:rPr>
          <w:rFonts w:ascii="Calibri" w:cs="Calibri" w:eastAsia="Calibri" w:hAnsi="Calibri"/>
          <w:sz w:val="22"/>
          <w:szCs w:val="22"/>
        </w:rPr>
        <w:t xml:space="preserve">A step can carry values in all available columns if the situation calls for it. Two categories of exception exist.</w:t>
      </w:r>
    </w:p>
    <w:p>
      <w:pPr>
        <w:spacing w:after="160" w:line="264"/>
      </w:pPr>
      <w:r>
        <w:rPr>
          <w:rFonts w:ascii="Calibri" w:cs="Calibri" w:eastAsia="Calibri" w:hAnsi="Calibri"/>
          <w:sz w:val="22"/>
          <w:szCs w:val="22"/>
        </w:rPr>
        <w:t xml:space="preserve">Steps 7 and 9, Countertop measurement and Countertop installation, restrict the assignable resource type to vendor or sole proprietor contractor only. Internal staff cannot be assigned, and the labor and materials columns are both disabled on these two steps regardless of any other entry, so the vendor only nature of the Countertops category is enforced by the tool rather than left to the DPO's discretion.</w:t>
      </w:r>
    </w:p>
    <w:p>
      <w:pPr>
        <w:spacing w:after="160" w:line="264"/>
      </w:pPr>
      <w:r>
        <w:rPr>
          <w:rFonts w:ascii="Calibri" w:cs="Calibri" w:eastAsia="Calibri" w:hAnsi="Calibri"/>
          <w:sz w:val="22"/>
          <w:szCs w:val="22"/>
        </w:rPr>
        <w:t xml:space="preserve">Steps 15 and 16, Inspect and Punchlist repairs, carry no cost. All three cost columns are disabled.</w:t>
      </w:r>
    </w:p>
    <w:p>
      <w:pPr>
        <w:spacing w:after="160" w:line="264"/>
      </w:pPr>
      <w:r>
        <w:rPr>
          <w:rFonts w:ascii="Calibri" w:cs="Calibri" w:eastAsia="Calibri" w:hAnsi="Calibri"/>
          <w:sz w:val="22"/>
          <w:szCs w:val="22"/>
        </w:rPr>
        <w:t xml:space="preserve">Steps 2 and 11, MEPFP rough in and MEPFP trim, are each composed of up to four independent trade lines: mechanical, plumbing, fire protection, and electrical. Each trade toggled on is configured exactly like any other step, with its own scheduled window, resource assignment, cost fields, and material order question, and resolves against the dependency graph independently, though in practice all trades within a single MEPFP step typically share the same predecessor.</w:t>
      </w:r>
    </w:p>
    <w:p>
      <w:pPr>
        <w:spacing w:after="160" w:line="264"/>
      </w:pPr>
      <w:r>
        <w:rPr>
          <w:rFonts w:ascii="Calibri" w:cs="Calibri" w:eastAsia="Calibri" w:hAnsi="Calibri"/>
          <w:sz w:val="22"/>
          <w:szCs w:val="22"/>
        </w:rPr>
        <w:t xml:space="preserve">The step level end date for MEPFP rough in or MEPFP trim, used anywhere a downstream step needs a single predecessor date, equals the maximum end date across that step's active trade lines. If no trade line is active, the step is treated as off for dependency purposes and downstream steps walk up past it per the toggle off resolution rule.</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Form Category Mapping</w:t>
      </w:r>
    </w:p>
    <w:p>
      <w:pPr>
        <w:spacing w:after="160" w:line="264"/>
      </w:pPr>
      <w:r>
        <w:rPr>
          <w:rFonts w:ascii="Calibri" w:cs="Calibri" w:eastAsia="Calibri" w:hAnsi="Calibri"/>
          <w:sz w:val="22"/>
          <w:szCs w:val="22"/>
        </w:rPr>
        <w:t xml:space="preserve">Step costs roll up into the Unit Turn Request PDF form categories as follows.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Form Category</w:t>
            </w:r>
          </w:p>
        </w:tc>
        <w:tc>
          <w:tcPr>
            <w:tcW w:type="dxa" w:w="63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Tool Steps That Feed It</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Demo</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Paint</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Steps 4 and 10 combined. The PDF notes that the Paint category includes drywall prep costs, so a dollar amount can appear here even when no paint color is selected, if drywall is on and paint is off.</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Carpet</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13</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LVP</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5</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Millwork/Trim</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8</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Cabinets</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6</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Countertops</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Steps 7 and 9 combined. Vendor or sole proprietor only; see Costing Model.</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Appliances</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12</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HVAC</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Mechanical trade lines in steps 2 and 11 combined</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Plumbing</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Plumbing trade lines in steps 2 and 11 combined</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Shower</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3</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Electrical</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Electrical trade lines in steps 2 and 11 combined</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Cleaning</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Steps 14 and 18 combined</w:t>
            </w:r>
          </w:p>
        </w:tc>
      </w:tr>
      <w:tr>
        <w:tc>
          <w:tcPr>
            <w:tcW w:type="dxa" w:w="3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Other</w:t>
            </w:r>
          </w:p>
        </w:tc>
        <w:tc>
          <w:tcPr>
            <w:tcW w:type="dxa" w:w="6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17 (maintenance PM inspection), fire protection trade lines in steps 2 and 11, and anything uncategorized. Fire protection has no dedicated line on the existing form and routes here; the scope of work summary names what makes up this line whenever it carries a cost, see PDF Contents.</w:t>
            </w:r>
          </w:p>
        </w:tc>
      </w:tr>
      <w:tr>
        <w:tc>
          <w:tcPr>
            <w:tcW w:type="dxa" w:w="3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Punchlist repairs</w:t>
            </w:r>
          </w:p>
        </w:tc>
        <w:tc>
          <w:tcPr>
            <w:tcW w:type="dxa" w:w="6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No cost. Staff time absorbed into normal operations.</w:t>
            </w:r>
          </w:p>
        </w:tc>
      </w:tr>
    </w:tbl>
    <w:p>
      <w:pPr>
        <w:spacing w:after="120"/>
      </w:pP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Finish Specifications</w:t>
      </w:r>
    </w:p>
    <w:p>
      <w:pPr>
        <w:spacing w:after="160" w:line="264"/>
      </w:pPr>
      <w:r>
        <w:rPr>
          <w:rFonts w:ascii="Calibri" w:cs="Calibri" w:eastAsia="Calibri" w:hAnsi="Calibri"/>
          <w:sz w:val="22"/>
          <w:szCs w:val="22"/>
        </w:rPr>
        <w:t xml:space="preserve">Color and material selections are captured inline during step setup for five finish categories. Each field is a dropdown populated from the community's option lists in the Settings Tab, where the DPO or their designated staff can add or edit options at any time with no fixed limit. Each spec field appears on the Unit Turn Request PDF only when its corresponding step is toggled on for that project.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Spec Field</w:t>
            </w:r>
          </w:p>
        </w:tc>
        <w:tc>
          <w:tcPr>
            <w:tcW w:type="dxa" w:w="59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Tied To</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Paint color</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10, Paint</w:t>
            </w:r>
          </w:p>
        </w:tc>
      </w:tr>
      <w:tr>
        <w:tc>
          <w:tcPr>
            <w:tcW w:type="dxa" w:w="34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Cabinet color</w:t>
            </w:r>
          </w:p>
        </w:tc>
        <w:tc>
          <w:tcPr>
            <w:tcW w:type="dxa" w:w="59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6, Cabinet installation</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LVP color</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5, Hard surface flooring</w:t>
            </w:r>
          </w:p>
        </w:tc>
      </w:tr>
      <w:tr>
        <w:tc>
          <w:tcPr>
            <w:tcW w:type="dxa" w:w="34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Carpet color</w:t>
            </w:r>
          </w:p>
        </w:tc>
        <w:tc>
          <w:tcPr>
            <w:tcW w:type="dxa" w:w="59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 13, Carpet installation</w:t>
            </w:r>
          </w:p>
        </w:tc>
      </w:tr>
      <w:tr>
        <w:tc>
          <w:tcPr>
            <w:tcW w:type="dxa" w:w="34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Countertop material</w:t>
            </w:r>
          </w:p>
        </w:tc>
        <w:tc>
          <w:tcPr>
            <w:tcW w:type="dxa" w:w="59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Steps 7 and 9, Countertop measurement and installation. Appears on the PDF when countertop installation is toggled on.</w:t>
            </w:r>
          </w:p>
        </w:tc>
      </w:tr>
    </w:tbl>
    <w:p>
      <w:pPr>
        <w:spacing w:after="120"/>
      </w:pP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Settings Tab</w:t>
      </w:r>
    </w:p>
    <w:p>
      <w:pPr>
        <w:spacing w:after="160" w:line="264"/>
      </w:pPr>
      <w:r>
        <w:rPr>
          <w:rFonts w:ascii="Calibri" w:cs="Calibri" w:eastAsia="Calibri" w:hAnsi="Calibri"/>
          <w:sz w:val="22"/>
          <w:szCs w:val="22"/>
        </w:rPr>
        <w:t xml:space="preserve">A settings tab is accessible from the main navigation. It contains community level configuration that persists across all projects at that community. Any authorized user, the DPO or designated staff, can edit settings at any time.</w:t>
      </w:r>
    </w:p>
    <w:p>
      <w:pPr>
        <w:pStyle w:val="ListParagraph"/>
        <w:numPr>
          <w:ilvl w:val="0"/>
          <w:numId w:val="3"/>
        </w:numPr>
        <w:spacing w:after="100" w:line="264"/>
      </w:pPr>
      <w:r>
        <w:rPr>
          <w:rFonts w:ascii="Calibri" w:cs="Calibri" w:eastAsia="Calibri" w:hAnsi="Calibri"/>
          <w:sz w:val="22"/>
          <w:szCs w:val="22"/>
        </w:rPr>
        <w:t xml:space="preserve">Finish option lists, one per spec field: paint color, cabinet color, LVP color, carpet color, countertop material. Managed locally; each populates its dropdown during step setup.</w:t>
      </w:r>
    </w:p>
    <w:p>
      <w:pPr>
        <w:pStyle w:val="ListParagraph"/>
        <w:numPr>
          <w:ilvl w:val="0"/>
          <w:numId w:val="3"/>
        </w:numPr>
        <w:spacing w:after="100" w:line="264"/>
      </w:pPr>
      <w:r>
        <w:rPr>
          <w:rFonts w:ascii="Calibri" w:cs="Calibri" w:eastAsia="Calibri" w:hAnsi="Calibri"/>
          <w:sz w:val="22"/>
          <w:szCs w:val="22"/>
        </w:rPr>
        <w:t xml:space="preserve">Resource list. All community resources with name, type, trades, priority ranking, and blocked dates. Edits and removals here do not alter names already captured on project step assignments; see Resource Model.</w:t>
      </w:r>
    </w:p>
    <w:p>
      <w:pPr>
        <w:pStyle w:val="ListParagraph"/>
        <w:numPr>
          <w:ilvl w:val="0"/>
          <w:numId w:val="3"/>
        </w:numPr>
        <w:spacing w:after="100" w:line="264"/>
      </w:pPr>
      <w:r>
        <w:rPr>
          <w:rFonts w:ascii="Calibri" w:cs="Calibri" w:eastAsia="Calibri" w:hAnsi="Calibri"/>
          <w:sz w:val="22"/>
          <w:szCs w:val="22"/>
        </w:rPr>
        <w:t xml:space="preserve">Community name and community key. Pre populates the community field on all new projects and the PDF output, and is embedded in every JSON export; see JSON Backup. Community identity is configured per instance rather than hardcoded, keeping the tool portable to organizations outside FM.</w:t>
      </w:r>
    </w:p>
    <w:p>
      <w:pPr>
        <w:pStyle w:val="Heading2"/>
        <w:keepNext/>
        <w:spacing w:after="120" w:before="240"/>
      </w:pPr>
      <w:r>
        <w:rPr>
          <w:rFonts w:ascii="Calibri" w:cs="Calibri" w:eastAsia="Calibri" w:hAnsi="Calibri"/>
          <w:b/>
          <w:bCs/>
          <w:color w:val="1B3A6B"/>
          <w:sz w:val="24"/>
          <w:szCs w:val="24"/>
        </w:rPr>
        <w:t xml:space="preserve">Export All Projects</w:t>
      </w:r>
    </w:p>
    <w:p>
      <w:pPr>
        <w:spacing w:after="160" w:line="264"/>
      </w:pPr>
      <w:r>
        <w:rPr>
          <w:rFonts w:ascii="Calibri" w:cs="Calibri" w:eastAsia="Calibri" w:hAnsi="Calibri"/>
          <w:sz w:val="22"/>
          <w:szCs w:val="22"/>
        </w:rPr>
        <w:t xml:space="preserve">A single Export All Projects button appears in the Settings Tab below the resource list. A checkbox labeled Include completed projects appears immediately above the button and is unchecked by default. When unchecked, the export includes only projects in Scheduled or Scheduled and Priced status where setup is complete. When checked, completed and closed projects are included alongside active ones. Partially scheduled projects, where setup is not yet complete, are excluded from the export regardless of this checkbox.</w:t>
      </w:r>
    </w:p>
    <w:p>
      <w:pPr>
        <w:spacing w:after="160" w:line="264"/>
      </w:pPr>
      <w:r>
        <w:rPr>
          <w:rFonts w:ascii="Calibri" w:cs="Calibri" w:eastAsia="Calibri" w:hAnsi="Calibri"/>
          <w:sz w:val="22"/>
          <w:szCs w:val="22"/>
        </w:rPr>
        <w:t xml:space="preserve">Pressing the button generates an Excel workbook via SheetJS with one worksheet. Each row represents one active step from one project. Toggled off steps are excluded. Columns in order: Community, Unit Number, Care Level, Apartment Type, Turn Type, Step Number, Step Name, Resource, Start Date, End Date, Duration (Working Days), Material Order, Labor Cost, Material Cost, Total Step Cost, Project Status.</w:t>
      </w:r>
    </w:p>
    <w:p>
      <w:pPr>
        <w:spacing w:after="160" w:line="264"/>
      </w:pPr>
      <w:r>
        <w:rPr>
          <w:rFonts w:ascii="Calibri" w:cs="Calibri" w:eastAsia="Calibri" w:hAnsi="Calibri"/>
          <w:sz w:val="22"/>
          <w:szCs w:val="22"/>
        </w:rPr>
        <w:t xml:space="preserve">Material Order is yes or no. Project Status reflects Scheduled or Scheduled and Priced. Duration (Working Days) is the calculated working day count between the start and end date for that step, using the same working day rules as the scheduling engine: Monday through Friday excluding the seven observed holidays. The worksheet is delivered with auto filter headers enabled so a DPO can sort or filter by any column without setup. The file downloads directly with no dialog. Filename pattern: community key, then Export, then the export date formatted as MM-DD-YYYY, for example MV-Export-06-22-2026.</w:t>
      </w:r>
    </w:p>
    <w:p>
      <w:pPr>
        <w:spacing w:after="160" w:line="264"/>
      </w:pPr>
      <w:r>
        <w:rPr>
          <w:rFonts w:ascii="Calibri" w:cs="Calibri" w:eastAsia="Calibri" w:hAnsi="Calibri"/>
          <w:sz w:val="22"/>
          <w:szCs w:val="22"/>
        </w:rPr>
        <w:t xml:space="preserve">Home office can distribute a standard approved options list to communities by providing the values to be entered into settings. There is no system enforced gate on what a community enters; the settings tab is the community's own configuration layer.</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Unit Turn Request PDF Output</w:t>
      </w:r>
    </w:p>
    <w:p>
      <w:pPr>
        <w:spacing w:after="160" w:line="264"/>
      </w:pPr>
      <w:r>
        <w:rPr>
          <w:rFonts w:ascii="Calibri" w:cs="Calibri" w:eastAsia="Calibri" w:hAnsi="Calibri"/>
          <w:sz w:val="22"/>
          <w:szCs w:val="22"/>
        </w:rPr>
        <w:t xml:space="preserve">The tool generates a Unit Turn Request PDF matching the existing FM form structure so it drops into the current approval workflow without modification. The DPO presses a generate PDF button when ready to submit. The PDF can be generated at any point, including from a partially complete project, though a project in Scheduled and Priced status is expected before submission.</w:t>
      </w:r>
    </w:p>
    <w:p>
      <w:pPr>
        <w:spacing w:after="160" w:line="264"/>
      </w:pPr>
      <w:r>
        <w:rPr>
          <w:rFonts w:ascii="Calibri" w:cs="Calibri" w:eastAsia="Calibri" w:hAnsi="Calibri"/>
          <w:sz w:val="22"/>
          <w:szCs w:val="22"/>
        </w:rPr>
        <w:t xml:space="preserve">PDF generation and actual submission are two separate, unconnected events. The tool produces the file; sending it for approval happens entirely outside the tool, by email per current practice, and the tool keeps no record of whether a generated PDF was ever sent.</w:t>
      </w:r>
    </w:p>
    <w:p>
      <w:pPr>
        <w:spacing w:after="160" w:line="264"/>
      </w:pPr>
      <w:r>
        <w:rPr>
          <w:rFonts w:ascii="Calibri" w:cs="Calibri" w:eastAsia="Calibri" w:hAnsi="Calibri"/>
          <w:sz w:val="22"/>
          <w:szCs w:val="22"/>
        </w:rPr>
        <w:t xml:space="preserve">Generation mechanism. The generate PDF button produces the file directly through a client side PDF generation library, no browser print dialog involved, consistent with the no server, no login architecture of the rest of the tool. The library is bundled inline within the single HTML file at build time, not loaded from a CDN, so the offline deployment promise in Data Persistence and Deployment holds without exception. jsPDF is the recommended library given its fit for structured, table heavy forms; pdf lib is an acceptable alternative if finer layout control is needed. Bundling increases deployed file size, an accepted tradeoff for guaranteed offline capability.</w:t>
      </w:r>
    </w:p>
    <w:p>
      <w:pPr>
        <w:spacing w:after="160" w:line="264"/>
      </w:pPr>
      <w:r>
        <w:rPr>
          <w:rFonts w:ascii="Calibri" w:cs="Calibri" w:eastAsia="Calibri" w:hAnsi="Calibri"/>
          <w:sz w:val="22"/>
          <w:szCs w:val="22"/>
        </w:rPr>
        <w:t xml:space="preserve">The current Excel version of this form includes a Submit Ready Status indicator and an auto generated Save-As filename convention. The readiness indicator is not replicated; the Scheduled and Priced status, the checklist panel, and the status colors cover that ground. The filename convention is replicated, see below.</w:t>
      </w:r>
    </w:p>
    <w:p>
      <w:pPr>
        <w:pStyle w:val="Heading2"/>
        <w:keepNext/>
        <w:spacing w:after="120" w:before="240"/>
      </w:pPr>
      <w:r>
        <w:rPr>
          <w:rFonts w:ascii="Calibri" w:cs="Calibri" w:eastAsia="Calibri" w:hAnsi="Calibri"/>
          <w:b/>
          <w:bCs/>
          <w:color w:val="1B3A6B"/>
          <w:sz w:val="24"/>
          <w:szCs w:val="24"/>
        </w:rPr>
        <w:t xml:space="preserve">PDF Contents</w:t>
      </w:r>
    </w:p>
    <w:p>
      <w:pPr>
        <w:spacing w:after="160" w:line="264"/>
      </w:pPr>
      <w:r>
        <w:rPr>
          <w:rFonts w:ascii="Calibri" w:cs="Calibri" w:eastAsia="Calibri" w:hAnsi="Calibri"/>
          <w:sz w:val="22"/>
          <w:szCs w:val="22"/>
        </w:rPr>
        <w:t xml:space="preserve">Form header fields: community, care level, unit number, apartment type, turn type, deposit on unit, requested by, date submitted, custom costs paid by incoming resident, vacancy notice date, and unit available date.</w:t>
      </w:r>
    </w:p>
    <w:p>
      <w:pPr>
        <w:spacing w:after="160" w:line="264"/>
      </w:pPr>
      <w:r>
        <w:rPr>
          <w:rFonts w:ascii="Calibri" w:cs="Calibri" w:eastAsia="Calibri" w:hAnsi="Calibri"/>
          <w:sz w:val="22"/>
          <w:szCs w:val="22"/>
        </w:rPr>
        <w:t xml:space="preserve">Date submitted is not a field the DPO enters. It is set automatically to the date the project is created and does not change if the PDF is regenerated later. It reflects the project creation date and serves no other purpose.</w:t>
      </w:r>
    </w:p>
    <w:p>
      <w:pPr>
        <w:spacing w:after="160" w:line="264"/>
      </w:pPr>
      <w:r>
        <w:rPr>
          <w:rFonts w:ascii="Calibri" w:cs="Calibri" w:eastAsia="Calibri" w:hAnsi="Calibri"/>
          <w:sz w:val="22"/>
          <w:szCs w:val="22"/>
        </w:rPr>
        <w:t xml:space="preserve">Generated filename. The PDF file follows the naming convention already in use: community code, then UT Budget, then care level and unit number, then the date submitted formatted as a parenthetical month day year, matching the pattern MV UT Budget - AL 19 - (06-22-2026).</w:t>
      </w:r>
    </w:p>
    <w:p>
      <w:pPr>
        <w:spacing w:after="160" w:line="264"/>
      </w:pPr>
      <w:r>
        <w:rPr>
          <w:rFonts w:ascii="Calibri" w:cs="Calibri" w:eastAsia="Calibri" w:hAnsi="Calibri"/>
          <w:sz w:val="22"/>
          <w:szCs w:val="22"/>
        </w:rPr>
        <w:t xml:space="preserve">Vacancy notice date and unit available date are shown together with the projected schedule completion date so the approver can see the full planning window.</w:t>
      </w:r>
    </w:p>
    <w:p>
      <w:pPr>
        <w:spacing w:after="160" w:line="264"/>
      </w:pPr>
      <w:r>
        <w:rPr>
          <w:rFonts w:ascii="Calibri" w:cs="Calibri" w:eastAsia="Calibri" w:hAnsi="Calibri"/>
          <w:sz w:val="22"/>
          <w:szCs w:val="22"/>
        </w:rPr>
        <w:t xml:space="preserve">Cost table: all active form categories with labor, materials, and vendor columns populated from step cost entries per the Form Category Mapping.</w:t>
      </w:r>
    </w:p>
    <w:p>
      <w:pPr>
        <w:spacing w:after="160" w:line="264"/>
      </w:pPr>
      <w:r>
        <w:rPr>
          <w:rFonts w:ascii="Calibri" w:cs="Calibri" w:eastAsia="Calibri" w:hAnsi="Calibri"/>
          <w:sz w:val="22"/>
          <w:szCs w:val="22"/>
        </w:rPr>
        <w:t xml:space="preserve">Total request amount, calculated as the sum of all active form category costs, labor, vendor, and materials combined, minus the custom costs paid by incoming resident amount if entered. A blank incoming resident amount is treated as zero.</w:t>
      </w:r>
    </w:p>
    <w:p>
      <w:pPr>
        <w:spacing w:after="160" w:line="264"/>
      </w:pPr>
      <w:r>
        <w:rPr>
          <w:rFonts w:ascii="Calibri" w:cs="Calibri" w:eastAsia="Calibri" w:hAnsi="Calibri"/>
          <w:sz w:val="22"/>
          <w:szCs w:val="22"/>
        </w:rPr>
        <w:t xml:space="preserve">Finish specifications: paint color, cabinet color, LVP color, carpet color, and countertop material, appearing only for steps that are toggled on.</w:t>
      </w:r>
    </w:p>
    <w:p>
      <w:pPr>
        <w:spacing w:after="160" w:line="264"/>
      </w:pPr>
      <w:r>
        <w:rPr>
          <w:rFonts w:ascii="Calibri" w:cs="Calibri" w:eastAsia="Calibri" w:hAnsi="Calibri"/>
          <w:sz w:val="22"/>
          <w:szCs w:val="22"/>
        </w:rPr>
        <w:t xml:space="preserve">Projected schedule completion date, defined as the next working day following the end date of Final cleaning touch up, step 18, reflecting the live schedule. This date reflects logged completions only. An overdue project that has not had a recent completion keeps its last calculated date on the PDF; it does not silently drift forward to reflect in progress slippage, consistent with Baseline and Live Schedule.</w:t>
      </w:r>
    </w:p>
    <w:p>
      <w:pPr>
        <w:spacing w:after="160" w:line="264"/>
      </w:pPr>
      <w:r>
        <w:rPr>
          <w:rFonts w:ascii="Calibri" w:cs="Calibri" w:eastAsia="Calibri" w:hAnsi="Calibri"/>
          <w:sz w:val="22"/>
          <w:szCs w:val="22"/>
        </w:rPr>
        <w:t xml:space="preserve">Scope of work summary: auto populated from the toggled steps as a plain language starting point, editable by the DPO before generating the PDF. When the Other form category carries a cost, the auto populated summary includes a short narrative naming what specifically makes up that line, whether maintenance PM inspection, a fire protection trade, or an uncategorized cost. Most categories are self explanatory from their label alone; Other is not, and the approver should not have to guess what it contains.</w:t>
      </w:r>
    </w:p>
    <w:p>
      <w:pPr>
        <w:pStyle w:val="Heading2"/>
        <w:keepNext/>
        <w:spacing w:after="120" w:before="240"/>
      </w:pPr>
      <w:r>
        <w:rPr>
          <w:rFonts w:ascii="Calibri" w:cs="Calibri" w:eastAsia="Calibri" w:hAnsi="Calibri"/>
          <w:b/>
          <w:bCs/>
          <w:color w:val="1B3A6B"/>
          <w:sz w:val="24"/>
          <w:szCs w:val="24"/>
        </w:rPr>
        <w:t xml:space="preserve">Approval Workflow</w:t>
      </w:r>
    </w:p>
    <w:p>
      <w:pPr>
        <w:spacing w:after="160" w:line="264"/>
      </w:pPr>
      <w:r>
        <w:rPr>
          <w:rFonts w:ascii="Calibri" w:cs="Calibri" w:eastAsia="Calibri" w:hAnsi="Calibri"/>
          <w:sz w:val="22"/>
          <w:szCs w:val="22"/>
        </w:rPr>
        <w:t xml:space="preserve">The PDF output matches the existing Unit Turn Request form that communities currently submit, verified directly against the Marian Village example, unit 19, dated 6/22/2026, and the blank Excel template that generates it. No changes to the approval workflow are required. Subcontractor estimates should still be attached when emailing the Unit Turn Request for approval, per current practice.</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Procurement and Scheduling Checklist</w:t>
      </w:r>
    </w:p>
    <w:p>
      <w:pPr>
        <w:spacing w:after="160" w:line="264"/>
      </w:pPr>
      <w:r>
        <w:rPr>
          <w:rFonts w:ascii="Calibri" w:cs="Calibri" w:eastAsia="Calibri" w:hAnsi="Calibri"/>
          <w:sz w:val="22"/>
          <w:szCs w:val="22"/>
        </w:rPr>
        <w:t xml:space="preserve">The checklist is a separate panel attached to each project, accessible after the project is created and live. It populates automatically based on what the DPO configured during setup.</w:t>
      </w:r>
    </w:p>
    <w:p>
      <w:pPr>
        <w:spacing w:after="160" w:line="264"/>
      </w:pPr>
      <w:r>
        <w:rPr>
          <w:rFonts w:ascii="Calibri" w:cs="Calibri" w:eastAsia="Calibri" w:hAnsi="Calibri"/>
          <w:sz w:val="22"/>
          <w:szCs w:val="22"/>
        </w:rPr>
        <w:t xml:space="preserve">A scheduling confirmation item is created automatically for every step with a resource assigned, regardless of resource type, so the checklist icon is active on every new project until the DPO confirms scheduling on all steps. This is intentional. It forces the DPO to actually contact and schedule with the vendor or resource rather than treating the assignment field as complete once a name is selected, and it is the point at which real lead times get captured instead of guessed at during setup.</w:t>
      </w:r>
    </w:p>
    <w:p>
      <w:pPr>
        <w:pStyle w:val="Heading2"/>
        <w:keepNext/>
        <w:spacing w:after="120" w:before="240"/>
      </w:pPr>
      <w:r>
        <w:rPr>
          <w:rFonts w:ascii="Calibri" w:cs="Calibri" w:eastAsia="Calibri" w:hAnsi="Calibri"/>
          <w:b/>
          <w:bCs/>
          <w:color w:val="1B3A6B"/>
          <w:sz w:val="24"/>
          <w:szCs w:val="24"/>
        </w:rPr>
        <w:t xml:space="preserve">Material Order Lead Time</w:t>
      </w:r>
    </w:p>
    <w:p>
      <w:pPr>
        <w:spacing w:after="160" w:line="264"/>
      </w:pPr>
      <w:r>
        <w:rPr>
          <w:rFonts w:ascii="Calibri" w:cs="Calibri" w:eastAsia="Calibri" w:hAnsi="Calibri"/>
          <w:sz w:val="22"/>
          <w:szCs w:val="22"/>
        </w:rPr>
        <w:t xml:space="preserve">If the DPO answers yes to the material order question for a step, an optional expected lead time field opens, entered in working days. It may be left blank.</w:t>
      </w:r>
    </w:p>
    <w:p>
      <w:pPr>
        <w:spacing w:after="160" w:line="264"/>
      </w:pPr>
      <w:r>
        <w:rPr>
          <w:rFonts w:ascii="Calibri" w:cs="Calibri" w:eastAsia="Calibri" w:hAnsi="Calibri"/>
          <w:sz w:val="22"/>
          <w:szCs w:val="22"/>
        </w:rPr>
        <w:t xml:space="preserve">At initial project setup, if a lead time value is entered, the step's calculated start date is the maximum of two values: the resolved predecessor end date per the dependency graph, and the vacancy notice date advanced by the entered lead time in working days. This is the single start date formula used everywhere the start date is calculated during setup. If no lead time is entered, the step's start is governed entirely by the dependency graph.</w:t>
      </w:r>
    </w:p>
    <w:p>
      <w:pPr>
        <w:spacing w:after="160" w:line="264"/>
      </w:pPr>
      <w:r>
        <w:rPr>
          <w:rFonts w:ascii="Calibri" w:cs="Calibri" w:eastAsia="Calibri" w:hAnsi="Calibri"/>
          <w:sz w:val="22"/>
          <w:szCs w:val="22"/>
        </w:rPr>
        <w:t xml:space="preserve">Once a project is live, the schedule does not continuously re check the lead time floor. Per Baseline and Live Schedule, the live schedule recalculates only on completion events and unit available date changes. If a material order actually runs behind the entered lead time, a soft warning appears on the step, the same way a resource blocked date does, and the DPO manually delays the step if needed using the same manual delay authority available on every step.</w:t>
      </w:r>
    </w:p>
    <w:p>
      <w:pPr>
        <w:spacing w:after="160" w:line="264"/>
      </w:pPr>
      <w:r>
        <w:rPr>
          <w:rFonts w:ascii="Calibri" w:cs="Calibri" w:eastAsia="Calibri" w:hAnsi="Calibri"/>
          <w:sz w:val="22"/>
          <w:szCs w:val="22"/>
        </w:rPr>
        <w:t xml:space="preserve">The procurement checklist item is created whenever the material order question is answered yes, regardless of whether a lead time value is entered. Checklist accuracy never depends on the DPO knowing or guessing a lead time.</w:t>
      </w:r>
    </w:p>
    <w:p>
      <w:pPr>
        <w:pStyle w:val="Heading2"/>
        <w:keepNext/>
        <w:spacing w:after="120" w:before="240"/>
      </w:pPr>
      <w:r>
        <w:rPr>
          <w:rFonts w:ascii="Calibri" w:cs="Calibri" w:eastAsia="Calibri" w:hAnsi="Calibri"/>
          <w:b/>
          <w:bCs/>
          <w:color w:val="1B3A6B"/>
          <w:sz w:val="24"/>
          <w:szCs w:val="24"/>
        </w:rPr>
        <w:t xml:space="preserve">Visibility and Status</w:t>
      </w:r>
    </w:p>
    <w:p>
      <w:pPr>
        <w:spacing w:after="160" w:line="264"/>
      </w:pPr>
      <w:r>
        <w:rPr>
          <w:rFonts w:ascii="Calibri" w:cs="Calibri" w:eastAsia="Calibri" w:hAnsi="Calibri"/>
          <w:sz w:val="22"/>
          <w:szCs w:val="22"/>
        </w:rPr>
        <w:t xml:space="preserve">The checklist panel tab shows a count of open items at all times, so the DPO knows at a glance whether procurement and scheduling actions are fully confirmed without opening the panel. A small icon appears on the collapsed project bar on the calendar when any checklist items are unconfirmed, separate from the Gantt status color, which remains tied only to timeline health. A checklist item stays highlighted as open until all required fields are completed.</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Calendar and Display View</w:t>
      </w:r>
    </w:p>
    <w:p>
      <w:pPr>
        <w:spacing w:after="160" w:line="264"/>
      </w:pPr>
      <w:r>
        <w:rPr>
          <w:rFonts w:ascii="Calibri" w:cs="Calibri" w:eastAsia="Calibri" w:hAnsi="Calibri"/>
          <w:sz w:val="22"/>
          <w:szCs w:val="22"/>
        </w:rPr>
        <w:t xml:space="preserve">The display layer is built from one underlying schedule, the live schedule described in Baseline and Live Schedule. A single toggle switches between three views, each a different filter or zoom level on the same data.</w:t>
      </w:r>
    </w:p>
    <w:p>
      <w:pPr>
        <w:spacing w:after="160" w:line="264"/>
      </w:pPr>
      <w:r>
        <w:rPr>
          <w:rFonts w:ascii="Calibri" w:cs="Calibri" w:eastAsia="Calibri" w:hAnsi="Calibri"/>
          <w:sz w:val="22"/>
          <w:szCs w:val="22"/>
        </w:rPr>
        <w:t xml:space="preserve">Bar rendering. A Gantt bar's length reflects calendar span, not working day span. Weekends and blocked holidays that fall within a step's window render as visible gaps or a distinct muted segment within the bar, rather than being compressed out, keeping every bar aligned to the same real world timeline as the vertical today marker.</w:t>
      </w:r>
    </w:p>
    <w:p>
      <w:pPr>
        <w:pStyle w:val="ListParagraph"/>
        <w:numPr>
          <w:ilvl w:val="0"/>
          <w:numId w:val="3"/>
        </w:numPr>
        <w:spacing w:after="100" w:line="264"/>
      </w:pPr>
      <w:r>
        <w:rPr>
          <w:rFonts w:ascii="Calibri" w:cs="Calibri" w:eastAsia="Calibri" w:hAnsi="Calibri"/>
          <w:sz w:val="22"/>
          <w:szCs w:val="22"/>
        </w:rPr>
        <w:t xml:space="preserve">By Unit. The default community view. One horizontal Gantt bar per active unit turn, on a left to right scrollable timeline. Each bar shows start date, end date, and status color. A vertical today marker runs across all bars. A small icon appears on bars with open checklist items.</w:t>
      </w:r>
    </w:p>
    <w:p>
      <w:pPr>
        <w:pStyle w:val="ListParagraph"/>
        <w:numPr>
          <w:ilvl w:val="0"/>
          <w:numId w:val="3"/>
        </w:numPr>
        <w:spacing w:after="100" w:line="264"/>
      </w:pPr>
      <w:r>
        <w:rPr>
          <w:rFonts w:ascii="Calibri" w:cs="Calibri" w:eastAsia="Calibri" w:hAnsi="Calibri"/>
          <w:sz w:val="22"/>
          <w:szCs w:val="22"/>
        </w:rPr>
        <w:t xml:space="preserve">By Project. The expanded step level view for one selected unit turn. Each step appears as its own proportional Gantt bar on the same horizontal timeline, with parallel steps stacked at the same horizontal position. The today marker remains visible.</w:t>
      </w:r>
    </w:p>
    <w:p>
      <w:pPr>
        <w:pStyle w:val="ListParagraph"/>
        <w:numPr>
          <w:ilvl w:val="0"/>
          <w:numId w:val="3"/>
        </w:numPr>
        <w:spacing w:after="100" w:line="264"/>
      </w:pPr>
      <w:r>
        <w:rPr>
          <w:rFonts w:ascii="Calibri" w:cs="Calibri" w:eastAsia="Calibri" w:hAnsi="Calibri"/>
          <w:sz w:val="22"/>
          <w:szCs w:val="22"/>
        </w:rPr>
        <w:t xml:space="preserve">By Resource. The same underlying step data filtered to one selected resource across all active projects in the community. Each committed step appears as its own bar, labeled with the unit it belongs to.</w:t>
      </w:r>
    </w:p>
    <w:p>
      <w:pPr>
        <w:spacing w:after="160" w:line="264"/>
      </w:pPr>
      <w:r>
        <w:rPr>
          <w:rFonts w:ascii="Calibri" w:cs="Calibri" w:eastAsia="Calibri" w:hAnsi="Calibri"/>
          <w:sz w:val="22"/>
          <w:szCs w:val="22"/>
        </w:rPr>
        <w:t xml:space="preserve">Accordion interaction. In the By Unit and By Resource views, each summary row expands in place when clicked, revealing step level detail rows inline as full proportional Gantt bars. Only one row can be expanded at a time; expanding a new row collapses the previous one.</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Baseline and Live Schedule</w:t>
      </w:r>
    </w:p>
    <w:p>
      <w:pPr>
        <w:spacing w:after="160" w:line="264"/>
      </w:pPr>
      <w:r>
        <w:rPr>
          <w:rFonts w:ascii="Calibri" w:cs="Calibri" w:eastAsia="Calibri" w:hAnsi="Calibri"/>
          <w:sz w:val="22"/>
          <w:szCs w:val="22"/>
        </w:rPr>
        <w:t xml:space="preserve">When scheduling completes, the project reaches Scheduled status, and the tool captures a baseline start and end date for every active step, calculated from the dependency graph, the working days model, and any material order lead time floor as configured at that moment. The baseline never changes for the life of the project. It does not depend on pricing, so a project that is Scheduled but not yet Priced still carries a full baseline.</w:t>
      </w:r>
    </w:p>
    <w:p>
      <w:pPr>
        <w:spacing w:after="160" w:line="264"/>
      </w:pPr>
      <w:r>
        <w:rPr>
          <w:rFonts w:ascii="Calibri" w:cs="Calibri" w:eastAsia="Calibri" w:hAnsi="Calibri"/>
          <w:sz w:val="22"/>
          <w:szCs w:val="22"/>
        </w:rPr>
        <w:t xml:space="preserve">The live schedule recalculates forward whenever a step is marked complete, a completion date is manually overridden or cleared, or the unit available date is edited. Recalculation walks the dependency graph in the same direction as initial setup, using each step's actual completion date in place of its planned date to compute the earliest possible start for every downstream active step. Status colors and the calendar views always reflect the live schedule, not the baseline.</w:t>
      </w:r>
    </w:p>
    <w:p>
      <w:pPr>
        <w:spacing w:after="160" w:line="264"/>
      </w:pPr>
      <w:r>
        <w:rPr>
          <w:rFonts w:ascii="Calibri" w:cs="Calibri" w:eastAsia="Calibri" w:hAnsi="Calibri"/>
          <w:sz w:val="22"/>
          <w:szCs w:val="22"/>
        </w:rPr>
        <w:t xml:space="preserve">The baseline is retained for comparison only. At project completion, the tool displays the variance between baseline and live end dates for the project overall and per step, so the DPO can see both the total delay and which step or steps drove it.</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Status Logic</w:t>
      </w:r>
    </w:p>
    <w:p>
      <w:pPr>
        <w:spacing w:after="160" w:line="264"/>
      </w:pPr>
      <w:r>
        <w:rPr>
          <w:rFonts w:ascii="Calibri" w:cs="Calibri" w:eastAsia="Calibri" w:hAnsi="Calibri"/>
          <w:sz w:val="22"/>
          <w:szCs w:val="22"/>
        </w:rPr>
        <w:t xml:space="preserve">Status reflects daily action needed, not a passive countdown. The intent is for the DPO to interact with the tool daily, resolving yellow before it becomes red. Status is always calculated against the live schedule.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360"/>
      </w:tblGrid>
      <w:tr>
        <w:trPr>
          <w:tblHeader/>
        </w:trPr>
        <w:tc>
          <w:tcPr>
            <w:tcW w:type="dxa" w:w="200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Color</w:t>
            </w:r>
          </w:p>
        </w:tc>
        <w:tc>
          <w:tcPr>
            <w:tcW w:type="dxa" w:w="7360"/>
            <w:shd w:fill="1B3A6B" w:val="clear"/>
            <w:tcMar>
              <w:top w:type="dxa" w:w="80"/>
              <w:left w:type="dxa" w:w="120"/>
              <w:bottom w:type="dxa" w:w="80"/>
              <w:right w:type="dxa" w:w="120"/>
            </w:tcMar>
          </w:tcPr>
          <w:p>
            <w:pPr>
              <w:spacing w:after="60" w:line="252"/>
            </w:pPr>
            <w:r>
              <w:rPr>
                <w:rFonts w:ascii="Calibri" w:cs="Calibri" w:eastAsia="Calibri" w:hAnsi="Calibri"/>
                <w:b/>
                <w:bCs/>
                <w:color w:val="FFFFFF"/>
                <w:sz w:val="20"/>
                <w:szCs w:val="20"/>
              </w:rPr>
              <w:t xml:space="preserve">Meaning</w:t>
            </w:r>
          </w:p>
        </w:tc>
      </w:tr>
      <w:tr>
        <w:tc>
          <w:tcPr>
            <w:tcW w:type="dxa" w:w="2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Gray</w:t>
            </w:r>
          </w:p>
        </w:tc>
        <w:tc>
          <w:tcPr>
            <w:tcW w:type="dxa" w:w="7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Not yet started. The step's scheduled window has not opened yet.</w:t>
            </w:r>
          </w:p>
        </w:tc>
      </w:tr>
      <w:tr>
        <w:tc>
          <w:tcPr>
            <w:tcW w:type="dxa" w:w="2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Green</w:t>
            </w:r>
          </w:p>
        </w:tc>
        <w:tc>
          <w:tcPr>
            <w:tcW w:type="dxa" w:w="7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Active. Today falls within the step's scheduled window and nothing is due today. No action needed beyond awareness.</w:t>
            </w:r>
          </w:p>
        </w:tc>
      </w:tr>
      <w:tr>
        <w:tc>
          <w:tcPr>
            <w:tcW w:type="dxa" w:w="2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Yellow</w:t>
            </w:r>
          </w:p>
        </w:tc>
        <w:tc>
          <w:tcPr>
            <w:tcW w:type="dxa" w:w="7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Due today. Today is the step's scheduled end date. The DPO should check the step and mark it complete if finished. When a step's start and end date are the same day, Yellow takes precedence over Green.</w:t>
            </w:r>
          </w:p>
        </w:tc>
      </w:tr>
      <w:tr>
        <w:tc>
          <w:tcPr>
            <w:tcW w:type="dxa" w:w="200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Red</w:t>
            </w:r>
          </w:p>
        </w:tc>
        <w:tc>
          <w:tcPr>
            <w:tcW w:type="dxa" w:w="7360"/>
            <w:shd w:fill="F2F2F2" w:val="clear"/>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Overdue. The scheduled end date has passed and the step has not been checked off. Action is needed. Each red step displays a day count of working days past its scheduled end date, so a step three weeks overdue is visibly distinct from one overdue a single day without opening every step.</w:t>
            </w:r>
          </w:p>
        </w:tc>
      </w:tr>
      <w:tr>
        <w:tc>
          <w:tcPr>
            <w:tcW w:type="dxa" w:w="200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Blue</w:t>
            </w:r>
          </w:p>
        </w:tc>
        <w:tc>
          <w:tcPr>
            <w:tcW w:type="dxa" w:w="7360"/>
            <w:tcMar>
              <w:top w:type="dxa" w:w="60"/>
              <w:left w:type="dxa" w:w="120"/>
              <w:bottom w:type="dxa" w:w="60"/>
              <w:right w:type="dxa" w:w="120"/>
            </w:tcMar>
          </w:tcPr>
          <w:p>
            <w:pPr>
              <w:spacing w:after="60" w:line="252"/>
            </w:pPr>
            <w:r>
              <w:rPr>
                <w:rFonts w:ascii="Calibri" w:cs="Calibri" w:eastAsia="Calibri" w:hAnsi="Calibri"/>
                <w:b w:val="false"/>
                <w:bCs w:val="false"/>
                <w:color w:val="000000"/>
                <w:sz w:val="20"/>
                <w:szCs w:val="20"/>
              </w:rPr>
              <w:t xml:space="preserve">Complete. The step has been checked off by the DPO. Only checking a step complete can set its status to Blue.</w:t>
            </w:r>
          </w:p>
        </w:tc>
      </w:tr>
    </w:tbl>
    <w:p>
      <w:pPr>
        <w:spacing w:after="120"/>
      </w:pPr>
    </w:p>
    <w:p>
      <w:pPr>
        <w:pStyle w:val="Heading2"/>
        <w:keepNext/>
        <w:spacing w:after="120" w:before="240"/>
      </w:pPr>
      <w:r>
        <w:rPr>
          <w:rFonts w:ascii="Calibri" w:cs="Calibri" w:eastAsia="Calibri" w:hAnsi="Calibri"/>
          <w:b/>
          <w:bCs/>
          <w:color w:val="1B3A6B"/>
          <w:sz w:val="24"/>
          <w:szCs w:val="24"/>
        </w:rPr>
        <w:t xml:space="preserve">Completion Tracking</w:t>
      </w:r>
    </w:p>
    <w:p>
      <w:pPr>
        <w:spacing w:after="160" w:line="264"/>
      </w:pPr>
      <w:r>
        <w:rPr>
          <w:rFonts w:ascii="Calibri" w:cs="Calibri" w:eastAsia="Calibri" w:hAnsi="Calibri"/>
          <w:sz w:val="22"/>
          <w:szCs w:val="22"/>
        </w:rPr>
        <w:t xml:space="preserve">A DPO marks a step complete by checking it off. The system stamps the completion with today's date automatically. The DPO can manually override the completion date if the actual finish date differs from when it was logged. Logging or changing a completion date triggers live schedule recalculation for downstream active steps.</w:t>
      </w:r>
    </w:p>
    <w:p>
      <w:pPr>
        <w:spacing w:after="160" w:line="264"/>
      </w:pPr>
      <w:r>
        <w:rPr>
          <w:rFonts w:ascii="Calibri" w:cs="Calibri" w:eastAsia="Calibri" w:hAnsi="Calibri"/>
          <w:sz w:val="22"/>
          <w:szCs w:val="22"/>
        </w:rPr>
        <w:t xml:space="preserve">A completion logged in error can be cleared by unchecking the step. This returns the step to automatic status calculation based on its scheduled window, exactly as if it had never been marked complete, and triggers the same downstream recalculation as any other completion date change.</w:t>
      </w:r>
    </w:p>
    <w:p>
      <w:pPr>
        <w:pStyle w:val="Heading2"/>
        <w:keepNext/>
        <w:spacing w:after="120" w:before="240"/>
      </w:pPr>
      <w:r>
        <w:rPr>
          <w:rFonts w:ascii="Calibri" w:cs="Calibri" w:eastAsia="Calibri" w:hAnsi="Calibri"/>
          <w:b/>
          <w:bCs/>
          <w:color w:val="1B3A6B"/>
          <w:sz w:val="24"/>
          <w:szCs w:val="24"/>
        </w:rPr>
        <w:t xml:space="preserve">Manual Status Override and Authority Order</w:t>
      </w:r>
    </w:p>
    <w:p>
      <w:pPr>
        <w:spacing w:after="160" w:line="264"/>
      </w:pPr>
      <w:r>
        <w:rPr>
          <w:rFonts w:ascii="Calibri" w:cs="Calibri" w:eastAsia="Calibri" w:hAnsi="Calibri"/>
          <w:sz w:val="22"/>
          <w:szCs w:val="22"/>
        </w:rPr>
        <w:t xml:space="preserve">Only checking a step complete can set its status to Blue. A manual status override can set any other color and takes precedence over the automatically calculated color until the DPO clears the override. If a step's completion date is later logged or changed after an override was set, the override is cleared automatically and the status returns to automatic calculation, since the DPO's field knowledge has been superseded by an actual completion event.</w:t>
      </w:r>
    </w:p>
    <w:p>
      <w:pPr>
        <w:spacing w:after="160" w:line="264"/>
      </w:pPr>
      <w:r>
        <w:rPr>
          <w:rFonts w:ascii="Calibri" w:cs="Calibri" w:eastAsia="Calibri" w:hAnsi="Calibri"/>
          <w:sz w:val="22"/>
          <w:szCs w:val="22"/>
        </w:rPr>
        <w:t xml:space="preserve">An overridden status renders with a distinct marker, a small outline or icon separate from the color fill itself, so a manually suppressed status is never mistaken for a genuinely healthy one, particularly on the collapsed bar rollup.</w:t>
      </w:r>
    </w:p>
    <w:p>
      <w:pPr>
        <w:pStyle w:val="Heading2"/>
        <w:keepNext/>
        <w:spacing w:after="120" w:before="240"/>
      </w:pPr>
      <w:r>
        <w:rPr>
          <w:rFonts w:ascii="Calibri" w:cs="Calibri" w:eastAsia="Calibri" w:hAnsi="Calibri"/>
          <w:b/>
          <w:bCs/>
          <w:color w:val="1B3A6B"/>
          <w:sz w:val="24"/>
          <w:szCs w:val="24"/>
        </w:rPr>
        <w:t xml:space="preserve">Collapsed Bar Status Rollup</w:t>
      </w:r>
    </w:p>
    <w:p>
      <w:pPr>
        <w:spacing w:after="160" w:line="264"/>
      </w:pPr>
      <w:r>
        <w:rPr>
          <w:rFonts w:ascii="Calibri" w:cs="Calibri" w:eastAsia="Calibri" w:hAnsi="Calibri"/>
          <w:sz w:val="22"/>
          <w:szCs w:val="22"/>
        </w:rPr>
        <w:t xml:space="preserve">The collapsed bar reflects the worst status among all currently active, non complete steps, ranked worst to best as Red, Yellow, Green, Gray. Blue is excluded since a complete step carries no action risk. If every step in a project is Blue, the collapsed bar displays Blue. A struggling parallel branch surfaces immediately rather than staying hidden behind a healthy step.</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Data Persistence and Deployment</w:t>
      </w:r>
    </w:p>
    <w:p>
      <w:pPr>
        <w:spacing w:after="160" w:line="264"/>
      </w:pPr>
      <w:r>
        <w:rPr>
          <w:rFonts w:ascii="Calibri" w:cs="Calibri" w:eastAsia="Calibri" w:hAnsi="Calibri"/>
          <w:sz w:val="22"/>
          <w:szCs w:val="22"/>
        </w:rPr>
        <w:t xml:space="preserve">The tool runs as either a local HTML file saved to a browser or a hosted application on a personal GitHub Pages site. Both deployment methods use the same data architecture.</w:t>
      </w:r>
    </w:p>
    <w:p>
      <w:pPr>
        <w:pStyle w:val="Heading2"/>
        <w:keepNext/>
        <w:spacing w:after="120" w:before="240"/>
      </w:pPr>
      <w:r>
        <w:rPr>
          <w:rFonts w:ascii="Calibri" w:cs="Calibri" w:eastAsia="Calibri" w:hAnsi="Calibri"/>
          <w:b/>
          <w:bCs/>
          <w:color w:val="1B3A6B"/>
          <w:sz w:val="24"/>
          <w:szCs w:val="24"/>
        </w:rPr>
        <w:t xml:space="preserve">Browser Storage</w:t>
      </w:r>
    </w:p>
    <w:p>
      <w:pPr>
        <w:spacing w:after="160" w:line="264"/>
      </w:pPr>
      <w:r>
        <w:rPr>
          <w:rFonts w:ascii="Calibri" w:cs="Calibri" w:eastAsia="Calibri" w:hAnsi="Calibri"/>
          <w:sz w:val="22"/>
          <w:szCs w:val="22"/>
        </w:rPr>
        <w:t xml:space="preserve">All project data, resource lists, settings, and option lists are saved to browser storage as the DPO works. This is the live working data layer. No server or login system is required.</w:t>
      </w:r>
    </w:p>
    <w:p>
      <w:pPr>
        <w:spacing w:after="160" w:line="264"/>
      </w:pPr>
      <w:r>
        <w:rPr>
          <w:rFonts w:ascii="Calibri" w:cs="Calibri" w:eastAsia="Calibri" w:hAnsi="Calibri"/>
          <w:sz w:val="22"/>
          <w:szCs w:val="22"/>
        </w:rPr>
        <w:t xml:space="preserve">All storage keys are scoped by community, so a shared origin, such as a single GitHub Pages deployment serving multiple communities, cannot cross contaminate data between them. Each project save is a single atomic write rather than a continuous stream, so a browser crash mid edit cannot leave a project in a partially written state.</w:t>
      </w:r>
    </w:p>
    <w:p>
      <w:pPr>
        <w:spacing w:after="160" w:line="264"/>
      </w:pPr>
      <w:r>
        <w:rPr>
          <w:rFonts w:ascii="Calibri" w:cs="Calibri" w:eastAsia="Calibri" w:hAnsi="Calibri"/>
          <w:sz w:val="22"/>
          <w:szCs w:val="22"/>
        </w:rPr>
        <w:t xml:space="preserve">If the tool detects it is open in more than one browser tab, it displays a warning that only one tab should be used for editing at a time. The warning is advisory only; it does not prevent two tabs from both writing, and the atomic write behavior stops partial saves but not last writer wins clobbering. This is an accepted tradeoff for a no login local tool.</w:t>
      </w:r>
    </w:p>
    <w:p>
      <w:pPr>
        <w:spacing w:after="160" w:line="264"/>
      </w:pPr>
      <w:r>
        <w:rPr>
          <w:rFonts w:ascii="Calibri" w:cs="Calibri" w:eastAsia="Calibri" w:hAnsi="Calibri"/>
          <w:sz w:val="22"/>
          <w:szCs w:val="22"/>
        </w:rPr>
        <w:t xml:space="preserve">Build note: typical browser local storage limits fall in the 5 to 10 MB range per origin. Active usage across a community's projects, baselines, and checklists is expected to stay well under that limit, but quota is not actively monitored by the tool. Separately, this tool is not compatible with a claude.ai artifact preview, where browser storage is blocked. Neither point affects the intended local file or GitHub Pages deployment.</w:t>
      </w:r>
    </w:p>
    <w:p>
      <w:pPr>
        <w:pStyle w:val="Heading2"/>
        <w:keepNext/>
        <w:spacing w:after="120" w:before="240"/>
      </w:pPr>
      <w:r>
        <w:rPr>
          <w:rFonts w:ascii="Calibri" w:cs="Calibri" w:eastAsia="Calibri" w:hAnsi="Calibri"/>
          <w:b/>
          <w:bCs/>
          <w:color w:val="1B3A6B"/>
          <w:sz w:val="24"/>
          <w:szCs w:val="24"/>
        </w:rPr>
        <w:t xml:space="preserve">JSON Backup</w:t>
      </w:r>
    </w:p>
    <w:p>
      <w:pPr>
        <w:spacing w:after="160" w:line="264"/>
      </w:pPr>
      <w:r>
        <w:rPr>
          <w:rFonts w:ascii="Calibri" w:cs="Calibri" w:eastAsia="Calibri" w:hAnsi="Calibri"/>
          <w:sz w:val="22"/>
          <w:szCs w:val="22"/>
        </w:rPr>
        <w:t xml:space="preserve">A clearly visible export and import control sits in the upper right corner of the tool at all times. Export downloads the full community data as a JSON file to the DPO's local device, stamped with a schema version, a timestamp, and the community name and community key.</w:t>
      </w:r>
    </w:p>
    <w:p>
      <w:pPr>
        <w:spacing w:after="160" w:line="264"/>
      </w:pPr>
      <w:r>
        <w:rPr>
          <w:rFonts w:ascii="Calibri" w:cs="Calibri" w:eastAsia="Calibri" w:hAnsi="Calibri"/>
          <w:sz w:val="22"/>
          <w:szCs w:val="22"/>
        </w:rPr>
        <w:t xml:space="preserve">Backup reminders fire on two independent triggers. A threshold based reminder appears after a set number of unbacked changes accumulates, so the reminder means something when it appears instead of training the DPO to click past a constant prompt. A time based reminder appears when no export has happened within a set number of days regardless of change volume, so a community with light or sporadic unit turn activity does not go a long stretch unbacked simply because it generates few changes. Both reminders are non blocking; the DPO can dismiss them and keep working.</w:t>
      </w:r>
    </w:p>
    <w:p>
      <w:pPr>
        <w:spacing w:after="160" w:line="264"/>
      </w:pPr>
      <w:r>
        <w:rPr>
          <w:rFonts w:ascii="Calibri" w:cs="Calibri" w:eastAsia="Calibri" w:hAnsi="Calibri"/>
          <w:sz w:val="22"/>
          <w:szCs w:val="22"/>
        </w:rPr>
        <w:t xml:space="preserve">Offboarding. A departing DPO exports JSON before leaving. This is an explicit offboarding step, and the export file is the handoff artifact the incoming DPO imports to continue the community's in flight projects. The rollout document covers where that file is kept and who holds it.</w:t>
      </w:r>
    </w:p>
    <w:p>
      <w:pPr>
        <w:spacing w:after="160" w:line="264"/>
      </w:pPr>
      <w:r>
        <w:rPr>
          <w:rFonts w:ascii="Calibri" w:cs="Calibri" w:eastAsia="Calibri" w:hAnsi="Calibri"/>
          <w:sz w:val="22"/>
          <w:szCs w:val="22"/>
        </w:rPr>
        <w:t xml:space="preserve">The JSON export is the only safety net. Recovery beyond the DPO's own exports is not possible. If browser storage is cleared or a device is lost with no export on hand, that data is gone; no server, no other user, and no other view holds a copy. This is an accepted tradeoff of the no server design, stated here so it is a known term of the architecture rather than a silent gap.</w:t>
      </w:r>
    </w:p>
    <w:p>
      <w:pPr>
        <w:spacing w:after="160" w:line="264"/>
      </w:pPr>
      <w:r>
        <w:rPr>
          <w:rFonts w:ascii="Calibri" w:cs="Calibri" w:eastAsia="Calibri" w:hAnsi="Calibri"/>
          <w:sz w:val="22"/>
          <w:szCs w:val="22"/>
        </w:rPr>
        <w:t xml:space="preserve">Import fully replaces the current community's local data with the contents of the imported file. Before import completes, the tool displays the community name, timestamp, and project count of both the current local data and the incoming file, and requires explicit confirmation. If the community identity on the imported file does not match the community the tool is currently running for, the tool blocks or hard warns before allowing the import to proceed, so a backup from one community cannot silently overwrite another.</w:t>
      </w:r>
    </w:p>
    <w:p>
      <w:pPr>
        <w:spacing w:after="160" w:line="264"/>
      </w:pPr>
      <w:r>
        <w:rPr>
          <w:rFonts w:ascii="Calibri" w:cs="Calibri" w:eastAsia="Calibri" w:hAnsi="Calibri"/>
          <w:sz w:val="22"/>
          <w:szCs w:val="22"/>
        </w:rPr>
        <w:t xml:space="preserve">Schema version handling. Every export and every local storage write is stamped with a single integer schema version. On load, a matching version loads normally; older data runs through a chain of migration functions, one per version step, each adding or renaming fields with a sensible default, then resaves. If the stored data is newer than the running tool, which can happen on GitHub Pages if a browser cached an older tool file after an update, the tool refuses to load and directs the DPO to refresh or redownload the current version. The same version check and migration chain applies to JSON import.</w:t>
      </w:r>
    </w:p>
    <w:p>
      <w:pPr>
        <w:pStyle w:val="Heading2"/>
        <w:keepNext/>
        <w:spacing w:after="120" w:before="240"/>
      </w:pPr>
      <w:r>
        <w:rPr>
          <w:rFonts w:ascii="Calibri" w:cs="Calibri" w:eastAsia="Calibri" w:hAnsi="Calibri"/>
          <w:b/>
          <w:bCs/>
          <w:color w:val="1B3A6B"/>
          <w:sz w:val="24"/>
          <w:szCs w:val="24"/>
        </w:rPr>
        <w:t xml:space="preserve">Deployment Options</w:t>
      </w:r>
    </w:p>
    <w:p>
      <w:pPr>
        <w:pStyle w:val="ListParagraph"/>
        <w:numPr>
          <w:ilvl w:val="0"/>
          <w:numId w:val="3"/>
        </w:numPr>
        <w:spacing w:after="100" w:line="264"/>
      </w:pPr>
      <w:r>
        <w:rPr>
          <w:rFonts w:ascii="Calibri" w:cs="Calibri" w:eastAsia="Calibri" w:hAnsi="Calibri"/>
          <w:sz w:val="22"/>
          <w:szCs w:val="22"/>
        </w:rPr>
        <w:t xml:space="preserve">Local HTML file. The tool runs entirely in the browser with no internet connection required after initial download. Data lives in that browser's local storage; the JSON export is the portability mechanism.</w:t>
      </w:r>
    </w:p>
    <w:p>
      <w:pPr>
        <w:pStyle w:val="ListParagraph"/>
        <w:numPr>
          <w:ilvl w:val="0"/>
          <w:numId w:val="3"/>
        </w:numPr>
        <w:spacing w:after="100" w:line="264"/>
      </w:pPr>
      <w:r>
        <w:rPr>
          <w:rFonts w:ascii="Calibri" w:cs="Calibri" w:eastAsia="Calibri" w:hAnsi="Calibri"/>
          <w:sz w:val="22"/>
          <w:szCs w:val="22"/>
        </w:rPr>
        <w:t xml:space="preserve">GitHub hosted. The tool is served from a personal GitHub Pages site. All data still lives in the browser's local storage at each community, scoped by community key. Updates to the tool push to all communities simultaneously without requiring a new file download.</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Branding Configuration</w:t>
      </w:r>
    </w:p>
    <w:p>
      <w:pPr>
        <w:spacing w:after="160" w:line="264"/>
      </w:pPr>
      <w:r>
        <w:rPr>
          <w:rFonts w:ascii="Calibri" w:cs="Calibri" w:eastAsia="Calibri" w:hAnsi="Calibri"/>
          <w:sz w:val="22"/>
          <w:szCs w:val="22"/>
        </w:rPr>
        <w:t xml:space="preserve">The entire visual identity of the tool interface and the PDF output derives from one shared style block, a single configuration object defined once in the code. The interface consumes it by writing each value into a CSS custom property at load; the stylesheet contains no literal color, font, or spacing values of its own. The PDF generation calls read the same object directly for fills, text colors, fonts, spacing, and the logo asset. There are not two parallel definitions that happen to reference the same values; there is one definition with two consumers. Rebranding the entire tool and the PDF together is a single edit to this block.</w:t>
      </w:r>
    </w:p>
    <w:p>
      <w:pPr>
        <w:spacing w:after="160" w:line="264"/>
      </w:pPr>
      <w:r>
        <w:rPr>
          <w:rFonts w:ascii="Calibri" w:cs="Calibri" w:eastAsia="Calibri" w:hAnsi="Calibri"/>
          <w:sz w:val="22"/>
          <w:szCs w:val="22"/>
        </w:rPr>
        <w:t xml:space="preserve">The default block ships with FM's current values:</w:t>
      </w:r>
    </w:p>
    <w:p>
      <w:pPr>
        <w:shd w:fill="F5F3EC" w:val="clear"/>
        <w:spacing w:after="0" w:line="240"/>
        <w:ind w:left="240"/>
      </w:pPr>
      <w:r>
        <w:rPr>
          <w:rFonts w:ascii="Consolas" w:cs="Consolas" w:eastAsia="Consolas" w:hAnsi="Consolas"/>
          <w:sz w:val="18"/>
          <w:szCs w:val="18"/>
        </w:rPr>
        <w:t xml:space="preserve">const BRAND = {</w:t>
      </w:r>
    </w:p>
    <w:p>
      <w:pPr>
        <w:shd w:fill="F5F3EC" w:val="clear"/>
        <w:spacing w:after="0" w:line="240"/>
        <w:ind w:left="240"/>
      </w:pPr>
      <w:r>
        <w:rPr>
          <w:rFonts w:ascii="Consolas" w:cs="Consolas" w:eastAsia="Consolas" w:hAnsi="Consolas"/>
          <w:sz w:val="18"/>
          <w:szCs w:val="18"/>
        </w:rPr>
        <w:t xml:space="preserve">  name: "Franciscan Ministries",</w:t>
      </w:r>
    </w:p>
    <w:p>
      <w:pPr>
        <w:shd w:fill="F5F3EC" w:val="clear"/>
        <w:spacing w:after="0" w:line="240"/>
        <w:ind w:left="240"/>
      </w:pPr>
      <w:r>
        <w:rPr>
          <w:rFonts w:ascii="Consolas" w:cs="Consolas" w:eastAsia="Consolas" w:hAnsi="Consolas"/>
          <w:sz w:val="18"/>
          <w:szCs w:val="18"/>
        </w:rPr>
        <w:t xml:space="preserve">  logo: "fm_logo.png",        // embedded base64 at build; tool header and PDF letterhead</w:t>
      </w:r>
    </w:p>
    <w:p>
      <w:pPr>
        <w:shd w:fill="F5F3EC" w:val="clear"/>
        <w:spacing w:after="0" w:line="240"/>
        <w:ind w:left="240"/>
      </w:pPr>
      <w:r>
        <w:rPr>
          <w:rFonts w:ascii="Consolas" w:cs="Consolas" w:eastAsia="Consolas" w:hAnsi="Consolas"/>
          <w:sz w:val="18"/>
          <w:szCs w:val="18"/>
        </w:rPr>
        <w:t xml:space="preserve">  colors: {</w:t>
      </w:r>
    </w:p>
    <w:p>
      <w:pPr>
        <w:shd w:fill="F5F3EC" w:val="clear"/>
        <w:spacing w:after="0" w:line="240"/>
        <w:ind w:left="240"/>
      </w:pPr>
      <w:r>
        <w:rPr>
          <w:rFonts w:ascii="Consolas" w:cs="Consolas" w:eastAsia="Consolas" w:hAnsi="Consolas"/>
          <w:sz w:val="18"/>
          <w:szCs w:val="18"/>
        </w:rPr>
        <w:t xml:space="preserve">    primary: "#1B3A6B",       // navy: section headers, table header fills, primary borders</w:t>
      </w:r>
    </w:p>
    <w:p>
      <w:pPr>
        <w:shd w:fill="F5F3EC" w:val="clear"/>
        <w:spacing w:after="0" w:line="240"/>
        <w:ind w:left="240"/>
      </w:pPr>
      <w:r>
        <w:rPr>
          <w:rFonts w:ascii="Consolas" w:cs="Consolas" w:eastAsia="Consolas" w:hAnsi="Consolas"/>
          <w:sz w:val="18"/>
          <w:szCs w:val="18"/>
        </w:rPr>
        <w:t xml:space="preserve">    accent:  "#C9A84C",       // gold: heading underlines, dividers, secondary accents</w:t>
      </w:r>
    </w:p>
    <w:p>
      <w:pPr>
        <w:shd w:fill="F5F3EC" w:val="clear"/>
        <w:spacing w:after="0" w:line="240"/>
        <w:ind w:left="240"/>
      </w:pPr>
      <w:r>
        <w:rPr>
          <w:rFonts w:ascii="Consolas" w:cs="Consolas" w:eastAsia="Consolas" w:hAnsi="Consolas"/>
          <w:sz w:val="18"/>
          <w:szCs w:val="18"/>
        </w:rPr>
        <w:t xml:space="preserve">    text:    "#1A1A1A",</w:t>
      </w:r>
    </w:p>
    <w:p>
      <w:pPr>
        <w:shd w:fill="F5F3EC" w:val="clear"/>
        <w:spacing w:after="0" w:line="240"/>
        <w:ind w:left="240"/>
      </w:pPr>
      <w:r>
        <w:rPr>
          <w:rFonts w:ascii="Consolas" w:cs="Consolas" w:eastAsia="Consolas" w:hAnsi="Consolas"/>
          <w:sz w:val="18"/>
          <w:szCs w:val="18"/>
        </w:rPr>
        <w:t xml:space="preserve">    surface: "#FFFFFF",</w:t>
      </w:r>
    </w:p>
    <w:p>
      <w:pPr>
        <w:shd w:fill="F5F3EC" w:val="clear"/>
        <w:spacing w:after="0" w:line="240"/>
        <w:ind w:left="240"/>
      </w:pPr>
      <w:r>
        <w:rPr>
          <w:rFonts w:ascii="Consolas" w:cs="Consolas" w:eastAsia="Consolas" w:hAnsi="Consolas"/>
          <w:sz w:val="18"/>
          <w:szCs w:val="18"/>
        </w:rPr>
        <w:t xml:space="preserve">    muted:   "#6B7280"</w:t>
      </w:r>
    </w:p>
    <w:p>
      <w:pPr>
        <w:shd w:fill="F5F3EC" w:val="clear"/>
        <w:spacing w:after="0" w:line="240"/>
        <w:ind w:left="240"/>
      </w:pPr>
      <w:r>
        <w:rPr>
          <w:rFonts w:ascii="Consolas" w:cs="Consolas" w:eastAsia="Consolas" w:hAnsi="Consolas"/>
          <w:sz w:val="18"/>
          <w:szCs w:val="18"/>
        </w:rPr>
        <w:t xml:space="preserve">  },</w:t>
      </w:r>
    </w:p>
    <w:p>
      <w:pPr>
        <w:shd w:fill="F5F3EC" w:val="clear"/>
        <w:spacing w:after="0" w:line="240"/>
        <w:ind w:left="240"/>
      </w:pPr>
      <w:r>
        <w:rPr>
          <w:rFonts w:ascii="Consolas" w:cs="Consolas" w:eastAsia="Consolas" w:hAnsi="Consolas"/>
          <w:sz w:val="18"/>
          <w:szCs w:val="18"/>
        </w:rPr>
        <w:t xml:space="preserve">  status: {                   // fixed semantic meaning; not part of client rebranding</w:t>
      </w:r>
    </w:p>
    <w:p>
      <w:pPr>
        <w:shd w:fill="F5F3EC" w:val="clear"/>
        <w:spacing w:after="0" w:line="240"/>
        <w:ind w:left="240"/>
      </w:pPr>
      <w:r>
        <w:rPr>
          <w:rFonts w:ascii="Consolas" w:cs="Consolas" w:eastAsia="Consolas" w:hAnsi="Consolas"/>
          <w:sz w:val="18"/>
          <w:szCs w:val="18"/>
        </w:rPr>
        <w:t xml:space="preserve">    gray:   "#9CA3AF",</w:t>
      </w:r>
    </w:p>
    <w:p>
      <w:pPr>
        <w:shd w:fill="F5F3EC" w:val="clear"/>
        <w:spacing w:after="0" w:line="240"/>
        <w:ind w:left="240"/>
      </w:pPr>
      <w:r>
        <w:rPr>
          <w:rFonts w:ascii="Consolas" w:cs="Consolas" w:eastAsia="Consolas" w:hAnsi="Consolas"/>
          <w:sz w:val="18"/>
          <w:szCs w:val="18"/>
        </w:rPr>
        <w:t xml:space="preserve">    green:  "#2F855A",</w:t>
      </w:r>
    </w:p>
    <w:p>
      <w:pPr>
        <w:shd w:fill="F5F3EC" w:val="clear"/>
        <w:spacing w:after="0" w:line="240"/>
        <w:ind w:left="240"/>
      </w:pPr>
      <w:r>
        <w:rPr>
          <w:rFonts w:ascii="Consolas" w:cs="Consolas" w:eastAsia="Consolas" w:hAnsi="Consolas"/>
          <w:sz w:val="18"/>
          <w:szCs w:val="18"/>
        </w:rPr>
        <w:t xml:space="preserve">    yellow: "#D69E2E",</w:t>
      </w:r>
    </w:p>
    <w:p>
      <w:pPr>
        <w:shd w:fill="F5F3EC" w:val="clear"/>
        <w:spacing w:after="0" w:line="240"/>
        <w:ind w:left="240"/>
      </w:pPr>
      <w:r>
        <w:rPr>
          <w:rFonts w:ascii="Consolas" w:cs="Consolas" w:eastAsia="Consolas" w:hAnsi="Consolas"/>
          <w:sz w:val="18"/>
          <w:szCs w:val="18"/>
        </w:rPr>
        <w:t xml:space="preserve">    red:    "#C53030",</w:t>
      </w:r>
    </w:p>
    <w:p>
      <w:pPr>
        <w:shd w:fill="F5F3EC" w:val="clear"/>
        <w:spacing w:after="0" w:line="240"/>
        <w:ind w:left="240"/>
      </w:pPr>
      <w:r>
        <w:rPr>
          <w:rFonts w:ascii="Consolas" w:cs="Consolas" w:eastAsia="Consolas" w:hAnsi="Consolas"/>
          <w:sz w:val="18"/>
          <w:szCs w:val="18"/>
        </w:rPr>
        <w:t xml:space="preserve">    blue:   "#2B6CB0"</w:t>
      </w:r>
    </w:p>
    <w:p>
      <w:pPr>
        <w:shd w:fill="F5F3EC" w:val="clear"/>
        <w:spacing w:after="0" w:line="240"/>
        <w:ind w:left="240"/>
      </w:pPr>
      <w:r>
        <w:rPr>
          <w:rFonts w:ascii="Consolas" w:cs="Consolas" w:eastAsia="Consolas" w:hAnsi="Consolas"/>
          <w:sz w:val="18"/>
          <w:szCs w:val="18"/>
        </w:rPr>
        <w:t xml:space="preserve">  },</w:t>
      </w:r>
    </w:p>
    <w:p>
      <w:pPr>
        <w:shd w:fill="F5F3EC" w:val="clear"/>
        <w:spacing w:after="0" w:line="240"/>
        <w:ind w:left="240"/>
      </w:pPr>
      <w:r>
        <w:rPr>
          <w:rFonts w:ascii="Consolas" w:cs="Consolas" w:eastAsia="Consolas" w:hAnsi="Consolas"/>
          <w:sz w:val="18"/>
          <w:szCs w:val="18"/>
        </w:rPr>
        <w:t xml:space="preserve">  fonts: {</w:t>
      </w:r>
    </w:p>
    <w:p>
      <w:pPr>
        <w:shd w:fill="F5F3EC" w:val="clear"/>
        <w:spacing w:after="0" w:line="240"/>
        <w:ind w:left="240"/>
      </w:pPr>
      <w:r>
        <w:rPr>
          <w:rFonts w:ascii="Consolas" w:cs="Consolas" w:eastAsia="Consolas" w:hAnsi="Consolas"/>
          <w:sz w:val="18"/>
          <w:szCs w:val="18"/>
        </w:rPr>
        <w:t xml:space="preserve">    base:    "Helvetica, Arial, sans-serif",</w:t>
      </w:r>
    </w:p>
    <w:p>
      <w:pPr>
        <w:shd w:fill="F5F3EC" w:val="clear"/>
        <w:spacing w:after="0" w:line="240"/>
        <w:ind w:left="240"/>
      </w:pPr>
      <w:r>
        <w:rPr>
          <w:rFonts w:ascii="Consolas" w:cs="Consolas" w:eastAsia="Consolas" w:hAnsi="Consolas"/>
          <w:sz w:val="18"/>
          <w:szCs w:val="18"/>
        </w:rPr>
        <w:t xml:space="preserve">    heading: "Helvetica, Arial, sans-serif",</w:t>
      </w:r>
    </w:p>
    <w:p>
      <w:pPr>
        <w:shd w:fill="F5F3EC" w:val="clear"/>
        <w:spacing w:after="0" w:line="240"/>
        <w:ind w:left="240"/>
      </w:pPr>
      <w:r>
        <w:rPr>
          <w:rFonts w:ascii="Consolas" w:cs="Consolas" w:eastAsia="Consolas" w:hAnsi="Consolas"/>
          <w:sz w:val="18"/>
          <w:szCs w:val="18"/>
        </w:rPr>
        <w:t xml:space="preserve">    sizeBase: 11,             // points; shared by interface scale and PDF</w:t>
      </w:r>
    </w:p>
    <w:p>
      <w:pPr>
        <w:shd w:fill="F5F3EC" w:val="clear"/>
        <w:spacing w:after="0" w:line="240"/>
        <w:ind w:left="240"/>
      </w:pPr>
      <w:r>
        <w:rPr>
          <w:rFonts w:ascii="Consolas" w:cs="Consolas" w:eastAsia="Consolas" w:hAnsi="Consolas"/>
          <w:sz w:val="18"/>
          <w:szCs w:val="18"/>
        </w:rPr>
        <w:t xml:space="preserve">    sizeHeading: 14</w:t>
      </w:r>
    </w:p>
    <w:p>
      <w:pPr>
        <w:shd w:fill="F5F3EC" w:val="clear"/>
        <w:spacing w:after="0" w:line="240"/>
        <w:ind w:left="240"/>
      </w:pPr>
      <w:r>
        <w:rPr>
          <w:rFonts w:ascii="Consolas" w:cs="Consolas" w:eastAsia="Consolas" w:hAnsi="Consolas"/>
          <w:sz w:val="18"/>
          <w:szCs w:val="18"/>
        </w:rPr>
        <w:t xml:space="preserve">  },</w:t>
      </w:r>
    </w:p>
    <w:p>
      <w:pPr>
        <w:shd w:fill="F5F3EC" w:val="clear"/>
        <w:spacing w:after="0" w:line="240"/>
        <w:ind w:left="240"/>
      </w:pPr>
      <w:r>
        <w:rPr>
          <w:rFonts w:ascii="Consolas" w:cs="Consolas" w:eastAsia="Consolas" w:hAnsi="Consolas"/>
          <w:sz w:val="18"/>
          <w:szCs w:val="18"/>
        </w:rPr>
        <w:t xml:space="preserve">  spacing: {</w:t>
      </w:r>
    </w:p>
    <w:p>
      <w:pPr>
        <w:shd w:fill="F5F3EC" w:val="clear"/>
        <w:spacing w:after="0" w:line="240"/>
        <w:ind w:left="240"/>
      </w:pPr>
      <w:r>
        <w:rPr>
          <w:rFonts w:ascii="Consolas" w:cs="Consolas" w:eastAsia="Consolas" w:hAnsi="Consolas"/>
          <w:sz w:val="18"/>
          <w:szCs w:val="18"/>
        </w:rPr>
        <w:t xml:space="preserve">    unit: 4,                  // base spacing unit in px; PDF converts to points</w:t>
      </w:r>
    </w:p>
    <w:p>
      <w:pPr>
        <w:shd w:fill="F5F3EC" w:val="clear"/>
        <w:spacing w:after="0" w:line="240"/>
        <w:ind w:left="240"/>
      </w:pPr>
      <w:r>
        <w:rPr>
          <w:rFonts w:ascii="Consolas" w:cs="Consolas" w:eastAsia="Consolas" w:hAnsi="Consolas"/>
          <w:sz w:val="18"/>
          <w:szCs w:val="18"/>
        </w:rPr>
        <w:t xml:space="preserve">    sectionGap: 16,</w:t>
      </w:r>
    </w:p>
    <w:p>
      <w:pPr>
        <w:shd w:fill="F5F3EC" w:val="clear"/>
        <w:spacing w:after="0" w:line="240"/>
        <w:ind w:left="240"/>
      </w:pPr>
      <w:r>
        <w:rPr>
          <w:rFonts w:ascii="Consolas" w:cs="Consolas" w:eastAsia="Consolas" w:hAnsi="Consolas"/>
          <w:sz w:val="18"/>
          <w:szCs w:val="18"/>
        </w:rPr>
        <w:t xml:space="preserve">    tablePadding: 6</w:t>
      </w:r>
    </w:p>
    <w:p>
      <w:pPr>
        <w:shd w:fill="F5F3EC" w:val="clear"/>
        <w:spacing w:after="0" w:line="240"/>
        <w:ind w:left="240"/>
      </w:pPr>
      <w:r>
        <w:rPr>
          <w:rFonts w:ascii="Consolas" w:cs="Consolas" w:eastAsia="Consolas" w:hAnsi="Consolas"/>
          <w:sz w:val="18"/>
          <w:szCs w:val="18"/>
        </w:rPr>
        <w:t xml:space="preserve">  }</w:t>
      </w:r>
    </w:p>
    <w:p>
      <w:pPr>
        <w:shd w:fill="F5F3EC" w:val="clear"/>
        <w:spacing w:after="0" w:line="240"/>
        <w:ind w:left="240"/>
      </w:pPr>
      <w:r>
        <w:rPr>
          <w:rFonts w:ascii="Consolas" w:cs="Consolas" w:eastAsia="Consolas" w:hAnsi="Consolas"/>
          <w:sz w:val="18"/>
          <w:szCs w:val="18"/>
        </w:rPr>
        <w:t xml:space="preserve">};</w:t>
      </w:r>
    </w:p>
    <w:p>
      <w:pPr>
        <w:spacing w:after="120"/>
      </w:pPr>
    </w:p>
    <w:p>
      <w:pPr>
        <w:spacing w:after="160" w:line="264"/>
      </w:pPr>
      <w:r>
        <w:rPr>
          <w:rFonts w:ascii="Calibri" w:cs="Calibri" w:eastAsia="Calibri" w:hAnsi="Calibri"/>
          <w:sz w:val="22"/>
          <w:szCs w:val="22"/>
        </w:rPr>
        <w:t xml:space="preserve">Status colors live inside the same object under their own key. They carry fixed semantic meaning across every deployment and are not expected to change when the tool is rebranded for a client or another organization, but a deployment that needs to adjust them still does so in this one block.</w:t>
      </w:r>
    </w:p>
    <w:p>
      <w:pPr>
        <w:pStyle w:val="Heading2"/>
        <w:keepNext/>
        <w:spacing w:after="120" w:before="240"/>
      </w:pPr>
      <w:r>
        <w:rPr>
          <w:rFonts w:ascii="Calibri" w:cs="Calibri" w:eastAsia="Calibri" w:hAnsi="Calibri"/>
          <w:b/>
          <w:bCs/>
          <w:color w:val="1B3A6B"/>
          <w:sz w:val="24"/>
          <w:szCs w:val="24"/>
        </w:rPr>
        <w:t xml:space="preserve">PDF Branding</w:t>
      </w:r>
    </w:p>
    <w:p>
      <w:pPr>
        <w:spacing w:after="160" w:line="264"/>
      </w:pPr>
      <w:r>
        <w:rPr>
          <w:rFonts w:ascii="Calibri" w:cs="Calibri" w:eastAsia="Calibri" w:hAnsi="Calibri"/>
          <w:sz w:val="22"/>
          <w:szCs w:val="22"/>
        </w:rPr>
        <w:t xml:space="preserve">The Unit Turn Request PDF carries the Franciscan Ministries logo and letterhead, matching the reference form communities submit today, so a generated PDF reads to an approver as the same official document they already recognize rather than something visually foreign. This reverses the Revision 4 decision to omit the logo. The logo asset lives in the shared style block above, so a rebrand swaps the logo and colors in one edit. In overall information layout and structure the PDF closely matches the existing FM form, with the additions designed in this specification layered in, and all section headers, table fills, and borders draw from the shared block.</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Formatting and Build Notes</w:t>
      </w:r>
    </w:p>
    <w:p>
      <w:pPr>
        <w:pStyle w:val="ListParagraph"/>
        <w:numPr>
          <w:ilvl w:val="0"/>
          <w:numId w:val="3"/>
        </w:numPr>
        <w:spacing w:after="100" w:line="264"/>
      </w:pPr>
      <w:r>
        <w:rPr>
          <w:rFonts w:ascii="Calibri" w:cs="Calibri" w:eastAsia="Calibri" w:hAnsi="Calibri"/>
          <w:sz w:val="22"/>
          <w:szCs w:val="22"/>
        </w:rPr>
        <w:t xml:space="preserve">No build authorized until Tim confirms readiness. This document is a specification, not a build instruction.</w:t>
      </w:r>
    </w:p>
    <w:p>
      <w:pPr>
        <w:pStyle w:val="ListParagraph"/>
        <w:numPr>
          <w:ilvl w:val="0"/>
          <w:numId w:val="3"/>
        </w:numPr>
        <w:spacing w:after="100" w:line="264"/>
      </w:pPr>
      <w:r>
        <w:rPr>
          <w:rFonts w:ascii="Calibri" w:cs="Calibri" w:eastAsia="Calibri" w:hAnsi="Calibri"/>
          <w:sz w:val="22"/>
          <w:szCs w:val="22"/>
        </w:rPr>
        <w:t xml:space="preserve">DPOs only have access. No ED or regional view is part of this tool's scope. Regional rollup visibility, review item M1, is a strategic decision Tim is holding outside this specification; the tool remains DPO only exactly as designed.</w:t>
      </w:r>
    </w:p>
    <w:p>
      <w:pPr>
        <w:pStyle w:val="ListParagraph"/>
        <w:numPr>
          <w:ilvl w:val="0"/>
          <w:numId w:val="3"/>
        </w:numPr>
        <w:spacing w:after="100" w:line="264"/>
      </w:pPr>
      <w:r>
        <w:rPr>
          <w:rFonts w:ascii="Calibri" w:cs="Calibri" w:eastAsia="Calibri" w:hAnsi="Calibri"/>
          <w:sz w:val="22"/>
          <w:szCs w:val="22"/>
        </w:rPr>
        <w:t xml:space="preserve">Templates by turn type, review item M2, are out of scope for version one and noted as a known future enhancement: saving a completed project's step configuration as a starting point for a similar unit, without carrying over dates or costs.</w:t>
      </w:r>
    </w:p>
    <w:p>
      <w:pPr>
        <w:pStyle w:val="ListParagraph"/>
        <w:numPr>
          <w:ilvl w:val="0"/>
          <w:numId w:val="3"/>
        </w:numPr>
        <w:spacing w:after="100" w:line="264"/>
      </w:pPr>
      <w:r>
        <w:rPr>
          <w:rFonts w:ascii="Calibri" w:cs="Calibri" w:eastAsia="Calibri" w:hAnsi="Calibri"/>
          <w:sz w:val="22"/>
          <w:szCs w:val="22"/>
        </w:rPr>
        <w:t xml:space="preserve">Rollout, training, and support, review item M3, are out of scope for this specification and are handled as a separate rollout document, covering pilot selection, ED introduction, training format, support contact for data recovery, and custody of offboarding exports.</w:t>
      </w:r>
    </w:p>
    <w:p>
      <w:pPr>
        <w:pStyle w:val="ListParagraph"/>
        <w:numPr>
          <w:ilvl w:val="0"/>
          <w:numId w:val="3"/>
        </w:numPr>
        <w:spacing w:after="100" w:line="264"/>
      </w:pPr>
      <w:r>
        <w:rPr>
          <w:rFonts w:ascii="Calibri" w:cs="Calibri" w:eastAsia="Calibri" w:hAnsi="Calibri"/>
          <w:sz w:val="22"/>
          <w:szCs w:val="22"/>
        </w:rPr>
        <w:t xml:space="preserve">No em dashes or hyphens in prose, per standing formatting rules. This does not apply to the generated filename convention, the date format strings documented in PDF Contents, or the code in Branding Configuration, which are technical strings rather than written communication.</w:t>
      </w:r>
    </w:p>
    <w:p>
      <w:pPr>
        <w:pStyle w:val="ListParagraph"/>
        <w:numPr>
          <w:ilvl w:val="0"/>
          <w:numId w:val="3"/>
        </w:numPr>
        <w:spacing w:after="100" w:line="264"/>
      </w:pPr>
      <w:r>
        <w:rPr>
          <w:rFonts w:ascii="Calibri" w:cs="Calibri" w:eastAsia="Calibri" w:hAnsi="Calibri"/>
          <w:sz w:val="22"/>
          <w:szCs w:val="22"/>
        </w:rPr>
        <w:t xml:space="preserve">Good Friday requires a computus calculation for Easter Sunday, a materially different calculation than every other holiday in the list.</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Readiness</w:t>
      </w:r>
    </w:p>
    <w:p>
      <w:pPr>
        <w:spacing w:after="160" w:line="264"/>
      </w:pPr>
      <w:r>
        <w:rPr>
          <w:rFonts w:ascii="Calibri" w:cs="Calibri" w:eastAsia="Calibri" w:hAnsi="Calibri"/>
          <w:sz w:val="22"/>
          <w:szCs w:val="22"/>
        </w:rPr>
        <w:t xml:space="preserve">Every finding from the pre build product and process review of Revision 4 is resolved or dispositioned in this revision. One item is deliberately unresolved: M1, regional rollup visibility, is held by Tim as a strategic decision outside this document, and the tool remains DPO only as designed. This specification is ready for build authorization at Tim's discretion.</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Change Log: Revision 2 to Revision 3</w:t>
      </w:r>
    </w:p>
    <w:p>
      <w:pPr>
        <w:spacing w:after="160" w:line="264"/>
      </w:pPr>
      <w:r>
        <w:rPr>
          <w:rFonts w:ascii="Calibri" w:cs="Calibri" w:eastAsia="Calibri" w:hAnsi="Calibri"/>
          <w:sz w:val="22"/>
          <w:szCs w:val="22"/>
        </w:rPr>
        <w:t xml:space="preserve">Every item below traces to a finding in the second pre build engineering review.</w:t>
      </w:r>
    </w:p>
    <w:p>
      <w:pPr>
        <w:pStyle w:val="Heading2"/>
        <w:keepNext/>
        <w:spacing w:after="120" w:before="240"/>
      </w:pPr>
      <w:r>
        <w:rPr>
          <w:rFonts w:ascii="Calibri" w:cs="Calibri" w:eastAsia="Calibri" w:hAnsi="Calibri"/>
          <w:b/>
          <w:bCs/>
          <w:color w:val="1B3A6B"/>
          <w:sz w:val="24"/>
          <w:szCs w:val="24"/>
        </w:rPr>
        <w:t xml:space="preserve">Blockers</w:t>
      </w:r>
    </w:p>
    <w:p>
      <w:pPr>
        <w:spacing w:after="160" w:line="264"/>
      </w:pPr>
      <w:r>
        <w:rPr>
          <w:rFonts w:ascii="Calibri" w:cs="Calibri" w:eastAsia="Calibri" w:hAnsi="Calibri"/>
          <w:sz w:val="22"/>
          <w:szCs w:val="22"/>
        </w:rPr>
        <w:t xml:space="preserve">BL1, Date arithmetic conventions. New language in Working Days Model. Window is inclusive of the start day, end equals start advanced by window minus one working days. A successor starts on the first working day strictly after its predecessor's end date, with a worked example crossing a weekend.</w:t>
      </w:r>
    </w:p>
    <w:p>
      <w:pPr>
        <w:spacing w:after="160" w:line="264"/>
      </w:pPr>
      <w:r>
        <w:rPr>
          <w:rFonts w:ascii="Calibri" w:cs="Calibri" w:eastAsia="Calibri" w:hAnsi="Calibri"/>
          <w:sz w:val="22"/>
          <w:szCs w:val="22"/>
        </w:rPr>
        <w:t xml:space="preserve">BL2, Step 17 start anchor. Dependency tables and rationale revised. Step 17, maintenance PM inspection, anchors on Inspect, step 15, the same predecessor as punchlist repairs, so both run in parallel off that anchor rather than step 17 flooring to the unit available date.</w:t>
      </w:r>
    </w:p>
    <w:p>
      <w:pPr>
        <w:spacing w:after="160" w:line="264"/>
      </w:pPr>
      <w:r>
        <w:rPr>
          <w:rFonts w:ascii="Calibri" w:cs="Calibri" w:eastAsia="Calibri" w:hAnsi="Calibri"/>
          <w:sz w:val="22"/>
          <w:szCs w:val="22"/>
        </w:rPr>
        <w:t xml:space="preserve">BL3, Completion date and LVP orphan. PDF Contents revised, projected completion date defined as the next working day following the end date of Final cleaning touch up, step 18. Cabinet installation, step 6, now waits on LVP, step 5, rather than Drywall directly, folding LVP into the main sequence instead of leaving it as a dead end branch.</w:t>
      </w:r>
    </w:p>
    <w:p>
      <w:pPr>
        <w:pStyle w:val="Heading2"/>
        <w:keepNext/>
        <w:spacing w:after="120" w:before="240"/>
      </w:pPr>
      <w:r>
        <w:rPr>
          <w:rFonts w:ascii="Calibri" w:cs="Calibri" w:eastAsia="Calibri" w:hAnsi="Calibri"/>
          <w:b/>
          <w:bCs/>
          <w:color w:val="1B3A6B"/>
          <w:sz w:val="24"/>
          <w:szCs w:val="24"/>
        </w:rPr>
        <w:t xml:space="preserve">Majors</w:t>
      </w:r>
    </w:p>
    <w:p>
      <w:pPr>
        <w:spacing w:after="160" w:line="264"/>
      </w:pPr>
      <w:r>
        <w:rPr>
          <w:rFonts w:ascii="Calibri" w:cs="Calibri" w:eastAsia="Calibri" w:hAnsi="Calibri"/>
          <w:sz w:val="22"/>
          <w:szCs w:val="22"/>
        </w:rPr>
        <w:t xml:space="preserve">MJ1, Multi predecessor walk up. New language in Dependency Graph and Toggle Off Resolution. Walking past a toggled off step with multiple named predecessors substitutes the maximum end date across all of that step's active resolved predecessors, applied recursively down to Demo.</w:t>
      </w:r>
    </w:p>
    <w:p>
      <w:pPr>
        <w:spacing w:after="160" w:line="264"/>
      </w:pPr>
      <w:r>
        <w:rPr>
          <w:rFonts w:ascii="Calibri" w:cs="Calibri" w:eastAsia="Calibri" w:hAnsi="Calibri"/>
          <w:sz w:val="22"/>
          <w:szCs w:val="22"/>
        </w:rPr>
        <w:t xml:space="preserve">MJ2, Material order lead time integration. Material Order Lead Time rewritten. The lead time floor is folded into the single start date formula used at initial setup. Once a project is live, the schedule recalculates only on completion events. A material order running behind the entered lead time surfaces as a soft warning rather than automatically moving the schedule, and the DPO manually delays the step if needed.</w:t>
      </w:r>
    </w:p>
    <w:p>
      <w:pPr>
        <w:spacing w:after="160" w:line="264"/>
      </w:pPr>
      <w:r>
        <w:rPr>
          <w:rFonts w:ascii="Calibri" w:cs="Calibri" w:eastAsia="Calibri" w:hAnsi="Calibri"/>
          <w:sz w:val="22"/>
          <w:szCs w:val="22"/>
        </w:rPr>
        <w:t xml:space="preserve">MJ3, Steps 7 and 9 resource restriction. Costing Model and step table revised. Steps 7 and 9 restrict assignable resource type to vendor or sole proprietor only. The labor column is disabled on both steps, matching the existing materials restriction, so the vendor only claim on the Countertops category is enforced by the tool.</w:t>
      </w:r>
    </w:p>
    <w:p>
      <w:pPr>
        <w:spacing w:after="160" w:line="264"/>
      </w:pPr>
      <w:r>
        <w:rPr>
          <w:rFonts w:ascii="Calibri" w:cs="Calibri" w:eastAsia="Calibri" w:hAnsi="Calibri"/>
          <w:sz w:val="22"/>
          <w:szCs w:val="22"/>
        </w:rPr>
        <w:t xml:space="preserve">MJ4, Import community mismatch. JSON Backup revised. Every export embeds the community name and key. The import confirmation displays community identity alongside timestamp and project count. The tool blocks or hard warns if the imported file's community does not match the current community.</w:t>
      </w:r>
    </w:p>
    <w:p>
      <w:pPr>
        <w:spacing w:after="160" w:line="264"/>
      </w:pPr>
      <w:r>
        <w:rPr>
          <w:rFonts w:ascii="Calibri" w:cs="Calibri" w:eastAsia="Calibri" w:hAnsi="Calibri"/>
          <w:sz w:val="22"/>
          <w:szCs w:val="22"/>
        </w:rPr>
        <w:t xml:space="preserve">MJ5, Schema version handling. JSON Backup revised. A single integer schema version is stamped on every local storage write and every export. Version mismatches on load or import are resolved through a migration chain when the stored or imported data is older, and a clear refusal message when it is newer than the running tool.</w:t>
      </w:r>
    </w:p>
    <w:p>
      <w:pPr>
        <w:spacing w:after="160" w:line="264"/>
      </w:pPr>
      <w:r>
        <w:rPr>
          <w:rFonts w:ascii="Calibri" w:cs="Calibri" w:eastAsia="Calibri" w:hAnsi="Calibri"/>
          <w:sz w:val="22"/>
          <w:szCs w:val="22"/>
        </w:rPr>
        <w:t xml:space="preserve">MJ6, Reference form. Closed. The current Unit Turn Request form and the Excel workbook that generates it were reviewed directly. Field labels and values corrected to match: Apartment Type replaces Unit type and becomes a constrained dropdown, Studio, 1BR, 2BR, Combo, Home. Turn Type values corrected to Unit Turn, Upgrade, Full Renovation. Care Level expanded to IL, AL, MC, SNF, Home, Other. PDF generation mechanism decided as a client side library, no print dialog. The Save-As filename convention in the current workbook is replicated; the Submit Ready Status indicator is not. Date submitted is set at project creation, and the generated filename derives from that date. Two issues in the live workbook, a conflicting duplicate Care Level dropdown validation and a one cell mismatch between the custom cost formula and its input validation, plus an orphaned dropdown validation on an unlabeled row, are noted here for whoever maintains that file and do not affect this specification.</w:t>
      </w:r>
    </w:p>
    <w:p>
      <w:pPr>
        <w:pStyle w:val="Heading2"/>
        <w:keepNext/>
        <w:spacing w:after="120" w:before="240"/>
      </w:pPr>
      <w:r>
        <w:rPr>
          <w:rFonts w:ascii="Calibri" w:cs="Calibri" w:eastAsia="Calibri" w:hAnsi="Calibri"/>
          <w:b/>
          <w:bCs/>
          <w:color w:val="1B3A6B"/>
          <w:sz w:val="24"/>
          <w:szCs w:val="24"/>
        </w:rPr>
        <w:t xml:space="preserve">Minors</w:t>
      </w:r>
    </w:p>
    <w:p>
      <w:pPr>
        <w:spacing w:after="160" w:line="264"/>
      </w:pPr>
      <w:r>
        <w:rPr>
          <w:rFonts w:ascii="Calibri" w:cs="Calibri" w:eastAsia="Calibri" w:hAnsi="Calibri"/>
          <w:sz w:val="22"/>
          <w:szCs w:val="22"/>
        </w:rPr>
        <w:t xml:space="preserve">MN1, Paint category funded by drywall alone. Form Category Mapping revised with a note that the Paint category includes drywall prep costs.</w:t>
      </w:r>
    </w:p>
    <w:p>
      <w:pPr>
        <w:spacing w:after="160" w:line="264"/>
      </w:pPr>
      <w:r>
        <w:rPr>
          <w:rFonts w:ascii="Calibri" w:cs="Calibri" w:eastAsia="Calibri" w:hAnsi="Calibri"/>
          <w:sz w:val="22"/>
          <w:szCs w:val="22"/>
        </w:rPr>
        <w:t xml:space="preserve">MN2, MEPFP step finish definition. Costing Model revised. Step level end date for MEPFP rough in or trim equals the maximum end date across active trade lines, and the step is treated as off when no trade line is active.</w:t>
      </w:r>
    </w:p>
    <w:p>
      <w:pPr>
        <w:spacing w:after="160" w:line="264"/>
      </w:pPr>
      <w:r>
        <w:rPr>
          <w:rFonts w:ascii="Calibri" w:cs="Calibri" w:eastAsia="Calibri" w:hAnsi="Calibri"/>
          <w:sz w:val="22"/>
          <w:szCs w:val="22"/>
        </w:rPr>
        <w:t xml:space="preserve">MN3, Gantt axis versus working day durations. Calendar and Display View revised. Bars render on calendar span, weekends and holidays show as visible gaps, aligned to the today marker.</w:t>
      </w:r>
    </w:p>
    <w:p>
      <w:pPr>
        <w:spacing w:after="160" w:line="264"/>
      </w:pPr>
      <w:r>
        <w:rPr>
          <w:rFonts w:ascii="Calibri" w:cs="Calibri" w:eastAsia="Calibri" w:hAnsi="Calibri"/>
          <w:sz w:val="22"/>
          <w:szCs w:val="22"/>
        </w:rPr>
        <w:t xml:space="preserve">MN4, No path to reopen a completed step. Completion Tracking revised. Unchecking a step clears the completion and re triggers downstream recalculation the same as any other completion date change.</w:t>
      </w:r>
    </w:p>
    <w:p>
      <w:pPr>
        <w:spacing w:after="160" w:line="264"/>
      </w:pPr>
      <w:r>
        <w:rPr>
          <w:rFonts w:ascii="Calibri" w:cs="Calibri" w:eastAsia="Calibri" w:hAnsi="Calibri"/>
          <w:sz w:val="22"/>
          <w:szCs w:val="22"/>
        </w:rPr>
        <w:t xml:space="preserve">MN5, Overridden colors indistinguishable from automatic. Manual Status Override and Authority Order revised. Overridden statuses render with a distinct marker separate from the color fill.</w:t>
      </w:r>
    </w:p>
    <w:p>
      <w:pPr>
        <w:spacing w:after="160" w:line="264"/>
      </w:pPr>
      <w:r>
        <w:rPr>
          <w:rFonts w:ascii="Calibri" w:cs="Calibri" w:eastAsia="Calibri" w:hAnsi="Calibri"/>
          <w:sz w:val="22"/>
          <w:szCs w:val="22"/>
        </w:rPr>
        <w:t xml:space="preserve">MN6, Single tab measure advisory only. Browser Storage revised to state plainly that the warning does not prevent concurrent writes, an accepted tradeoff for a no login local tool.</w:t>
      </w:r>
    </w:p>
    <w:p>
      <w:pPr>
        <w:spacing w:after="160" w:line="264"/>
      </w:pPr>
      <w:r>
        <w:rPr>
          <w:rFonts w:ascii="Calibri" w:cs="Calibri" w:eastAsia="Calibri" w:hAnsi="Calibri"/>
          <w:sz w:val="22"/>
          <w:szCs w:val="22"/>
        </w:rPr>
        <w:t xml:space="preserve">MN7, Backup habit and dismissible prompt. JSON Backup revised. The export reminder changes from firing on every edit to a threshold based reminder after a set number of unbacked changes.</w:t>
      </w:r>
    </w:p>
    <w:p>
      <w:pPr>
        <w:spacing w:after="160" w:line="264"/>
      </w:pPr>
      <w:r>
        <w:rPr>
          <w:rFonts w:ascii="Calibri" w:cs="Calibri" w:eastAsia="Calibri" w:hAnsi="Calibri"/>
          <w:sz w:val="22"/>
          <w:szCs w:val="22"/>
        </w:rPr>
        <w:t xml:space="preserve">MN8, localStorage quota and artifact preview. Browser Storage revised with a build note on typical quota range and confirmation that a claude.ai artifact preview is not a valid deployment target.</w:t>
      </w:r>
    </w:p>
    <w:p>
      <w:pPr>
        <w:spacing w:after="160" w:line="264"/>
      </w:pPr>
      <w:r>
        <w:rPr>
          <w:rFonts w:ascii="Calibri" w:cs="Calibri" w:eastAsia="Calibri" w:hAnsi="Calibri"/>
          <w:sz w:val="22"/>
          <w:szCs w:val="22"/>
        </w:rPr>
        <w:t xml:space="preserve">MN9, Portfolio calendar terminology. Core Concept and Project Creation Flow revised. Portfolio calendar replaced with community calendar in both locations.</w:t>
      </w:r>
    </w:p>
    <w:p>
      <w:pPr>
        <w:spacing w:after="160" w:line="264"/>
      </w:pPr>
      <w:r>
        <w:rPr>
          <w:rFonts w:ascii="Calibri" w:cs="Calibri" w:eastAsia="Calibri" w:hAnsi="Calibri"/>
          <w:sz w:val="22"/>
          <w:szCs w:val="22"/>
        </w:rPr>
        <w:t xml:space="preserve">MN10, Availability filtered suggestions underspecified. Assignment Behavior revised. Availability filtering considers both blocked dates and commitments on other active projects at the same community, computed dynamically rather than through a separate index.</w:t>
      </w:r>
    </w:p>
    <w:p>
      <w:pPr>
        <w:spacing w:after="160" w:line="264"/>
      </w:pPr>
      <w:r>
        <w:rPr>
          <w:rFonts w:ascii="Calibri" w:cs="Calibri" w:eastAsia="Calibri" w:hAnsi="Calibri"/>
          <w:sz w:val="22"/>
          <w:szCs w:val="22"/>
        </w:rPr>
        <w:t xml:space="preserve">MN11, Every resourced step auto creates a checklist item. Procurement and Scheduling Checklist revised with the rationale stated explicitly, the icon forces the DPO to actually schedule with the resource and is the point where real lead times get captured.</w:t>
      </w:r>
    </w:p>
    <w:p>
      <w:pPr>
        <w:spacing w:after="160" w:line="264"/>
      </w:pPr>
      <w:r>
        <w:rPr>
          <w:rFonts w:ascii="Calibri" w:cs="Calibri" w:eastAsia="Calibri" w:hAnsi="Calibri"/>
          <w:sz w:val="22"/>
          <w:szCs w:val="22"/>
        </w:rPr>
        <w:t xml:space="preserve">MN12, Live recalculation and PDF completion date. PDF Contents revised to confirm the completion date reflects logged completions only and does not drift to reflect in progress slippage.</w:t>
      </w:r>
    </w:p>
    <w:p>
      <w:pPr>
        <w:pStyle w:val="Heading2"/>
        <w:keepNext/>
        <w:spacing w:after="120" w:before="240"/>
      </w:pPr>
      <w:r>
        <w:rPr>
          <w:rFonts w:ascii="Calibri" w:cs="Calibri" w:eastAsia="Calibri" w:hAnsi="Calibri"/>
          <w:b/>
          <w:bCs/>
          <w:color w:val="1B3A6B"/>
          <w:sz w:val="24"/>
          <w:szCs w:val="24"/>
        </w:rPr>
        <w:t xml:space="preserve">Questions</w:t>
      </w:r>
    </w:p>
    <w:p>
      <w:pPr>
        <w:spacing w:after="160" w:line="264"/>
      </w:pPr>
      <w:r>
        <w:rPr>
          <w:rFonts w:ascii="Calibri" w:cs="Calibri" w:eastAsia="Calibri" w:hAnsi="Calibri"/>
          <w:sz w:val="22"/>
          <w:szCs w:val="22"/>
        </w:rPr>
        <w:t xml:space="preserve">Q1, Fire protection routing. Resolved. Fire protection cost continues to route into the Other form category, and the scope of work summary requires a narrative naming what makes up the Other line whenever it carries a cost, since it is not self explanatory the way most categories are.</w:t>
      </w:r>
    </w:p>
    <w:p>
      <w:pPr>
        <w:spacing w:after="160" w:line="264"/>
      </w:pPr>
      <w:r>
        <w:rPr>
          <w:rFonts w:ascii="Calibri" w:cs="Calibri" w:eastAsia="Calibri" w:hAnsi="Calibri"/>
          <w:sz w:val="22"/>
          <w:szCs w:val="22"/>
        </w:rPr>
        <w:t xml:space="preserve">Q2, Holiday list over exclusion. Resolved. Blocked Holidays trimmed from twelve federal holidays to seven: New Years Day, Good Friday, Memorial Day, Independence Day, Labor Day, Thanksgiving Day, and Christmas Day. MLK Day, Presidents Day, Juneteenth, Columbus Day, and Veterans Day are no longer blocking, since they are worked days for trades and internal staff.</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Change Log: Revision 3 to Revision 4</w:t>
      </w:r>
    </w:p>
    <w:p>
      <w:pPr>
        <w:spacing w:after="160" w:line="264"/>
      </w:pPr>
      <w:r>
        <w:rPr>
          <w:rFonts w:ascii="Calibri" w:cs="Calibri" w:eastAsia="Calibri" w:hAnsi="Calibri"/>
          <w:sz w:val="22"/>
          <w:szCs w:val="22"/>
        </w:rPr>
        <w:t xml:space="preserve">Every item below traces to a finding in the pre build spec review conducted after the Care Level, Apartment Type, Date Submitted, and PDF generation mechanism changes were rolled into Revision 3.</w:t>
      </w:r>
    </w:p>
    <w:p>
      <w:pPr>
        <w:pStyle w:val="Heading2"/>
        <w:keepNext/>
        <w:spacing w:after="120" w:before="240"/>
      </w:pPr>
      <w:r>
        <w:rPr>
          <w:rFonts w:ascii="Calibri" w:cs="Calibri" w:eastAsia="Calibri" w:hAnsi="Calibri"/>
          <w:b/>
          <w:bCs/>
          <w:color w:val="1B3A6B"/>
          <w:sz w:val="24"/>
          <w:szCs w:val="24"/>
        </w:rPr>
        <w:t xml:space="preserve">Majors</w:t>
      </w:r>
    </w:p>
    <w:p>
      <w:pPr>
        <w:spacing w:after="160" w:line="264"/>
      </w:pPr>
      <w:r>
        <w:rPr>
          <w:rFonts w:ascii="Calibri" w:cs="Calibri" w:eastAsia="Calibri" w:hAnsi="Calibri"/>
          <w:sz w:val="22"/>
          <w:szCs w:val="22"/>
        </w:rPr>
        <w:t xml:space="preserve">MJ7, Dangling community code cross reference. Resolved. Approval Workflow no longer references a static eight community list in Core Concept. It points to the community key mechanism in Settings Tab, keeping community identity configurable per instance so the tool remains portable to organizations outside FM rather than hardcoded to FM's roster.</w:t>
      </w:r>
    </w:p>
    <w:p>
      <w:pPr>
        <w:pStyle w:val="Heading2"/>
        <w:keepNext/>
        <w:spacing w:after="120" w:before="240"/>
      </w:pPr>
      <w:r>
        <w:rPr>
          <w:rFonts w:ascii="Calibri" w:cs="Calibri" w:eastAsia="Calibri" w:hAnsi="Calibri"/>
          <w:b/>
          <w:bCs/>
          <w:color w:val="1B3A6B"/>
          <w:sz w:val="24"/>
          <w:szCs w:val="24"/>
        </w:rPr>
        <w:t xml:space="preserve">Minors</w:t>
      </w:r>
    </w:p>
    <w:p>
      <w:pPr>
        <w:spacing w:after="160" w:line="264"/>
      </w:pPr>
      <w:r>
        <w:rPr>
          <w:rFonts w:ascii="Calibri" w:cs="Calibri" w:eastAsia="Calibri" w:hAnsi="Calibri"/>
          <w:sz w:val="22"/>
          <w:szCs w:val="22"/>
        </w:rPr>
        <w:t xml:space="preserve">MN13, PDF library bundling undecided. Resolved. Unit Turn Request PDF Output states explicitly that the PDF generation library is bundled inline in the single HTML file rather than loaded from a CDN, so the offline deployment promise holds without exception. jsPDF is named as the recommended library, with pdf lib as an acceptable alternative. A build note acknowledges the resulting file size increase as an accepted tradeoff for guaranteed offline capability.</w:t>
      </w:r>
    </w:p>
    <w:p>
      <w:pPr>
        <w:pStyle w:val="Heading2"/>
        <w:keepNext/>
        <w:spacing w:after="120" w:before="240"/>
      </w:pPr>
      <w:r>
        <w:rPr>
          <w:rFonts w:ascii="Calibri" w:cs="Calibri" w:eastAsia="Calibri" w:hAnsi="Calibri"/>
          <w:b/>
          <w:bCs/>
          <w:color w:val="1B3A6B"/>
          <w:sz w:val="24"/>
          <w:szCs w:val="24"/>
        </w:rPr>
        <w:t xml:space="preserve">Questions</w:t>
      </w:r>
    </w:p>
    <w:p>
      <w:pPr>
        <w:spacing w:after="160" w:line="264"/>
      </w:pPr>
      <w:r>
        <w:rPr>
          <w:rFonts w:ascii="Calibri" w:cs="Calibri" w:eastAsia="Calibri" w:hAnsi="Calibri"/>
          <w:sz w:val="22"/>
          <w:szCs w:val="22"/>
        </w:rPr>
        <w:t xml:space="preserve">Q3, Date Submitted meaning versus label. Resolved in Revision 4 by stating that Date Submitted reflects project creation, not send date, and framing any gap between the two as a signal for regional review. That framing is reversed in Revision 5; see B1 in the Revision 4 to Revision 5 change log.</w:t>
      </w:r>
    </w:p>
    <w:p>
      <w:pPr>
        <w:spacing w:after="160" w:line="264"/>
      </w:pPr>
      <w:r>
        <w:rPr>
          <w:rFonts w:ascii="Calibri" w:cs="Calibri" w:eastAsia="Calibri" w:hAnsi="Calibri"/>
          <w:sz w:val="22"/>
          <w:szCs w:val="22"/>
        </w:rPr>
        <w:t xml:space="preserve">Q4, No hyphens rule versus filename convention. Resolved. Formatting and Build Notes scopes the no em dashes or hyphens rule to prose only, exempting the generated filename convention and the date format strings documented in PDF Contents, which are technical formats rather than written communication.</w:t>
      </w:r>
    </w:p>
    <w:p>
      <w:pPr>
        <w:pStyle w:val="Heading1"/>
        <w:keepNext/>
        <w:pBdr>
          <w:bottom w:val="single" w:color="C9A84C" w:sz="8" w:space="2"/>
        </w:pBdr>
        <w:spacing w:after="160" w:before="320"/>
      </w:pPr>
      <w:r>
        <w:rPr>
          <w:rFonts w:ascii="Calibri" w:cs="Calibri" w:eastAsia="Calibri" w:hAnsi="Calibri"/>
          <w:b/>
          <w:bCs/>
          <w:color w:val="1B3A6B"/>
          <w:sz w:val="28"/>
          <w:szCs w:val="28"/>
        </w:rPr>
        <w:t xml:space="preserve">Change Log: Revision 4 to Revision 5</w:t>
      </w:r>
    </w:p>
    <w:p>
      <w:pPr>
        <w:spacing w:after="160" w:line="264"/>
      </w:pPr>
      <w:r>
        <w:rPr>
          <w:rFonts w:ascii="Calibri" w:cs="Calibri" w:eastAsia="Calibri" w:hAnsi="Calibri"/>
          <w:sz w:val="22"/>
          <w:szCs w:val="22"/>
        </w:rPr>
        <w:t xml:space="preserve">Every item below traces to a finding in the pre build product and process review of Revision 4, the first review pass focused on adoption, trust, and data custody rather than build correctness.</w:t>
      </w:r>
    </w:p>
    <w:p>
      <w:pPr>
        <w:pStyle w:val="Heading2"/>
        <w:keepNext/>
        <w:spacing w:after="120" w:before="240"/>
      </w:pPr>
      <w:r>
        <w:rPr>
          <w:rFonts w:ascii="Calibri" w:cs="Calibri" w:eastAsia="Calibri" w:hAnsi="Calibri"/>
          <w:b/>
          <w:bCs/>
          <w:color w:val="1B3A6B"/>
          <w:sz w:val="24"/>
          <w:szCs w:val="24"/>
        </w:rPr>
        <w:t xml:space="preserve">Blockers</w:t>
      </w:r>
    </w:p>
    <w:p>
      <w:pPr>
        <w:spacing w:after="160" w:line="264"/>
      </w:pPr>
      <w:r>
        <w:rPr>
          <w:rFonts w:ascii="Calibri" w:cs="Calibri" w:eastAsia="Calibri" w:hAnsi="Calibri"/>
          <w:sz w:val="22"/>
          <w:szCs w:val="22"/>
        </w:rPr>
        <w:t xml:space="preserve">B1, Date Submitted monitoring framing. Resolved. PDF Contents revised. The framing that a gap between Date Submitted and the actual send date is a monitoring signal for regional review is removed entirely. Date Submitted reflects the project creation date and serves no other purpose. This reverses the position recorded under Q3 in the Revision 3 to Revision 4 change log.</w:t>
      </w:r>
    </w:p>
    <w:p>
      <w:pPr>
        <w:spacing w:after="160" w:line="264"/>
      </w:pPr>
      <w:r>
        <w:rPr>
          <w:rFonts w:ascii="Calibri" w:cs="Calibri" w:eastAsia="Calibri" w:hAnsi="Calibri"/>
          <w:sz w:val="22"/>
          <w:szCs w:val="22"/>
        </w:rPr>
        <w:t xml:space="preserve">B2, Cost figures not available at setup. Resolved. Purpose, Core Concept, Project Creation Flow, and Costing Model revised, and a new Setup Completion and Pricing Status subsection added. Schedule completion and cost completion are tracked separately. A project can be fully scheduled, steps toggled, windows set, resources assigned, before every cost figure is known, and cost fields can be entered or updated at any time after creation, not only during initial setup. Two visible states, Scheduled and Scheduled and Priced, make the distinction legitimate, so a DPO is never forced to guess numbers to complete setup. The baseline captures when scheduling completes and does not depend on pricing.</w:t>
      </w:r>
    </w:p>
    <w:p>
      <w:pPr>
        <w:spacing w:after="160" w:line="264"/>
      </w:pPr>
      <w:r>
        <w:rPr>
          <w:rFonts w:ascii="Calibri" w:cs="Calibri" w:eastAsia="Calibri" w:hAnsi="Calibri"/>
          <w:sz w:val="22"/>
          <w:szCs w:val="22"/>
        </w:rPr>
        <w:t xml:space="preserve">B3, Single device custody. Resolved. JSON Backup revised. An explicit offboarding step is added: a departing DPO exports JSON before leaving, and that export is the handoff artifact for the incoming DPO. A time based backup reminder is added alongside the existing threshold based one, so light activity communities do not go long stretches unbacked. The spec now states plainly that recovery beyond the DPO's own exports is not possible, an accepted tradeoff of the no server design rather than a silent gap. Also closes M5 and Q3 of the same review.</w:t>
      </w:r>
    </w:p>
    <w:p>
      <w:pPr>
        <w:pStyle w:val="Heading2"/>
        <w:keepNext/>
        <w:spacing w:after="120" w:before="240"/>
      </w:pPr>
      <w:r>
        <w:rPr>
          <w:rFonts w:ascii="Calibri" w:cs="Calibri" w:eastAsia="Calibri" w:hAnsi="Calibri"/>
          <w:b/>
          <w:bCs/>
          <w:color w:val="1B3A6B"/>
          <w:sz w:val="24"/>
          <w:szCs w:val="24"/>
        </w:rPr>
        <w:t xml:space="preserve">Majors</w:t>
      </w:r>
    </w:p>
    <w:p>
      <w:pPr>
        <w:spacing w:after="160" w:line="264"/>
      </w:pPr>
      <w:r>
        <w:rPr>
          <w:rFonts w:ascii="Calibri" w:cs="Calibri" w:eastAsia="Calibri" w:hAnsi="Calibri"/>
          <w:sz w:val="22"/>
          <w:szCs w:val="22"/>
        </w:rPr>
        <w:t xml:space="preserve">M1, Regional and ED rollup visibility. Not resolved in this specification. This is a strategic decision Tim is holding, not a spec detail. The tool remains DPO only exactly as designed, and Formatting and Build Notes records the item as deliberately held.</w:t>
      </w:r>
    </w:p>
    <w:p>
      <w:pPr>
        <w:spacing w:after="160" w:line="264"/>
      </w:pPr>
      <w:r>
        <w:rPr>
          <w:rFonts w:ascii="Calibri" w:cs="Calibri" w:eastAsia="Calibri" w:hAnsi="Calibri"/>
          <w:sz w:val="22"/>
          <w:szCs w:val="22"/>
        </w:rPr>
        <w:t xml:space="preserve">M2, No template by turn type. Dispositioned. Noted in Formatting and Build Notes as an out of scope future enhancement for version one, not designed in this revision.</w:t>
      </w:r>
    </w:p>
    <w:p>
      <w:pPr>
        <w:spacing w:after="160" w:line="264"/>
      </w:pPr>
      <w:r>
        <w:rPr>
          <w:rFonts w:ascii="Calibri" w:cs="Calibri" w:eastAsia="Calibri" w:hAnsi="Calibri"/>
          <w:sz w:val="22"/>
          <w:szCs w:val="22"/>
        </w:rPr>
        <w:t xml:space="preserve">M3, Rollout, training, and support. Dispositioned. Noted in Formatting and Build Notes as out of scope for this specification, handled as a separate rollout document.</w:t>
      </w:r>
    </w:p>
    <w:p>
      <w:pPr>
        <w:spacing w:after="160" w:line="264"/>
      </w:pPr>
      <w:r>
        <w:rPr>
          <w:rFonts w:ascii="Calibri" w:cs="Calibri" w:eastAsia="Calibri" w:hAnsi="Calibri"/>
          <w:sz w:val="22"/>
          <w:szCs w:val="22"/>
        </w:rPr>
        <w:t xml:space="preserve">M4, Unit available date editability. Resolved. Project Creation Flow and Baseline and Live Schedule revised. Unit available date is editable after creation. Changing it triggers a live schedule recalculation the same as any other predecessor date change, since it is the floor for step 1, and does not reset the baseline.</w:t>
      </w:r>
    </w:p>
    <w:p>
      <w:pPr>
        <w:spacing w:after="160" w:line="264"/>
      </w:pPr>
      <w:r>
        <w:rPr>
          <w:rFonts w:ascii="Calibri" w:cs="Calibri" w:eastAsia="Calibri" w:hAnsi="Calibri"/>
          <w:sz w:val="22"/>
          <w:szCs w:val="22"/>
        </w:rPr>
        <w:t xml:space="preserve">M5, Backup habit. Covered by B3.</w:t>
      </w:r>
    </w:p>
    <w:p>
      <w:pPr>
        <w:pStyle w:val="Heading2"/>
        <w:keepNext/>
        <w:spacing w:after="120" w:before="240"/>
      </w:pPr>
      <w:r>
        <w:rPr>
          <w:rFonts w:ascii="Calibri" w:cs="Calibri" w:eastAsia="Calibri" w:hAnsi="Calibri"/>
          <w:b/>
          <w:bCs/>
          <w:color w:val="1B3A6B"/>
          <w:sz w:val="24"/>
          <w:szCs w:val="24"/>
        </w:rPr>
        <w:t xml:space="preserve">Minors</w:t>
      </w:r>
    </w:p>
    <w:p>
      <w:pPr>
        <w:spacing w:after="160" w:line="264"/>
      </w:pPr>
      <w:r>
        <w:rPr>
          <w:rFonts w:ascii="Calibri" w:cs="Calibri" w:eastAsia="Calibri" w:hAnsi="Calibri"/>
          <w:sz w:val="22"/>
          <w:szCs w:val="22"/>
        </w:rPr>
        <w:t xml:space="preserve">MN1, No logo on the generated PDF. Resolved. Confirmed against the reference form, which carries the Franciscan Ministries logo and letterhead. PDF Branding revised to include the logo, matching the reference form and reversing the Revision 4 decision. The logo asset lives in the shared style block in Branding Configuration.</w:t>
      </w:r>
    </w:p>
    <w:p>
      <w:pPr>
        <w:spacing w:after="160" w:line="264"/>
      </w:pPr>
      <w:r>
        <w:rPr>
          <w:rFonts w:ascii="Calibri" w:cs="Calibri" w:eastAsia="Calibri" w:hAnsi="Calibri"/>
          <w:sz w:val="22"/>
          <w:szCs w:val="22"/>
        </w:rPr>
        <w:t xml:space="preserve">MN2, Red severity. Resolved. Status Logic revised. Overdue steps display a day count of working days past the scheduled end date, so the oldest red is visible without opening every step.</w:t>
      </w:r>
    </w:p>
    <w:p>
      <w:pPr>
        <w:pStyle w:val="Heading2"/>
        <w:keepNext/>
        <w:spacing w:after="120" w:before="240"/>
      </w:pPr>
      <w:r>
        <w:rPr>
          <w:rFonts w:ascii="Calibri" w:cs="Calibri" w:eastAsia="Calibri" w:hAnsi="Calibri"/>
          <w:b/>
          <w:bCs/>
          <w:color w:val="1B3A6B"/>
          <w:sz w:val="24"/>
          <w:szCs w:val="24"/>
        </w:rPr>
        <w:t xml:space="preserve">Questions</w:t>
      </w:r>
    </w:p>
    <w:p>
      <w:pPr>
        <w:spacing w:after="160" w:line="264"/>
      </w:pPr>
      <w:r>
        <w:rPr>
          <w:rFonts w:ascii="Calibri" w:cs="Calibri" w:eastAsia="Calibri" w:hAnsi="Calibri"/>
          <w:sz w:val="22"/>
          <w:szCs w:val="22"/>
        </w:rPr>
        <w:t xml:space="preserve">Q1, Generation versus submission. Resolved. Unit Turn Request PDF Output states explicitly that PDF generation and actual submission are two separate, unconnected events, and that the tool keeps no record of whether a generated PDF was ever sent.</w:t>
      </w:r>
    </w:p>
    <w:p>
      <w:pPr>
        <w:spacing w:after="160" w:line="264"/>
      </w:pPr>
      <w:r>
        <w:rPr>
          <w:rFonts w:ascii="Calibri" w:cs="Calibri" w:eastAsia="Calibri" w:hAnsi="Calibri"/>
          <w:sz w:val="22"/>
          <w:szCs w:val="22"/>
        </w:rPr>
        <w:t xml:space="preserve">Q2, Resource edits and history. Resolved. Resource Model and Settings Tab revised. Resource names on step assignments are captured as entered at assignment time, not as a live reference. Editing or removing a resource in Settings does not change historical or active records.</w:t>
      </w:r>
    </w:p>
    <w:p>
      <w:pPr>
        <w:spacing w:after="160" w:line="264"/>
      </w:pPr>
      <w:r>
        <w:rPr>
          <w:rFonts w:ascii="Calibri" w:cs="Calibri" w:eastAsia="Calibri" w:hAnsi="Calibri"/>
          <w:sz w:val="22"/>
          <w:szCs w:val="22"/>
        </w:rPr>
        <w:t xml:space="preserve">Q3, Recovery at turnover. Covered by B3.</w:t>
      </w:r>
    </w:p>
    <w:p>
      <w:pPr>
        <w:pStyle w:val="Heading2"/>
        <w:keepNext/>
        <w:spacing w:after="120" w:before="240"/>
      </w:pPr>
      <w:r>
        <w:rPr>
          <w:rFonts w:ascii="Calibri" w:cs="Calibri" w:eastAsia="Calibri" w:hAnsi="Calibri"/>
          <w:b/>
          <w:bCs/>
          <w:color w:val="1B3A6B"/>
          <w:sz w:val="24"/>
          <w:szCs w:val="24"/>
        </w:rPr>
        <w:t xml:space="preserve">Additional Revisions Beyond the Review</w:t>
      </w:r>
    </w:p>
    <w:p>
      <w:pPr>
        <w:spacing w:after="160" w:line="264"/>
      </w:pPr>
      <w:r>
        <w:rPr>
          <w:rFonts w:ascii="Calibri" w:cs="Calibri" w:eastAsia="Calibri" w:hAnsi="Calibri"/>
          <w:sz w:val="22"/>
          <w:szCs w:val="22"/>
        </w:rPr>
        <w:t xml:space="preserve">Branding Configuration rebuilt around a single shared style block consumed by both the tool interface, through CSS custom properties written at load, and the PDF generation calls, shown explicitly in the specification with FM default values, navy 1B3A6B and gold C9A84C. The document was tightened end to end: the step sequence and predecessor tables were consolidated into one table, the dependency prose summary was reduced to rationale only, the steps 7 and 9 restriction and the blocked date soft warning are each now stated once and cross referenced, leftover callouts to prior review items were folded into the change logs, and duplicate statements of readiness, community key behavior, and PDF matching were consolidated. Export All Projects added to the Settings Tab: a global Excel export via SheetJS producing one row per active step across all qualifying projects, with auto filter headers and a working day duration column, controlled by an Include completed projects checkbox that defaults to unchecked.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2026-07-02T11:47:01.897Z</dcterms:created>
  <dcterms:modified xsi:type="dcterms:W3CDTF">2026-07-02T11:47:01.910Z</dcterms:modified>
</cp:coreProperties>
</file>

<file path=docProps/custom.xml><?xml version="1.0" encoding="utf-8"?>
<Properties xmlns="http://schemas.openxmlformats.org/officeDocument/2006/custom-properties" xmlns:vt="http://schemas.openxmlformats.org/officeDocument/2006/docPropsVTypes"/>
</file>