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3F98" w:rsidRDefault="001F4AD7" w:rsidP="00213F98">
      <w:pPr>
        <w:spacing w:line="360" w:lineRule="auto"/>
        <w:jc w:val="center"/>
        <w:rPr>
          <w:rFonts w:ascii="仿宋" w:eastAsia="仿宋" w:hAnsi="仿宋"/>
          <w:b/>
          <w:color w:val="000000" w:themeColor="text1"/>
          <w:sz w:val="32"/>
          <w:lang w:eastAsia="zh-CN"/>
        </w:rPr>
      </w:pPr>
      <w:bookmarkStart w:id="0" w:name="基金规模与年化回报率的非线性关系以华夏科创50etf为例"/>
      <w:r w:rsidRPr="00213F98">
        <w:rPr>
          <w:rFonts w:ascii="仿宋" w:eastAsia="仿宋" w:hAnsi="仿宋"/>
          <w:b/>
          <w:color w:val="000000" w:themeColor="text1"/>
          <w:sz w:val="32"/>
          <w:lang w:eastAsia="zh-CN"/>
        </w:rPr>
        <w:t>基金规模与年化回报率的非线性关系</w:t>
      </w:r>
      <w:bookmarkStart w:id="1" w:name="_GoBack"/>
      <w:bookmarkEnd w:id="1"/>
    </w:p>
    <w:p w:rsidR="001F4AD7" w:rsidRPr="00213F98" w:rsidRDefault="001F4AD7" w:rsidP="00213F98">
      <w:pPr>
        <w:spacing w:line="360" w:lineRule="auto"/>
        <w:jc w:val="center"/>
        <w:rPr>
          <w:rFonts w:ascii="仿宋" w:eastAsia="仿宋" w:hAnsi="仿宋"/>
          <w:b/>
          <w:color w:val="000000" w:themeColor="text1"/>
          <w:sz w:val="32"/>
          <w:lang w:eastAsia="zh-CN"/>
        </w:rPr>
      </w:pPr>
      <w:r w:rsidRPr="00213F98">
        <w:rPr>
          <w:rFonts w:ascii="仿宋" w:eastAsia="仿宋" w:hAnsi="仿宋"/>
          <w:b/>
          <w:color w:val="000000" w:themeColor="text1"/>
          <w:sz w:val="32"/>
          <w:lang w:eastAsia="zh-CN"/>
        </w:rPr>
        <w:t>——以华夏科创50ETF为例</w:t>
      </w:r>
    </w:p>
    <w:p w:rsidR="001F4AD7" w:rsidRPr="00213F98" w:rsidRDefault="001F4AD7" w:rsidP="00213F98">
      <w:pPr>
        <w:pStyle w:val="1"/>
        <w:spacing w:line="360" w:lineRule="auto"/>
        <w:rPr>
          <w:rFonts w:ascii="仿宋" w:eastAsia="仿宋" w:hAnsi="仿宋"/>
          <w:color w:val="000000" w:themeColor="text1"/>
          <w:sz w:val="24"/>
          <w:szCs w:val="24"/>
          <w:lang w:eastAsia="zh-CN"/>
        </w:rPr>
      </w:pPr>
      <w:bookmarkStart w:id="2" w:name="引言"/>
      <w:r w:rsidRPr="00213F98">
        <w:rPr>
          <w:rFonts w:ascii="仿宋" w:eastAsia="仿宋" w:hAnsi="仿宋" w:hint="eastAsia"/>
          <w:color w:val="000000" w:themeColor="text1"/>
          <w:sz w:val="24"/>
          <w:szCs w:val="24"/>
          <w:lang w:eastAsia="zh-CN"/>
        </w:rPr>
        <w:t>一、业务背景</w:t>
      </w:r>
    </w:p>
    <w:p w:rsidR="001F4AD7" w:rsidRPr="00213F98" w:rsidRDefault="001F4AD7" w:rsidP="00213F98">
      <w:pPr>
        <w:pStyle w:val="FirstParagraph"/>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color w:val="000000" w:themeColor="text1"/>
          <w:lang w:eastAsia="zh-CN"/>
        </w:rPr>
        <w:t>中国权益类ETF规模在2025年突破3万亿元，被动投资工具已从边缘化产品成长为个人和机构投资者的核心配置标的。规模扩大是否损害基金回报，是学术界持续关注的经典命题。Berk &amp; Green（2004）提出的”规模诅咒”（Scale Curse）假说指出，主动型基金的规模扩大会侵蚀Alpha能力：基金经理面临市场冲击成本上升、可投资标的受限、策略容量约束等现实瓶颈，规模报酬递减效应显著。Chen et al.（2004）在美国共同基金中发现规模每增加一倍，超额收益下降约40个基点。Pastor et al.（2015）进一步将规模效应分解为技能与规模报酬递减两个维度，证实了假说的稳健性。</w:t>
      </w:r>
    </w:p>
    <w:p w:rsidR="001F4AD7" w:rsidRPr="00213F98" w:rsidRDefault="001F4AD7" w:rsidP="00213F98">
      <w:pPr>
        <w:pStyle w:val="a0"/>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color w:val="000000" w:themeColor="text1"/>
          <w:lang w:eastAsia="zh-CN"/>
        </w:rPr>
        <w:t>被动型ETF以跟踪指数为唯一投资目标，不依赖基金经理的主动选股或择时能力。其规模效应的传导机制与主动型基金存在结构性差异：大额申购通过创设机制在一级市场以实物组合交换基金份额，大额赎回通过赎回机制以基金份额换回实物组合，申赎压力主要由授权参与商（AP）在一级市场消化；二级市场交易价格由套利力量维持对净值的小幅偏离，折溢价率通常控制在极窄区间。被动型ETF的规模扩大是否导致收益下降，现有文献缺乏针对中国市场的直接证据。</w:t>
      </w:r>
    </w:p>
    <w:p w:rsidR="001F4AD7" w:rsidRPr="00213F98" w:rsidRDefault="001F4AD7" w:rsidP="00213F98">
      <w:pPr>
        <w:pStyle w:val="a0"/>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color w:val="000000" w:themeColor="text1"/>
          <w:lang w:eastAsia="zh-CN"/>
        </w:rPr>
        <w:t>本研究以华夏科创50ETF（588000.SH）为案例。该基金成立于2020年9月，是国内首批科创50指数基金之一，规模从51亿份增长至峰值1040亿份，覆盖了从初创到成熟的全生命周期阶段。研究期间为2020年9月至2026年3月，共24个季度观测值。核心研究问题包括：被动型ETF的份额规模与未来收益率之间是否存在负向关系？若不存在，实际关系形态呈何特征？</w:t>
      </w:r>
    </w:p>
    <w:p w:rsidR="001F4AD7" w:rsidRPr="00213F98" w:rsidRDefault="001F4AD7" w:rsidP="00213F98">
      <w:pPr>
        <w:pStyle w:val="1"/>
        <w:spacing w:line="360" w:lineRule="auto"/>
        <w:rPr>
          <w:rFonts w:ascii="仿宋" w:eastAsia="仿宋" w:hAnsi="仿宋"/>
          <w:color w:val="000000" w:themeColor="text1"/>
          <w:sz w:val="24"/>
          <w:szCs w:val="24"/>
          <w:lang w:eastAsia="zh-CN"/>
        </w:rPr>
      </w:pPr>
      <w:bookmarkStart w:id="3" w:name="数据与研究方法"/>
      <w:bookmarkEnd w:id="2"/>
      <w:r w:rsidRPr="00213F98">
        <w:rPr>
          <w:rFonts w:ascii="仿宋" w:eastAsia="仿宋" w:hAnsi="仿宋" w:hint="eastAsia"/>
          <w:color w:val="000000" w:themeColor="text1"/>
          <w:sz w:val="24"/>
          <w:szCs w:val="24"/>
          <w:lang w:eastAsia="zh-CN"/>
        </w:rPr>
        <w:t>二、</w:t>
      </w:r>
      <w:r w:rsidRPr="00213F98">
        <w:rPr>
          <w:rFonts w:ascii="仿宋" w:eastAsia="仿宋" w:hAnsi="仿宋"/>
          <w:color w:val="000000" w:themeColor="text1"/>
          <w:sz w:val="24"/>
          <w:szCs w:val="24"/>
          <w:lang w:eastAsia="zh-CN"/>
        </w:rPr>
        <w:t>数据与研究方法</w:t>
      </w:r>
    </w:p>
    <w:p w:rsidR="001F4AD7" w:rsidRPr="00213F98" w:rsidRDefault="001F4AD7" w:rsidP="00213F98">
      <w:pPr>
        <w:pStyle w:val="2"/>
        <w:spacing w:line="360" w:lineRule="auto"/>
        <w:rPr>
          <w:rFonts w:ascii="仿宋" w:eastAsia="仿宋" w:hAnsi="仿宋"/>
          <w:color w:val="000000" w:themeColor="text1"/>
          <w:sz w:val="24"/>
          <w:szCs w:val="24"/>
          <w:lang w:eastAsia="zh-CN"/>
        </w:rPr>
      </w:pPr>
      <w:bookmarkStart w:id="4" w:name="数据来源与变量定义"/>
      <w:r w:rsidRPr="00213F98">
        <w:rPr>
          <w:rFonts w:ascii="仿宋" w:eastAsia="仿宋" w:hAnsi="仿宋"/>
          <w:color w:val="000000" w:themeColor="text1"/>
          <w:sz w:val="24"/>
          <w:szCs w:val="24"/>
          <w:lang w:eastAsia="zh-CN"/>
        </w:rPr>
        <w:t>1</w:t>
      </w:r>
      <w:r w:rsidRPr="00213F98">
        <w:rPr>
          <w:rFonts w:ascii="仿宋" w:eastAsia="仿宋" w:hAnsi="仿宋" w:hint="eastAsia"/>
          <w:color w:val="000000" w:themeColor="text1"/>
          <w:sz w:val="24"/>
          <w:szCs w:val="24"/>
          <w:lang w:eastAsia="zh-CN"/>
        </w:rPr>
        <w:t>、</w:t>
      </w:r>
      <w:r w:rsidRPr="00213F98">
        <w:rPr>
          <w:rFonts w:ascii="仿宋" w:eastAsia="仿宋" w:hAnsi="仿宋"/>
          <w:color w:val="000000" w:themeColor="text1"/>
          <w:sz w:val="24"/>
          <w:szCs w:val="24"/>
          <w:lang w:eastAsia="zh-CN"/>
        </w:rPr>
        <w:t xml:space="preserve"> 数据来源与变量定义</w:t>
      </w:r>
    </w:p>
    <w:p w:rsidR="001F4AD7" w:rsidRPr="00213F98" w:rsidRDefault="001F4AD7" w:rsidP="00213F98">
      <w:pPr>
        <w:pStyle w:val="FirstParagraph"/>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color w:val="000000" w:themeColor="text1"/>
          <w:lang w:eastAsia="zh-CN"/>
        </w:rPr>
        <w:t>数据来源于两个渠道：同花顺ifind金融数据库提供日度单位净值数据，天天基金网提供季度末基金总份额和净资产数据。因变量为未来持有期收益率，以季度末为起点计算未来</w:t>
      </w:r>
      <w:r w:rsidRPr="00213F98">
        <w:rPr>
          <w:rFonts w:ascii="仿宋" w:eastAsia="仿宋" w:hAnsi="仿宋"/>
          <w:color w:val="000000" w:themeColor="text1"/>
          <w:lang w:eastAsia="zh-CN"/>
        </w:rPr>
        <w:lastRenderedPageBreak/>
        <w:t>90天、180天和252个交易日（约一年）的累计收益率。自变量包括份额水平和份额变化率。变量定义见表1。</w:t>
      </w:r>
    </w:p>
    <w:p w:rsidR="001F4AD7" w:rsidRPr="00213F98" w:rsidRDefault="001F4AD7" w:rsidP="00213F98">
      <w:pPr>
        <w:pStyle w:val="a0"/>
        <w:spacing w:before="0" w:after="40" w:line="360" w:lineRule="auto"/>
        <w:jc w:val="center"/>
        <w:rPr>
          <w:rFonts w:ascii="仿宋" w:eastAsia="仿宋" w:hAnsi="仿宋"/>
          <w:color w:val="000000" w:themeColor="text1"/>
        </w:rPr>
      </w:pPr>
      <w:r w:rsidRPr="00213F98">
        <w:rPr>
          <w:rFonts w:ascii="仿宋" w:eastAsia="仿宋" w:hAnsi="仿宋"/>
          <w:b/>
          <w:bCs/>
          <w:color w:val="000000" w:themeColor="text1"/>
        </w:rPr>
        <w:t>表1 变量定义</w:t>
      </w:r>
    </w:p>
    <w:tbl>
      <w:tblPr>
        <w:tblStyle w:val="Table"/>
        <w:tblW w:w="91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95"/>
        <w:gridCol w:w="2319"/>
        <w:gridCol w:w="3923"/>
        <w:gridCol w:w="718"/>
      </w:tblGrid>
      <w:tr w:rsidR="00213F98" w:rsidRPr="00213F98" w:rsidTr="00213F98">
        <w:trPr>
          <w:cnfStyle w:val="100000000000" w:firstRow="1" w:lastRow="0" w:firstColumn="0" w:lastColumn="0" w:oddVBand="0" w:evenVBand="0" w:oddHBand="0" w:evenHBand="0" w:firstRowFirstColumn="0" w:firstRowLastColumn="0" w:lastRowFirstColumn="0" w:lastRowLastColumn="0"/>
          <w:trHeight w:val="468"/>
          <w:tblHeader/>
          <w:jc w:val="center"/>
        </w:trPr>
        <w:tc>
          <w:tcPr>
            <w:tcW w:w="0" w:type="auto"/>
            <w:tcBorders>
              <w:bottom w:val="none" w:sz="0" w:space="0" w:color="auto"/>
            </w:tcBorders>
          </w:tcPr>
          <w:p w:rsidR="001F4AD7" w:rsidRPr="00213F98" w:rsidRDefault="001F4AD7" w:rsidP="00213F98">
            <w:pPr>
              <w:pStyle w:val="Compact"/>
              <w:spacing w:before="0" w:after="0" w:line="360" w:lineRule="auto"/>
              <w:rPr>
                <w:rFonts w:ascii="仿宋" w:eastAsia="仿宋" w:hAnsi="仿宋"/>
                <w:b/>
                <w:color w:val="000000" w:themeColor="text1"/>
              </w:rPr>
            </w:pPr>
            <w:r w:rsidRPr="00213F98">
              <w:rPr>
                <w:rFonts w:ascii="仿宋" w:eastAsia="仿宋" w:hAnsi="仿宋"/>
                <w:b/>
                <w:color w:val="000000" w:themeColor="text1"/>
              </w:rPr>
              <w:t>变量</w:t>
            </w:r>
          </w:p>
        </w:tc>
        <w:tc>
          <w:tcPr>
            <w:tcW w:w="0" w:type="auto"/>
            <w:tcBorders>
              <w:bottom w:val="none" w:sz="0" w:space="0" w:color="auto"/>
            </w:tcBorders>
          </w:tcPr>
          <w:p w:rsidR="001F4AD7" w:rsidRPr="00213F98" w:rsidRDefault="001F4AD7" w:rsidP="00213F98">
            <w:pPr>
              <w:pStyle w:val="Compact"/>
              <w:spacing w:before="0" w:after="0" w:line="360" w:lineRule="auto"/>
              <w:rPr>
                <w:rFonts w:ascii="仿宋" w:eastAsia="仿宋" w:hAnsi="仿宋"/>
                <w:b/>
                <w:color w:val="000000" w:themeColor="text1"/>
              </w:rPr>
            </w:pPr>
            <w:r w:rsidRPr="00213F98">
              <w:rPr>
                <w:rFonts w:ascii="仿宋" w:eastAsia="仿宋" w:hAnsi="仿宋"/>
                <w:b/>
                <w:color w:val="000000" w:themeColor="text1"/>
              </w:rPr>
              <w:t>符号</w:t>
            </w:r>
          </w:p>
        </w:tc>
        <w:tc>
          <w:tcPr>
            <w:tcW w:w="0" w:type="auto"/>
            <w:tcBorders>
              <w:bottom w:val="none" w:sz="0" w:space="0" w:color="auto"/>
            </w:tcBorders>
          </w:tcPr>
          <w:p w:rsidR="001F4AD7" w:rsidRPr="00213F98" w:rsidRDefault="001F4AD7" w:rsidP="00213F98">
            <w:pPr>
              <w:pStyle w:val="Compact"/>
              <w:spacing w:before="0" w:after="0" w:line="360" w:lineRule="auto"/>
              <w:rPr>
                <w:rFonts w:ascii="仿宋" w:eastAsia="仿宋" w:hAnsi="仿宋"/>
                <w:b/>
                <w:color w:val="000000" w:themeColor="text1"/>
              </w:rPr>
            </w:pPr>
            <w:r w:rsidRPr="00213F98">
              <w:rPr>
                <w:rFonts w:ascii="仿宋" w:eastAsia="仿宋" w:hAnsi="仿宋"/>
                <w:b/>
                <w:color w:val="000000" w:themeColor="text1"/>
              </w:rPr>
              <w:t>定义</w:t>
            </w:r>
          </w:p>
        </w:tc>
        <w:tc>
          <w:tcPr>
            <w:tcW w:w="0" w:type="auto"/>
            <w:tcBorders>
              <w:bottom w:val="none" w:sz="0" w:space="0" w:color="auto"/>
            </w:tcBorders>
          </w:tcPr>
          <w:p w:rsidR="001F4AD7" w:rsidRPr="00213F98" w:rsidRDefault="001F4AD7" w:rsidP="00213F98">
            <w:pPr>
              <w:pStyle w:val="Compact"/>
              <w:spacing w:before="0" w:after="0" w:line="360" w:lineRule="auto"/>
              <w:rPr>
                <w:rFonts w:ascii="仿宋" w:eastAsia="仿宋" w:hAnsi="仿宋"/>
                <w:b/>
                <w:color w:val="000000" w:themeColor="text1"/>
              </w:rPr>
            </w:pPr>
            <w:r w:rsidRPr="00213F98">
              <w:rPr>
                <w:rFonts w:ascii="仿宋" w:eastAsia="仿宋" w:hAnsi="仿宋"/>
                <w:b/>
                <w:color w:val="000000" w:themeColor="text1"/>
              </w:rPr>
              <w:t>单位</w:t>
            </w:r>
          </w:p>
        </w:tc>
      </w:tr>
      <w:tr w:rsidR="00213F98" w:rsidRPr="00213F98" w:rsidTr="00213F98">
        <w:trPr>
          <w:trHeight w:val="475"/>
          <w:jc w:val="center"/>
        </w:trPr>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期末份额</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shares_eoy</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季度末基金总份额</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亿份</w:t>
            </w:r>
          </w:p>
        </w:tc>
      </w:tr>
      <w:tr w:rsidR="00213F98" w:rsidRPr="00213F98" w:rsidTr="00213F98">
        <w:trPr>
          <w:trHeight w:val="468"/>
          <w:jc w:val="center"/>
        </w:trPr>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净资产</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nav_eoy</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季度末基金资产净值</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亿元</w:t>
            </w:r>
          </w:p>
        </w:tc>
      </w:tr>
      <w:tr w:rsidR="00213F98" w:rsidRPr="00213F98" w:rsidTr="00213F98">
        <w:trPr>
          <w:trHeight w:val="475"/>
          <w:jc w:val="center"/>
        </w:trPr>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份额变化率</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shares_change_pct</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季度环比变化率</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w:t>
            </w:r>
          </w:p>
        </w:tc>
      </w:tr>
      <w:tr w:rsidR="00213F98" w:rsidRPr="00213F98" w:rsidTr="00213F98">
        <w:trPr>
          <w:trHeight w:val="468"/>
          <w:jc w:val="center"/>
        </w:trPr>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未来180天收益率</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ret_180d</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lang w:eastAsia="zh-CN"/>
              </w:rPr>
            </w:pPr>
            <w:r w:rsidRPr="00213F98">
              <w:rPr>
                <w:rFonts w:ascii="仿宋" w:eastAsia="仿宋" w:hAnsi="仿宋"/>
                <w:color w:val="000000" w:themeColor="text1"/>
                <w:lang w:eastAsia="zh-CN"/>
              </w:rPr>
              <w:t>季度末起未来180个交易日收益率</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w:t>
            </w:r>
          </w:p>
        </w:tc>
      </w:tr>
    </w:tbl>
    <w:p w:rsidR="001F4AD7" w:rsidRPr="00213F98" w:rsidRDefault="001F4AD7" w:rsidP="00213F98">
      <w:pPr>
        <w:pStyle w:val="a0"/>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color w:val="000000" w:themeColor="text1"/>
          <w:lang w:eastAsia="zh-CN"/>
        </w:rPr>
        <w:t>表1中，未来180天收益率（ret_180d）是核心因变量，对应约一年的投资期限，兼顾了短期市场波动与中长期趋势特征。份额变化率（shares_change_pct）衡量规模扩张速度，用于检验快速扩张期是否存在收益衰减效应。所有收益率均基于复权净值计算，消除了分红、拆分等因素的干扰。</w:t>
      </w:r>
    </w:p>
    <w:p w:rsidR="001F4AD7" w:rsidRPr="00213F98" w:rsidRDefault="001F4AD7" w:rsidP="00213F98">
      <w:pPr>
        <w:pStyle w:val="2"/>
        <w:spacing w:line="360" w:lineRule="auto"/>
        <w:rPr>
          <w:rFonts w:ascii="仿宋" w:eastAsia="仿宋" w:hAnsi="仿宋"/>
          <w:color w:val="000000" w:themeColor="text1"/>
          <w:sz w:val="24"/>
          <w:szCs w:val="24"/>
          <w:lang w:eastAsia="zh-CN"/>
        </w:rPr>
      </w:pPr>
      <w:bookmarkStart w:id="5" w:name="分析方法"/>
      <w:bookmarkEnd w:id="4"/>
      <w:r w:rsidRPr="00213F98">
        <w:rPr>
          <w:rFonts w:ascii="仿宋" w:eastAsia="仿宋" w:hAnsi="仿宋"/>
          <w:color w:val="000000" w:themeColor="text1"/>
          <w:sz w:val="24"/>
          <w:szCs w:val="24"/>
          <w:lang w:eastAsia="zh-CN"/>
        </w:rPr>
        <w:t>2</w:t>
      </w:r>
      <w:r w:rsidRPr="00213F98">
        <w:rPr>
          <w:rFonts w:ascii="仿宋" w:eastAsia="仿宋" w:hAnsi="仿宋" w:hint="eastAsia"/>
          <w:color w:val="000000" w:themeColor="text1"/>
          <w:sz w:val="24"/>
          <w:szCs w:val="24"/>
          <w:lang w:eastAsia="zh-CN"/>
        </w:rPr>
        <w:t>、</w:t>
      </w:r>
      <w:r w:rsidRPr="00213F98">
        <w:rPr>
          <w:rFonts w:ascii="仿宋" w:eastAsia="仿宋" w:hAnsi="仿宋"/>
          <w:color w:val="000000" w:themeColor="text1"/>
          <w:sz w:val="24"/>
          <w:szCs w:val="24"/>
          <w:lang w:eastAsia="zh-CN"/>
        </w:rPr>
        <w:t xml:space="preserve"> 分析方法</w:t>
      </w:r>
    </w:p>
    <w:p w:rsidR="001F4AD7" w:rsidRPr="00213F98" w:rsidRDefault="001F4AD7" w:rsidP="00213F98">
      <w:pPr>
        <w:pStyle w:val="FirstParagraph"/>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color w:val="000000" w:themeColor="text1"/>
          <w:lang w:eastAsia="zh-CN"/>
        </w:rPr>
        <w:t>研究采用四种互补方法：第一，Pearson相关系数矩阵检验份额水平及变化率与未来收益率的线性关联方向和统计显著性；第二，多项式回归构建线性（一次）、二次和三次模型，通过R</w:t>
      </w:r>
      <w:r w:rsidRPr="00213F98">
        <w:rPr>
          <w:rFonts w:ascii="Calibri" w:eastAsia="仿宋" w:hAnsi="Calibri" w:cs="Calibri"/>
          <w:color w:val="000000" w:themeColor="text1"/>
          <w:lang w:eastAsia="zh-CN"/>
        </w:rPr>
        <w:t>²</w:t>
      </w:r>
      <w:r w:rsidRPr="00213F98">
        <w:rPr>
          <w:rFonts w:ascii="仿宋" w:eastAsia="仿宋" w:hAnsi="仿宋"/>
          <w:color w:val="000000" w:themeColor="text1"/>
          <w:lang w:eastAsia="zh-CN"/>
        </w:rPr>
        <w:t>比较判断是否存在非线性关系，并利用回归系数推导理论最优规模区间；第三，ANOVA方差分析将样本按规模四等分比较组间收益率差异；第四，独立样本t检验比较快速扩张期（季度增幅&gt;30%）与正常时期之后180天收益率的均值差异，直接检验”规模诅咒”假说在被动型ETF中的适用性。</w:t>
      </w:r>
    </w:p>
    <w:p w:rsidR="001F4AD7" w:rsidRPr="00213F98" w:rsidRDefault="001F4AD7" w:rsidP="00213F98">
      <w:pPr>
        <w:pStyle w:val="1"/>
        <w:spacing w:line="360" w:lineRule="auto"/>
        <w:rPr>
          <w:rFonts w:ascii="仿宋" w:eastAsia="仿宋" w:hAnsi="仿宋"/>
          <w:color w:val="000000" w:themeColor="text1"/>
          <w:sz w:val="24"/>
          <w:szCs w:val="24"/>
          <w:lang w:eastAsia="zh-CN"/>
        </w:rPr>
      </w:pPr>
      <w:bookmarkStart w:id="6" w:name="规模变化特征"/>
      <w:bookmarkEnd w:id="3"/>
      <w:bookmarkEnd w:id="5"/>
      <w:r w:rsidRPr="00213F98">
        <w:rPr>
          <w:rFonts w:ascii="仿宋" w:eastAsia="仿宋" w:hAnsi="仿宋" w:hint="eastAsia"/>
          <w:color w:val="000000" w:themeColor="text1"/>
          <w:sz w:val="24"/>
          <w:szCs w:val="24"/>
          <w:lang w:eastAsia="zh-CN"/>
        </w:rPr>
        <w:t>三、</w:t>
      </w:r>
      <w:r w:rsidRPr="00213F98">
        <w:rPr>
          <w:rFonts w:ascii="仿宋" w:eastAsia="仿宋" w:hAnsi="仿宋"/>
          <w:color w:val="000000" w:themeColor="text1"/>
          <w:sz w:val="24"/>
          <w:szCs w:val="24"/>
          <w:lang w:eastAsia="zh-CN"/>
        </w:rPr>
        <w:t>规模变化特征</w:t>
      </w:r>
    </w:p>
    <w:p w:rsidR="001F4AD7" w:rsidRPr="00213F98" w:rsidRDefault="001F4AD7" w:rsidP="00213F98">
      <w:pPr>
        <w:pStyle w:val="2"/>
        <w:spacing w:line="360" w:lineRule="auto"/>
        <w:rPr>
          <w:rFonts w:ascii="仿宋" w:eastAsia="仿宋" w:hAnsi="仿宋"/>
          <w:color w:val="000000" w:themeColor="text1"/>
          <w:sz w:val="24"/>
          <w:szCs w:val="24"/>
          <w:lang w:eastAsia="zh-CN"/>
        </w:rPr>
      </w:pPr>
      <w:bookmarkStart w:id="7" w:name="四阶段演化"/>
      <w:r w:rsidRPr="00213F98">
        <w:rPr>
          <w:rFonts w:ascii="仿宋" w:eastAsia="仿宋" w:hAnsi="仿宋"/>
          <w:color w:val="000000" w:themeColor="text1"/>
          <w:sz w:val="24"/>
          <w:szCs w:val="24"/>
          <w:lang w:eastAsia="zh-CN"/>
        </w:rPr>
        <w:t>1</w:t>
      </w:r>
      <w:r w:rsidRPr="00213F98">
        <w:rPr>
          <w:rFonts w:ascii="仿宋" w:eastAsia="仿宋" w:hAnsi="仿宋" w:hint="eastAsia"/>
          <w:color w:val="000000" w:themeColor="text1"/>
          <w:sz w:val="24"/>
          <w:szCs w:val="24"/>
          <w:lang w:eastAsia="zh-CN"/>
        </w:rPr>
        <w:t>、</w:t>
      </w:r>
      <w:r w:rsidRPr="00213F98">
        <w:rPr>
          <w:rFonts w:ascii="仿宋" w:eastAsia="仿宋" w:hAnsi="仿宋"/>
          <w:color w:val="000000" w:themeColor="text1"/>
          <w:sz w:val="24"/>
          <w:szCs w:val="24"/>
          <w:lang w:eastAsia="zh-CN"/>
        </w:rPr>
        <w:t>四阶段演化</w:t>
      </w:r>
    </w:p>
    <w:p w:rsidR="001F4AD7" w:rsidRPr="00213F98" w:rsidRDefault="001F4AD7" w:rsidP="00213F98">
      <w:pPr>
        <w:pStyle w:val="FirstParagraph"/>
        <w:spacing w:before="0" w:after="40" w:line="360" w:lineRule="auto"/>
        <w:ind w:firstLineChars="200" w:firstLine="480"/>
        <w:rPr>
          <w:rFonts w:ascii="仿宋" w:eastAsia="仿宋" w:hAnsi="仿宋"/>
          <w:color w:val="000000" w:themeColor="text1"/>
        </w:rPr>
      </w:pPr>
      <w:r w:rsidRPr="00213F98">
        <w:rPr>
          <w:rFonts w:ascii="仿宋" w:eastAsia="仿宋" w:hAnsi="仿宋"/>
          <w:color w:val="000000" w:themeColor="text1"/>
          <w:lang w:eastAsia="zh-CN"/>
        </w:rPr>
        <w:t>华夏科创50ETF的份额规模经历四个阶段。成立初期（2020Q4），份额从51.23亿增至86.77亿，增幅69.4%，主要受首发资金建仓驱动。稳步增长期（2021-2022年），份额从86.77亿增至507.85亿，累计增长485%，年均增速约140%，科创板块行情与投资者教育同步推进。爆发增长期（2023年），份额从507.85亿跃升至1040.83亿，单年翻倍，峰值突破千亿份，反映市场对科技成长风格的集中配置。高位震荡期（2024-2026Q1），份额回落至517.89亿，较高点缩水50.2%，主要受科创50指数系统性调整影响。</w:t>
      </w:r>
      <w:r w:rsidRPr="00213F98">
        <w:rPr>
          <w:rFonts w:ascii="仿宋" w:eastAsia="仿宋" w:hAnsi="仿宋"/>
          <w:color w:val="000000" w:themeColor="text1"/>
        </w:rPr>
        <w:t>阶段划分见表2。</w:t>
      </w:r>
    </w:p>
    <w:p w:rsidR="001F4AD7" w:rsidRPr="00213F98" w:rsidRDefault="001F4AD7" w:rsidP="00213F98">
      <w:pPr>
        <w:pStyle w:val="a0"/>
        <w:spacing w:before="0" w:after="40" w:line="360" w:lineRule="auto"/>
        <w:jc w:val="center"/>
        <w:rPr>
          <w:rFonts w:ascii="仿宋" w:eastAsia="仿宋" w:hAnsi="仿宋"/>
          <w:color w:val="000000" w:themeColor="text1"/>
        </w:rPr>
      </w:pPr>
      <w:r w:rsidRPr="00213F98">
        <w:rPr>
          <w:rFonts w:ascii="仿宋" w:eastAsia="仿宋" w:hAnsi="仿宋"/>
          <w:b/>
          <w:bCs/>
          <w:color w:val="000000" w:themeColor="text1"/>
        </w:rPr>
        <w:lastRenderedPageBreak/>
        <w:t>表2 规模变化阶段划分</w:t>
      </w:r>
    </w:p>
    <w:tbl>
      <w:tblPr>
        <w:tblStyle w:val="Table"/>
        <w:tblW w:w="8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39"/>
        <w:gridCol w:w="2010"/>
        <w:gridCol w:w="1774"/>
        <w:gridCol w:w="1774"/>
        <w:gridCol w:w="1225"/>
      </w:tblGrid>
      <w:tr w:rsidR="00213F98" w:rsidRPr="00213F98" w:rsidTr="00213F98">
        <w:trPr>
          <w:cnfStyle w:val="100000000000" w:firstRow="1" w:lastRow="0" w:firstColumn="0" w:lastColumn="0" w:oddVBand="0" w:evenVBand="0" w:oddHBand="0" w:evenHBand="0" w:firstRowFirstColumn="0" w:firstRowLastColumn="0" w:lastRowFirstColumn="0" w:lastRowLastColumn="0"/>
          <w:trHeight w:val="464"/>
          <w:tblHeader/>
          <w:jc w:val="center"/>
        </w:trPr>
        <w:tc>
          <w:tcPr>
            <w:tcW w:w="0" w:type="auto"/>
            <w:tcBorders>
              <w:bottom w:val="none" w:sz="0" w:space="0" w:color="auto"/>
            </w:tcBorders>
          </w:tcPr>
          <w:p w:rsidR="001F4AD7" w:rsidRPr="00213F98" w:rsidRDefault="001F4AD7" w:rsidP="00213F98">
            <w:pPr>
              <w:pStyle w:val="Compact"/>
              <w:spacing w:before="0" w:after="0" w:line="360" w:lineRule="auto"/>
              <w:rPr>
                <w:rFonts w:ascii="仿宋" w:eastAsia="仿宋" w:hAnsi="仿宋"/>
                <w:b/>
                <w:color w:val="000000" w:themeColor="text1"/>
              </w:rPr>
            </w:pPr>
            <w:r w:rsidRPr="00213F98">
              <w:rPr>
                <w:rFonts w:ascii="仿宋" w:eastAsia="仿宋" w:hAnsi="仿宋"/>
                <w:b/>
                <w:color w:val="000000" w:themeColor="text1"/>
              </w:rPr>
              <w:t>阶段</w:t>
            </w:r>
          </w:p>
        </w:tc>
        <w:tc>
          <w:tcPr>
            <w:tcW w:w="0" w:type="auto"/>
            <w:tcBorders>
              <w:bottom w:val="none" w:sz="0" w:space="0" w:color="auto"/>
            </w:tcBorders>
          </w:tcPr>
          <w:p w:rsidR="001F4AD7" w:rsidRPr="00213F98" w:rsidRDefault="001F4AD7" w:rsidP="00213F98">
            <w:pPr>
              <w:pStyle w:val="Compact"/>
              <w:spacing w:before="0" w:after="0" w:line="360" w:lineRule="auto"/>
              <w:rPr>
                <w:rFonts w:ascii="仿宋" w:eastAsia="仿宋" w:hAnsi="仿宋"/>
                <w:b/>
                <w:color w:val="000000" w:themeColor="text1"/>
              </w:rPr>
            </w:pPr>
            <w:r w:rsidRPr="00213F98">
              <w:rPr>
                <w:rFonts w:ascii="仿宋" w:eastAsia="仿宋" w:hAnsi="仿宋"/>
                <w:b/>
                <w:color w:val="000000" w:themeColor="text1"/>
              </w:rPr>
              <w:t>时间</w:t>
            </w:r>
          </w:p>
        </w:tc>
        <w:tc>
          <w:tcPr>
            <w:tcW w:w="0" w:type="auto"/>
            <w:tcBorders>
              <w:bottom w:val="none" w:sz="0" w:space="0" w:color="auto"/>
            </w:tcBorders>
          </w:tcPr>
          <w:p w:rsidR="001F4AD7" w:rsidRPr="00213F98" w:rsidRDefault="001F4AD7" w:rsidP="00213F98">
            <w:pPr>
              <w:pStyle w:val="Compact"/>
              <w:spacing w:before="0" w:after="0" w:line="360" w:lineRule="auto"/>
              <w:rPr>
                <w:rFonts w:ascii="仿宋" w:eastAsia="仿宋" w:hAnsi="仿宋"/>
                <w:b/>
                <w:color w:val="000000" w:themeColor="text1"/>
              </w:rPr>
            </w:pPr>
            <w:r w:rsidRPr="00213F98">
              <w:rPr>
                <w:rFonts w:ascii="仿宋" w:eastAsia="仿宋" w:hAnsi="仿宋"/>
                <w:b/>
                <w:color w:val="000000" w:themeColor="text1"/>
              </w:rPr>
              <w:t>期初份额</w:t>
            </w:r>
          </w:p>
        </w:tc>
        <w:tc>
          <w:tcPr>
            <w:tcW w:w="0" w:type="auto"/>
            <w:tcBorders>
              <w:bottom w:val="none" w:sz="0" w:space="0" w:color="auto"/>
            </w:tcBorders>
          </w:tcPr>
          <w:p w:rsidR="001F4AD7" w:rsidRPr="00213F98" w:rsidRDefault="001F4AD7" w:rsidP="00213F98">
            <w:pPr>
              <w:pStyle w:val="Compact"/>
              <w:spacing w:before="0" w:after="0" w:line="360" w:lineRule="auto"/>
              <w:rPr>
                <w:rFonts w:ascii="仿宋" w:eastAsia="仿宋" w:hAnsi="仿宋"/>
                <w:b/>
                <w:color w:val="000000" w:themeColor="text1"/>
              </w:rPr>
            </w:pPr>
            <w:r w:rsidRPr="00213F98">
              <w:rPr>
                <w:rFonts w:ascii="仿宋" w:eastAsia="仿宋" w:hAnsi="仿宋"/>
                <w:b/>
                <w:color w:val="000000" w:themeColor="text1"/>
              </w:rPr>
              <w:t>期末份额</w:t>
            </w:r>
          </w:p>
        </w:tc>
        <w:tc>
          <w:tcPr>
            <w:tcW w:w="0" w:type="auto"/>
            <w:tcBorders>
              <w:bottom w:val="none" w:sz="0" w:space="0" w:color="auto"/>
            </w:tcBorders>
          </w:tcPr>
          <w:p w:rsidR="001F4AD7" w:rsidRPr="00213F98" w:rsidRDefault="001F4AD7" w:rsidP="00213F98">
            <w:pPr>
              <w:pStyle w:val="Compact"/>
              <w:spacing w:before="0" w:after="0" w:line="360" w:lineRule="auto"/>
              <w:rPr>
                <w:rFonts w:ascii="仿宋" w:eastAsia="仿宋" w:hAnsi="仿宋"/>
                <w:b/>
                <w:color w:val="000000" w:themeColor="text1"/>
              </w:rPr>
            </w:pPr>
            <w:r w:rsidRPr="00213F98">
              <w:rPr>
                <w:rFonts w:ascii="仿宋" w:eastAsia="仿宋" w:hAnsi="仿宋"/>
                <w:b/>
                <w:color w:val="000000" w:themeColor="text1"/>
              </w:rPr>
              <w:t>增幅</w:t>
            </w:r>
          </w:p>
        </w:tc>
      </w:tr>
      <w:tr w:rsidR="00213F98" w:rsidRPr="00213F98" w:rsidTr="00213F98">
        <w:trPr>
          <w:trHeight w:val="470"/>
          <w:jc w:val="center"/>
        </w:trPr>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成立初期</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2020Q4</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51.23亿</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86.77亿</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+69.4%</w:t>
            </w:r>
          </w:p>
        </w:tc>
      </w:tr>
      <w:tr w:rsidR="00213F98" w:rsidRPr="00213F98" w:rsidTr="00213F98">
        <w:trPr>
          <w:trHeight w:val="464"/>
          <w:jc w:val="center"/>
        </w:trPr>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稳步增长</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2021-2022</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86.77亿</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507.85亿</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+485%</w:t>
            </w:r>
          </w:p>
        </w:tc>
      </w:tr>
      <w:tr w:rsidR="00213F98" w:rsidRPr="00213F98" w:rsidTr="00213F98">
        <w:trPr>
          <w:trHeight w:val="470"/>
          <w:jc w:val="center"/>
        </w:trPr>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爆发增长</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2023</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507.85亿</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1040.83亿</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+105%</w:t>
            </w:r>
          </w:p>
        </w:tc>
      </w:tr>
      <w:tr w:rsidR="00213F98" w:rsidRPr="00213F98" w:rsidTr="00213F98">
        <w:trPr>
          <w:trHeight w:val="464"/>
          <w:jc w:val="center"/>
        </w:trPr>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高位震荡</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2024-2026Q1</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1040.83亿</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517.89亿</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-50.2%</w:t>
            </w:r>
          </w:p>
        </w:tc>
      </w:tr>
    </w:tbl>
    <w:p w:rsidR="001F4AD7" w:rsidRPr="00213F98" w:rsidRDefault="001F4AD7" w:rsidP="00213F98">
      <w:pPr>
        <w:pStyle w:val="a0"/>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color w:val="000000" w:themeColor="text1"/>
          <w:lang w:eastAsia="zh-CN"/>
        </w:rPr>
        <w:t>表2显示，华夏科创50ETF用不足三年时间从51亿份增长至1040亿份，规模扩张速度远超行业平均水平。2023年后的份额回落主要由标的指数（科创50指数）下跌引发，属系统性风险而非基金个体问题，指数基金规模与标的指数表现高度同步。</w:t>
      </w:r>
    </w:p>
    <w:p w:rsidR="001F4AD7" w:rsidRPr="00213F98" w:rsidRDefault="001F4AD7" w:rsidP="00213F98">
      <w:pPr>
        <w:pStyle w:val="2"/>
        <w:spacing w:line="360" w:lineRule="auto"/>
        <w:rPr>
          <w:rFonts w:ascii="仿宋" w:eastAsia="仿宋" w:hAnsi="仿宋"/>
          <w:color w:val="000000" w:themeColor="text1"/>
          <w:sz w:val="24"/>
          <w:szCs w:val="24"/>
          <w:lang w:eastAsia="zh-CN"/>
        </w:rPr>
      </w:pPr>
      <w:bookmarkStart w:id="8" w:name="快速扩张期识别"/>
      <w:bookmarkEnd w:id="7"/>
      <w:r w:rsidRPr="00213F98">
        <w:rPr>
          <w:rFonts w:ascii="仿宋" w:eastAsia="仿宋" w:hAnsi="仿宋"/>
          <w:color w:val="000000" w:themeColor="text1"/>
          <w:sz w:val="24"/>
          <w:szCs w:val="24"/>
          <w:lang w:eastAsia="zh-CN"/>
        </w:rPr>
        <w:t>2</w:t>
      </w:r>
      <w:r w:rsidRPr="00213F98">
        <w:rPr>
          <w:rFonts w:ascii="仿宋" w:eastAsia="仿宋" w:hAnsi="仿宋" w:hint="eastAsia"/>
          <w:color w:val="000000" w:themeColor="text1"/>
          <w:sz w:val="24"/>
          <w:szCs w:val="24"/>
          <w:lang w:eastAsia="zh-CN"/>
        </w:rPr>
        <w:t>、</w:t>
      </w:r>
      <w:r w:rsidRPr="00213F98">
        <w:rPr>
          <w:rFonts w:ascii="仿宋" w:eastAsia="仿宋" w:hAnsi="仿宋"/>
          <w:color w:val="000000" w:themeColor="text1"/>
          <w:sz w:val="24"/>
          <w:szCs w:val="24"/>
          <w:lang w:eastAsia="zh-CN"/>
        </w:rPr>
        <w:t>快速扩张期识别</w:t>
      </w:r>
    </w:p>
    <w:p w:rsidR="001F4AD7" w:rsidRPr="00213F98" w:rsidRDefault="001F4AD7" w:rsidP="00213F98">
      <w:pPr>
        <w:pStyle w:val="FirstParagraph"/>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color w:val="000000" w:themeColor="text1"/>
          <w:lang w:eastAsia="zh-CN"/>
        </w:rPr>
        <w:t>全样本共出现5个快速扩张期（季度份额增幅&gt;30%）：2020Q4（+143.87%）、2021Q1（+62.48%）、2022Q1（+39.77%）、2022Q4（+69.87%）、2023Q3（+58.93%）。这5个季度中，3个发生在市场上涨阶段（2020Q4、2021Q1、2022Q4），2个发生在市场下跌中的逆势加仓阶段（2022Q1、2023Q3）。快速扩张期的市场背景差异为检验规模效应提供了丰富的变异来源。</w:t>
      </w:r>
    </w:p>
    <w:p w:rsidR="001F4AD7" w:rsidRPr="00213F98" w:rsidRDefault="001F4AD7" w:rsidP="00213F98">
      <w:pPr>
        <w:pStyle w:val="1"/>
        <w:spacing w:line="360" w:lineRule="auto"/>
        <w:rPr>
          <w:rFonts w:ascii="仿宋" w:eastAsia="仿宋" w:hAnsi="仿宋"/>
          <w:color w:val="000000" w:themeColor="text1"/>
          <w:sz w:val="24"/>
          <w:szCs w:val="24"/>
          <w:lang w:eastAsia="zh-CN"/>
        </w:rPr>
      </w:pPr>
      <w:bookmarkStart w:id="9" w:name="实证分析"/>
      <w:bookmarkEnd w:id="6"/>
      <w:bookmarkEnd w:id="8"/>
      <w:r w:rsidRPr="00213F98">
        <w:rPr>
          <w:rFonts w:ascii="仿宋" w:eastAsia="仿宋" w:hAnsi="仿宋" w:hint="eastAsia"/>
          <w:color w:val="000000" w:themeColor="text1"/>
          <w:sz w:val="24"/>
          <w:szCs w:val="24"/>
          <w:lang w:eastAsia="zh-CN"/>
        </w:rPr>
        <w:t>四、</w:t>
      </w:r>
      <w:r w:rsidRPr="00213F98">
        <w:rPr>
          <w:rFonts w:ascii="仿宋" w:eastAsia="仿宋" w:hAnsi="仿宋"/>
          <w:color w:val="000000" w:themeColor="text1"/>
          <w:sz w:val="24"/>
          <w:szCs w:val="24"/>
          <w:lang w:eastAsia="zh-CN"/>
        </w:rPr>
        <w:t>实证分析</w:t>
      </w:r>
    </w:p>
    <w:p w:rsidR="001F4AD7" w:rsidRPr="00213F98" w:rsidRDefault="001F4AD7" w:rsidP="00213F98">
      <w:pPr>
        <w:pStyle w:val="2"/>
        <w:spacing w:line="360" w:lineRule="auto"/>
        <w:rPr>
          <w:rFonts w:ascii="仿宋" w:eastAsia="仿宋" w:hAnsi="仿宋"/>
          <w:color w:val="000000" w:themeColor="text1"/>
          <w:sz w:val="24"/>
          <w:szCs w:val="24"/>
          <w:lang w:eastAsia="zh-CN"/>
        </w:rPr>
      </w:pPr>
      <w:bookmarkStart w:id="10" w:name="线性关系检验"/>
      <w:r w:rsidRPr="00213F98">
        <w:rPr>
          <w:rFonts w:ascii="仿宋" w:eastAsia="仿宋" w:hAnsi="仿宋"/>
          <w:color w:val="000000" w:themeColor="text1"/>
          <w:sz w:val="24"/>
          <w:szCs w:val="24"/>
          <w:lang w:eastAsia="zh-CN"/>
        </w:rPr>
        <w:t>1</w:t>
      </w:r>
      <w:r w:rsidRPr="00213F98">
        <w:rPr>
          <w:rFonts w:ascii="仿宋" w:eastAsia="仿宋" w:hAnsi="仿宋" w:hint="eastAsia"/>
          <w:color w:val="000000" w:themeColor="text1"/>
          <w:sz w:val="24"/>
          <w:szCs w:val="24"/>
          <w:lang w:eastAsia="zh-CN"/>
        </w:rPr>
        <w:t>、</w:t>
      </w:r>
      <w:r w:rsidRPr="00213F98">
        <w:rPr>
          <w:rFonts w:ascii="仿宋" w:eastAsia="仿宋" w:hAnsi="仿宋"/>
          <w:color w:val="000000" w:themeColor="text1"/>
          <w:sz w:val="24"/>
          <w:szCs w:val="24"/>
          <w:lang w:eastAsia="zh-CN"/>
        </w:rPr>
        <w:t>线性关系检验</w:t>
      </w:r>
    </w:p>
    <w:p w:rsidR="001F4AD7" w:rsidRPr="00213F98" w:rsidRDefault="001F4AD7" w:rsidP="00213F98">
      <w:pPr>
        <w:pStyle w:val="FirstParagraph"/>
        <w:spacing w:before="0" w:after="40" w:line="360" w:lineRule="auto"/>
        <w:ind w:firstLineChars="200" w:firstLine="480"/>
        <w:rPr>
          <w:rFonts w:ascii="仿宋" w:eastAsia="仿宋" w:hAnsi="仿宋"/>
          <w:color w:val="000000" w:themeColor="text1"/>
        </w:rPr>
      </w:pPr>
      <w:r w:rsidRPr="00213F98">
        <w:rPr>
          <w:rFonts w:ascii="仿宋" w:eastAsia="仿宋" w:hAnsi="仿宋"/>
          <w:color w:val="000000" w:themeColor="text1"/>
        </w:rPr>
        <w:t>表3报告份额水平（shares_eoy）和份额变化率（shares_change_pct）与未来不同期限收益率的Pearson相关系数。</w:t>
      </w:r>
    </w:p>
    <w:p w:rsidR="001F4AD7" w:rsidRPr="00213F98" w:rsidRDefault="001F4AD7" w:rsidP="00213F98">
      <w:pPr>
        <w:pStyle w:val="a0"/>
        <w:spacing w:before="0" w:after="40" w:line="360" w:lineRule="auto"/>
        <w:jc w:val="center"/>
        <w:rPr>
          <w:rFonts w:ascii="仿宋" w:eastAsia="仿宋" w:hAnsi="仿宋"/>
          <w:color w:val="000000" w:themeColor="text1"/>
        </w:rPr>
      </w:pPr>
      <w:r w:rsidRPr="00213F98">
        <w:rPr>
          <w:rFonts w:ascii="仿宋" w:eastAsia="仿宋" w:hAnsi="仿宋"/>
          <w:b/>
          <w:bCs/>
          <w:color w:val="000000" w:themeColor="text1"/>
        </w:rPr>
        <w:t>表3 相关系数矩阵</w:t>
      </w:r>
    </w:p>
    <w:tbl>
      <w:tblPr>
        <w:tblStyle w:val="Table"/>
        <w:tblW w:w="8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724"/>
        <w:gridCol w:w="1724"/>
        <w:gridCol w:w="1724"/>
        <w:gridCol w:w="1724"/>
        <w:gridCol w:w="1724"/>
      </w:tblGrid>
      <w:tr w:rsidR="00213F98" w:rsidRPr="00213F98" w:rsidTr="00213F98">
        <w:trPr>
          <w:cnfStyle w:val="100000000000" w:firstRow="1" w:lastRow="0" w:firstColumn="0" w:lastColumn="0" w:oddVBand="0" w:evenVBand="0" w:oddHBand="0" w:evenHBand="0" w:firstRowFirstColumn="0" w:firstRowLastColumn="0" w:lastRowFirstColumn="0" w:lastRowLastColumn="0"/>
          <w:trHeight w:val="513"/>
          <w:tblHeader/>
          <w:jc w:val="center"/>
        </w:trPr>
        <w:tc>
          <w:tcPr>
            <w:tcW w:w="0" w:type="auto"/>
            <w:tcBorders>
              <w:bottom w:val="none" w:sz="0" w:space="0" w:color="auto"/>
            </w:tcBorders>
          </w:tcPr>
          <w:p w:rsidR="001F4AD7" w:rsidRPr="00213F98" w:rsidRDefault="001F4AD7" w:rsidP="00213F98">
            <w:pPr>
              <w:pStyle w:val="Compact"/>
              <w:spacing w:before="0" w:after="0" w:line="360" w:lineRule="auto"/>
              <w:rPr>
                <w:rFonts w:ascii="仿宋" w:eastAsia="仿宋" w:hAnsi="仿宋"/>
                <w:b/>
                <w:color w:val="000000" w:themeColor="text1"/>
              </w:rPr>
            </w:pPr>
            <w:r w:rsidRPr="00213F98">
              <w:rPr>
                <w:rFonts w:ascii="仿宋" w:eastAsia="仿宋" w:hAnsi="仿宋"/>
                <w:b/>
                <w:color w:val="000000" w:themeColor="text1"/>
              </w:rPr>
              <w:t>收益率期限</w:t>
            </w:r>
          </w:p>
        </w:tc>
        <w:tc>
          <w:tcPr>
            <w:tcW w:w="0" w:type="auto"/>
            <w:tcBorders>
              <w:bottom w:val="none" w:sz="0" w:space="0" w:color="auto"/>
            </w:tcBorders>
          </w:tcPr>
          <w:p w:rsidR="001F4AD7" w:rsidRPr="00213F98" w:rsidRDefault="001F4AD7" w:rsidP="00213F98">
            <w:pPr>
              <w:pStyle w:val="Compact"/>
              <w:spacing w:before="0" w:after="0" w:line="360" w:lineRule="auto"/>
              <w:rPr>
                <w:rFonts w:ascii="仿宋" w:eastAsia="仿宋" w:hAnsi="仿宋"/>
                <w:b/>
                <w:color w:val="000000" w:themeColor="text1"/>
              </w:rPr>
            </w:pPr>
            <w:r w:rsidRPr="00213F98">
              <w:rPr>
                <w:rFonts w:ascii="仿宋" w:eastAsia="仿宋" w:hAnsi="仿宋"/>
                <w:b/>
                <w:color w:val="000000" w:themeColor="text1"/>
              </w:rPr>
              <w:t>份额水平_r</w:t>
            </w:r>
          </w:p>
        </w:tc>
        <w:tc>
          <w:tcPr>
            <w:tcW w:w="0" w:type="auto"/>
            <w:tcBorders>
              <w:bottom w:val="none" w:sz="0" w:space="0" w:color="auto"/>
            </w:tcBorders>
          </w:tcPr>
          <w:p w:rsidR="001F4AD7" w:rsidRPr="00213F98" w:rsidRDefault="001F4AD7" w:rsidP="00213F98">
            <w:pPr>
              <w:pStyle w:val="Compact"/>
              <w:spacing w:before="0" w:after="0" w:line="360" w:lineRule="auto"/>
              <w:rPr>
                <w:rFonts w:ascii="仿宋" w:eastAsia="仿宋" w:hAnsi="仿宋"/>
                <w:b/>
                <w:color w:val="000000" w:themeColor="text1"/>
              </w:rPr>
            </w:pPr>
            <w:r w:rsidRPr="00213F98">
              <w:rPr>
                <w:rFonts w:ascii="仿宋" w:eastAsia="仿宋" w:hAnsi="仿宋"/>
                <w:b/>
                <w:color w:val="000000" w:themeColor="text1"/>
              </w:rPr>
              <w:t>份额水平_p</w:t>
            </w:r>
          </w:p>
        </w:tc>
        <w:tc>
          <w:tcPr>
            <w:tcW w:w="0" w:type="auto"/>
            <w:tcBorders>
              <w:bottom w:val="none" w:sz="0" w:space="0" w:color="auto"/>
            </w:tcBorders>
          </w:tcPr>
          <w:p w:rsidR="001F4AD7" w:rsidRPr="00213F98" w:rsidRDefault="001F4AD7" w:rsidP="00213F98">
            <w:pPr>
              <w:pStyle w:val="Compact"/>
              <w:spacing w:before="0" w:after="0" w:line="360" w:lineRule="auto"/>
              <w:rPr>
                <w:rFonts w:ascii="仿宋" w:eastAsia="仿宋" w:hAnsi="仿宋"/>
                <w:b/>
                <w:color w:val="000000" w:themeColor="text1"/>
              </w:rPr>
            </w:pPr>
            <w:r w:rsidRPr="00213F98">
              <w:rPr>
                <w:rFonts w:ascii="仿宋" w:eastAsia="仿宋" w:hAnsi="仿宋"/>
                <w:b/>
                <w:color w:val="000000" w:themeColor="text1"/>
              </w:rPr>
              <w:t>份额变化_r</w:t>
            </w:r>
          </w:p>
        </w:tc>
        <w:tc>
          <w:tcPr>
            <w:tcW w:w="0" w:type="auto"/>
            <w:tcBorders>
              <w:bottom w:val="none" w:sz="0" w:space="0" w:color="auto"/>
            </w:tcBorders>
          </w:tcPr>
          <w:p w:rsidR="001F4AD7" w:rsidRPr="00213F98" w:rsidRDefault="001F4AD7" w:rsidP="00213F98">
            <w:pPr>
              <w:pStyle w:val="Compact"/>
              <w:spacing w:before="0" w:after="0" w:line="360" w:lineRule="auto"/>
              <w:rPr>
                <w:rFonts w:ascii="仿宋" w:eastAsia="仿宋" w:hAnsi="仿宋"/>
                <w:b/>
                <w:color w:val="000000" w:themeColor="text1"/>
              </w:rPr>
            </w:pPr>
            <w:r w:rsidRPr="00213F98">
              <w:rPr>
                <w:rFonts w:ascii="仿宋" w:eastAsia="仿宋" w:hAnsi="仿宋"/>
                <w:b/>
                <w:color w:val="000000" w:themeColor="text1"/>
              </w:rPr>
              <w:t>份额变化_p</w:t>
            </w:r>
          </w:p>
        </w:tc>
      </w:tr>
      <w:tr w:rsidR="00213F98" w:rsidRPr="00213F98" w:rsidTr="00213F98">
        <w:trPr>
          <w:trHeight w:val="519"/>
          <w:jc w:val="center"/>
        </w:trPr>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未来90天</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0.23</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0.29</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0.06</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0.79</w:t>
            </w:r>
          </w:p>
        </w:tc>
      </w:tr>
      <w:tr w:rsidR="00213F98" w:rsidRPr="00213F98" w:rsidTr="00213F98">
        <w:trPr>
          <w:trHeight w:val="513"/>
          <w:jc w:val="center"/>
        </w:trPr>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未来180天</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0.37</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0.09</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0.03</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0.89</w:t>
            </w:r>
          </w:p>
        </w:tc>
      </w:tr>
      <w:tr w:rsidR="00213F98" w:rsidRPr="00213F98" w:rsidTr="00213F98">
        <w:trPr>
          <w:trHeight w:val="519"/>
          <w:jc w:val="center"/>
        </w:trPr>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未来252天</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0.37</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0.09</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-0.19</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0.41</w:t>
            </w:r>
          </w:p>
        </w:tc>
      </w:tr>
    </w:tbl>
    <w:p w:rsidR="001F4AD7" w:rsidRPr="00213F98" w:rsidRDefault="001F4AD7" w:rsidP="00213F98">
      <w:pPr>
        <w:pStyle w:val="a0"/>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color w:val="000000" w:themeColor="text1"/>
          <w:lang w:eastAsia="zh-CN"/>
        </w:rPr>
        <w:t>表3揭示三个关键事实。其一，份额水平与收益率的相关系数为正（180天：r=0.37），方向与”规模诅咒”假说完全相反——规模越大的季度，其后180天收益率倾向</w:t>
      </w:r>
      <w:r w:rsidRPr="00213F98">
        <w:rPr>
          <w:rFonts w:ascii="仿宋" w:eastAsia="仿宋" w:hAnsi="仿宋"/>
          <w:color w:val="000000" w:themeColor="text1"/>
          <w:lang w:eastAsia="zh-CN"/>
        </w:rPr>
        <w:lastRenderedPageBreak/>
        <w:t>于越高。其二，统计显著性处于边际水平（p=0.09），24个季度的小样本使p值对效应量较为敏感，但r=0.37的效应量在中等偏上区间。其三，份额变化率与收益率几乎无关（r=0.03, p=0.89），规模扩张速度本身不预测未来收益，这一结果直接削弱了”规模诅咒”的核心逻辑。</w:t>
      </w:r>
    </w:p>
    <w:p w:rsidR="001F4AD7" w:rsidRPr="00213F98" w:rsidRDefault="001F4AD7" w:rsidP="00213F98">
      <w:pPr>
        <w:pStyle w:val="2"/>
        <w:spacing w:line="360" w:lineRule="auto"/>
        <w:rPr>
          <w:rFonts w:ascii="仿宋" w:eastAsia="仿宋" w:hAnsi="仿宋"/>
          <w:color w:val="000000" w:themeColor="text1"/>
          <w:sz w:val="24"/>
          <w:szCs w:val="24"/>
          <w:lang w:eastAsia="zh-CN"/>
        </w:rPr>
      </w:pPr>
      <w:bookmarkStart w:id="11" w:name="非线性关系检验"/>
      <w:bookmarkEnd w:id="10"/>
      <w:r w:rsidRPr="00213F98">
        <w:rPr>
          <w:rFonts w:ascii="仿宋" w:eastAsia="仿宋" w:hAnsi="仿宋"/>
          <w:color w:val="000000" w:themeColor="text1"/>
          <w:sz w:val="24"/>
          <w:szCs w:val="24"/>
          <w:lang w:eastAsia="zh-CN"/>
        </w:rPr>
        <w:t>2</w:t>
      </w:r>
      <w:r w:rsidRPr="00213F98">
        <w:rPr>
          <w:rFonts w:ascii="仿宋" w:eastAsia="仿宋" w:hAnsi="仿宋" w:hint="eastAsia"/>
          <w:color w:val="000000" w:themeColor="text1"/>
          <w:sz w:val="24"/>
          <w:szCs w:val="24"/>
          <w:lang w:eastAsia="zh-CN"/>
        </w:rPr>
        <w:t>、</w:t>
      </w:r>
      <w:r w:rsidRPr="00213F98">
        <w:rPr>
          <w:rFonts w:ascii="仿宋" w:eastAsia="仿宋" w:hAnsi="仿宋"/>
          <w:color w:val="000000" w:themeColor="text1"/>
          <w:sz w:val="24"/>
          <w:szCs w:val="24"/>
          <w:lang w:eastAsia="zh-CN"/>
        </w:rPr>
        <w:t xml:space="preserve"> 非线性关系检验</w:t>
      </w:r>
    </w:p>
    <w:p w:rsidR="001F4AD7" w:rsidRPr="00213F98" w:rsidRDefault="001F4AD7" w:rsidP="00213F98">
      <w:pPr>
        <w:pStyle w:val="FirstParagraph"/>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color w:val="000000" w:themeColor="text1"/>
          <w:lang w:eastAsia="zh-CN"/>
        </w:rPr>
        <w:t>多项式回归结果见表4。三次模型R</w:t>
      </w:r>
      <w:r w:rsidRPr="00213F98">
        <w:rPr>
          <w:rFonts w:ascii="Calibri" w:eastAsia="仿宋" w:hAnsi="Calibri" w:cs="Calibri"/>
          <w:color w:val="000000" w:themeColor="text1"/>
          <w:lang w:eastAsia="zh-CN"/>
        </w:rPr>
        <w:t>²</w:t>
      </w:r>
      <w:r w:rsidRPr="00213F98">
        <w:rPr>
          <w:rFonts w:ascii="仿宋" w:eastAsia="仿宋" w:hAnsi="仿宋"/>
          <w:color w:val="000000" w:themeColor="text1"/>
          <w:lang w:eastAsia="zh-CN"/>
        </w:rPr>
        <w:t>=0.313，较线性模型（R</w:t>
      </w:r>
      <w:r w:rsidRPr="00213F98">
        <w:rPr>
          <w:rFonts w:ascii="Calibri" w:eastAsia="仿宋" w:hAnsi="Calibri" w:cs="Calibri"/>
          <w:color w:val="000000" w:themeColor="text1"/>
          <w:lang w:eastAsia="zh-CN"/>
        </w:rPr>
        <w:t>²</w:t>
      </w:r>
      <w:r w:rsidRPr="00213F98">
        <w:rPr>
          <w:rFonts w:ascii="仿宋" w:eastAsia="仿宋" w:hAnsi="仿宋"/>
          <w:color w:val="000000" w:themeColor="text1"/>
          <w:lang w:eastAsia="zh-CN"/>
        </w:rPr>
        <w:t>=0.136）提升130%，新增解释力主要来源于三次项捕捉的S型曲线特征。</w:t>
      </w:r>
    </w:p>
    <w:p w:rsidR="001F4AD7" w:rsidRPr="00213F98" w:rsidRDefault="001F4AD7" w:rsidP="00213F98">
      <w:pPr>
        <w:pStyle w:val="a0"/>
        <w:spacing w:before="0" w:after="40" w:line="360" w:lineRule="auto"/>
        <w:jc w:val="center"/>
        <w:rPr>
          <w:rFonts w:ascii="仿宋" w:eastAsia="仿宋" w:hAnsi="仿宋"/>
          <w:color w:val="000000" w:themeColor="text1"/>
        </w:rPr>
      </w:pPr>
      <w:r w:rsidRPr="00213F98">
        <w:rPr>
          <w:rFonts w:ascii="仿宋" w:eastAsia="仿宋" w:hAnsi="仿宋"/>
          <w:b/>
          <w:bCs/>
          <w:color w:val="000000" w:themeColor="text1"/>
        </w:rPr>
        <w:t>表4 多项式回归结果</w:t>
      </w:r>
    </w:p>
    <w:tbl>
      <w:tblPr>
        <w:tblStyle w:val="Table"/>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09"/>
        <w:gridCol w:w="946"/>
        <w:gridCol w:w="6975"/>
      </w:tblGrid>
      <w:tr w:rsidR="00213F98" w:rsidRPr="00213F98" w:rsidTr="00213F98">
        <w:trPr>
          <w:cnfStyle w:val="100000000000" w:firstRow="1" w:lastRow="0" w:firstColumn="0" w:lastColumn="0" w:oddVBand="0" w:evenVBand="0" w:oddHBand="0" w:evenHBand="0" w:firstRowFirstColumn="0" w:firstRowLastColumn="0" w:lastRowFirstColumn="0" w:lastRowLastColumn="0"/>
          <w:trHeight w:val="460"/>
          <w:tblHeader/>
          <w:jc w:val="center"/>
        </w:trPr>
        <w:tc>
          <w:tcPr>
            <w:tcW w:w="0" w:type="auto"/>
            <w:tcBorders>
              <w:bottom w:val="none" w:sz="0" w:space="0" w:color="auto"/>
            </w:tcBorders>
          </w:tcPr>
          <w:p w:rsidR="001F4AD7" w:rsidRPr="00213F98" w:rsidRDefault="001F4AD7" w:rsidP="00213F98">
            <w:pPr>
              <w:pStyle w:val="Compact"/>
              <w:spacing w:before="0" w:after="0" w:line="360" w:lineRule="auto"/>
              <w:jc w:val="center"/>
              <w:rPr>
                <w:rFonts w:ascii="仿宋" w:eastAsia="仿宋" w:hAnsi="仿宋"/>
                <w:b/>
                <w:color w:val="000000" w:themeColor="text1"/>
              </w:rPr>
            </w:pPr>
            <w:r w:rsidRPr="00213F98">
              <w:rPr>
                <w:rFonts w:ascii="仿宋" w:eastAsia="仿宋" w:hAnsi="仿宋"/>
                <w:b/>
                <w:color w:val="000000" w:themeColor="text1"/>
              </w:rPr>
              <w:t>模型</w:t>
            </w:r>
          </w:p>
        </w:tc>
        <w:tc>
          <w:tcPr>
            <w:tcW w:w="0" w:type="auto"/>
            <w:tcBorders>
              <w:bottom w:val="none" w:sz="0" w:space="0" w:color="auto"/>
            </w:tcBorders>
          </w:tcPr>
          <w:p w:rsidR="001F4AD7" w:rsidRPr="00213F98" w:rsidRDefault="001F4AD7" w:rsidP="00213F98">
            <w:pPr>
              <w:pStyle w:val="Compact"/>
              <w:spacing w:before="0" w:after="0" w:line="360" w:lineRule="auto"/>
              <w:jc w:val="center"/>
              <w:rPr>
                <w:rFonts w:ascii="仿宋" w:eastAsia="仿宋" w:hAnsi="仿宋"/>
                <w:b/>
                <w:color w:val="000000" w:themeColor="text1"/>
              </w:rPr>
            </w:pPr>
            <w:r w:rsidRPr="00213F98">
              <w:rPr>
                <w:rFonts w:ascii="仿宋" w:eastAsia="仿宋" w:hAnsi="仿宋"/>
                <w:b/>
                <w:color w:val="000000" w:themeColor="text1"/>
              </w:rPr>
              <w:t>R</w:t>
            </w:r>
            <w:r w:rsidRPr="00213F98">
              <w:rPr>
                <w:rFonts w:ascii="Calibri" w:eastAsia="仿宋" w:hAnsi="Calibri" w:cs="Calibri"/>
                <w:b/>
                <w:color w:val="000000" w:themeColor="text1"/>
              </w:rPr>
              <w:t>²</w:t>
            </w:r>
          </w:p>
        </w:tc>
        <w:tc>
          <w:tcPr>
            <w:tcW w:w="0" w:type="auto"/>
            <w:tcBorders>
              <w:bottom w:val="none" w:sz="0" w:space="0" w:color="auto"/>
            </w:tcBorders>
          </w:tcPr>
          <w:p w:rsidR="001F4AD7" w:rsidRPr="00213F98" w:rsidRDefault="001F4AD7" w:rsidP="00213F98">
            <w:pPr>
              <w:pStyle w:val="Compact"/>
              <w:spacing w:before="0" w:after="0" w:line="360" w:lineRule="auto"/>
              <w:jc w:val="center"/>
              <w:rPr>
                <w:rFonts w:ascii="仿宋" w:eastAsia="仿宋" w:hAnsi="仿宋"/>
                <w:b/>
                <w:color w:val="000000" w:themeColor="text1"/>
              </w:rPr>
            </w:pPr>
            <w:r w:rsidRPr="00213F98">
              <w:rPr>
                <w:rFonts w:ascii="仿宋" w:eastAsia="仿宋" w:hAnsi="仿宋"/>
                <w:b/>
                <w:color w:val="000000" w:themeColor="text1"/>
              </w:rPr>
              <w:t>回归方程</w:t>
            </w:r>
          </w:p>
        </w:tc>
      </w:tr>
      <w:tr w:rsidR="00213F98" w:rsidRPr="00213F98" w:rsidTr="00213F98">
        <w:trPr>
          <w:trHeight w:val="466"/>
          <w:jc w:val="center"/>
        </w:trPr>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线性</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0.136</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y = 0.0205x - 9.40</w:t>
            </w:r>
          </w:p>
        </w:tc>
      </w:tr>
      <w:tr w:rsidR="00213F98" w:rsidRPr="00213F98" w:rsidTr="00213F98">
        <w:trPr>
          <w:trHeight w:val="460"/>
          <w:jc w:val="center"/>
        </w:trPr>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二次</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0.139</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y = -1.18×10</w:t>
            </w:r>
            <w:r w:rsidRPr="00213F98">
              <w:rPr>
                <w:rFonts w:ascii="MS Gothic" w:eastAsia="MS Gothic" w:hAnsi="MS Gothic" w:cs="MS Gothic" w:hint="eastAsia"/>
                <w:color w:val="000000" w:themeColor="text1"/>
              </w:rPr>
              <w:t>⁻⁵</w:t>
            </w:r>
            <w:r w:rsidRPr="00213F98">
              <w:rPr>
                <w:rFonts w:ascii="仿宋" w:eastAsia="仿宋" w:hAnsi="仿宋"/>
                <w:color w:val="000000" w:themeColor="text1"/>
              </w:rPr>
              <w:t>x</w:t>
            </w:r>
            <w:r w:rsidRPr="00213F98">
              <w:rPr>
                <w:rFonts w:ascii="Calibri" w:eastAsia="仿宋" w:hAnsi="Calibri" w:cs="Calibri"/>
                <w:color w:val="000000" w:themeColor="text1"/>
              </w:rPr>
              <w:t>²</w:t>
            </w:r>
            <w:r w:rsidRPr="00213F98">
              <w:rPr>
                <w:rFonts w:ascii="仿宋" w:eastAsia="仿宋" w:hAnsi="仿宋"/>
                <w:color w:val="000000" w:themeColor="text1"/>
              </w:rPr>
              <w:t xml:space="preserve"> + 0.0332x - 11.26</w:t>
            </w:r>
          </w:p>
        </w:tc>
      </w:tr>
      <w:tr w:rsidR="00213F98" w:rsidRPr="00213F98" w:rsidTr="00213F98">
        <w:trPr>
          <w:trHeight w:val="466"/>
          <w:jc w:val="center"/>
        </w:trPr>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三次</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0.313</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y = -3.98×10</w:t>
            </w:r>
            <w:r w:rsidRPr="00213F98">
              <w:rPr>
                <w:rFonts w:ascii="MS Gothic" w:eastAsia="MS Gothic" w:hAnsi="MS Gothic" w:cs="MS Gothic" w:hint="eastAsia"/>
                <w:color w:val="000000" w:themeColor="text1"/>
              </w:rPr>
              <w:t>⁻⁷</w:t>
            </w:r>
            <w:r w:rsidRPr="00213F98">
              <w:rPr>
                <w:rFonts w:ascii="仿宋" w:eastAsia="仿宋" w:hAnsi="仿宋"/>
                <w:color w:val="000000" w:themeColor="text1"/>
              </w:rPr>
              <w:t>x</w:t>
            </w:r>
            <w:r w:rsidRPr="00213F98">
              <w:rPr>
                <w:rFonts w:ascii="Calibri" w:eastAsia="仿宋" w:hAnsi="Calibri" w:cs="Calibri"/>
                <w:color w:val="000000" w:themeColor="text1"/>
              </w:rPr>
              <w:t>³</w:t>
            </w:r>
            <w:r w:rsidRPr="00213F98">
              <w:rPr>
                <w:rFonts w:ascii="仿宋" w:eastAsia="仿宋" w:hAnsi="仿宋"/>
                <w:color w:val="000000" w:themeColor="text1"/>
              </w:rPr>
              <w:t xml:space="preserve"> + 6.32</w:t>
            </w:r>
            <w:r w:rsidRPr="00213F98">
              <w:rPr>
                <w:rFonts w:ascii="仿宋" w:eastAsia="仿宋" w:hAnsi="仿宋" w:cs="仿宋" w:hint="eastAsia"/>
                <w:color w:val="000000" w:themeColor="text1"/>
              </w:rPr>
              <w:t>×</w:t>
            </w:r>
            <w:r w:rsidRPr="00213F98">
              <w:rPr>
                <w:rFonts w:ascii="仿宋" w:eastAsia="仿宋" w:hAnsi="仿宋"/>
                <w:color w:val="000000" w:themeColor="text1"/>
              </w:rPr>
              <w:t>10</w:t>
            </w:r>
            <w:r w:rsidRPr="00213F98">
              <w:rPr>
                <w:rFonts w:ascii="MS Gothic" w:eastAsia="MS Gothic" w:hAnsi="MS Gothic" w:cs="MS Gothic" w:hint="eastAsia"/>
                <w:color w:val="000000" w:themeColor="text1"/>
              </w:rPr>
              <w:t>⁻⁴</w:t>
            </w:r>
            <w:r w:rsidRPr="00213F98">
              <w:rPr>
                <w:rFonts w:ascii="仿宋" w:eastAsia="仿宋" w:hAnsi="仿宋"/>
                <w:color w:val="000000" w:themeColor="text1"/>
              </w:rPr>
              <w:t>x</w:t>
            </w:r>
            <w:r w:rsidRPr="00213F98">
              <w:rPr>
                <w:rFonts w:ascii="Calibri" w:eastAsia="仿宋" w:hAnsi="Calibri" w:cs="Calibri"/>
                <w:color w:val="000000" w:themeColor="text1"/>
              </w:rPr>
              <w:t>²</w:t>
            </w:r>
            <w:r w:rsidRPr="00213F98">
              <w:rPr>
                <w:rFonts w:ascii="仿宋" w:eastAsia="仿宋" w:hAnsi="仿宋"/>
                <w:color w:val="000000" w:themeColor="text1"/>
              </w:rPr>
              <w:t xml:space="preserve"> - 0.242x + 12.32</w:t>
            </w:r>
          </w:p>
        </w:tc>
      </w:tr>
    </w:tbl>
    <w:p w:rsidR="001F4AD7" w:rsidRPr="00213F98" w:rsidRDefault="001F4AD7" w:rsidP="00213F98">
      <w:pPr>
        <w:pStyle w:val="a0"/>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color w:val="000000" w:themeColor="text1"/>
          <w:lang w:eastAsia="zh-CN"/>
        </w:rPr>
        <w:t>表4显示，二次模型虽引入倒U型结构，但R</w:t>
      </w:r>
      <w:r w:rsidRPr="00213F98">
        <w:rPr>
          <w:rFonts w:ascii="Calibri" w:eastAsia="仿宋" w:hAnsi="Calibri" w:cs="Calibri"/>
          <w:color w:val="000000" w:themeColor="text1"/>
          <w:lang w:eastAsia="zh-CN"/>
        </w:rPr>
        <w:t>²</w:t>
      </w:r>
      <w:r w:rsidRPr="00213F98">
        <w:rPr>
          <w:rFonts w:ascii="仿宋" w:eastAsia="仿宋" w:hAnsi="仿宋"/>
          <w:color w:val="000000" w:themeColor="text1"/>
          <w:lang w:eastAsia="zh-CN"/>
        </w:rPr>
        <w:t>仅微增至0.139，说明二次项单独不足以刻画真实关系。三次模型R</w:t>
      </w:r>
      <w:r w:rsidRPr="00213F98">
        <w:rPr>
          <w:rFonts w:ascii="Calibri" w:eastAsia="仿宋" w:hAnsi="Calibri" w:cs="Calibri"/>
          <w:color w:val="000000" w:themeColor="text1"/>
          <w:lang w:eastAsia="zh-CN"/>
        </w:rPr>
        <w:t>²</w:t>
      </w:r>
      <w:r w:rsidRPr="00213F98">
        <w:rPr>
          <w:rFonts w:ascii="仿宋" w:eastAsia="仿宋" w:hAnsi="仿宋"/>
          <w:color w:val="000000" w:themeColor="text1"/>
          <w:lang w:eastAsia="zh-CN"/>
        </w:rPr>
        <w:t>跃升至0.313，表明份额与收益率的关系存在拐点变化。对三次方程求导并令一阶导数为零，得到两个临界点：约217亿份（局部极小值）和1403亿份（局部极大值）。样本峰值1040亿份尚未触及理论最优规模1403亿份。当前份额517亿份处于从局部极小值向极大值攀升的上升段，意味着在现有规模水平下继续扩容仍可能带来边际收益提升而非下降。这一结论的直觉解释是：大规模时期对应市场关注度提升、流动性改善、套利效率增强，这些正向效应在当前样本范围内尚未被负向冲击成本效应所超越。三次项系数为负（-3.98×10</w:t>
      </w:r>
      <w:r w:rsidRPr="00213F98">
        <w:rPr>
          <w:rFonts w:ascii="MS Gothic" w:eastAsia="MS Gothic" w:hAnsi="MS Gothic" w:cs="MS Gothic" w:hint="eastAsia"/>
          <w:color w:val="000000" w:themeColor="text1"/>
          <w:lang w:eastAsia="zh-CN"/>
        </w:rPr>
        <w:t>⁻⁷</w:t>
      </w:r>
      <w:r w:rsidRPr="00213F98">
        <w:rPr>
          <w:rFonts w:ascii="仿宋" w:eastAsia="仿宋" w:hAnsi="仿宋"/>
          <w:color w:val="000000" w:themeColor="text1"/>
          <w:lang w:eastAsia="zh-CN"/>
        </w:rPr>
        <w:t>），主导了曲线在高端处的下弯趋势，暗示当规模超过1403亿份后，边际收益将转为负值，这一机制与主动型基金的”规模诅咒”在本质上仍不相同——ETF的拐点来源于市场微观结构约束而非主动管理能力的耗散。</w:t>
      </w:r>
    </w:p>
    <w:p w:rsidR="001F4AD7" w:rsidRPr="00213F98" w:rsidRDefault="001F4AD7" w:rsidP="00213F98">
      <w:pPr>
        <w:pStyle w:val="2"/>
        <w:spacing w:line="360" w:lineRule="auto"/>
        <w:rPr>
          <w:rFonts w:ascii="仿宋" w:eastAsia="仿宋" w:hAnsi="仿宋"/>
          <w:color w:val="000000" w:themeColor="text1"/>
          <w:sz w:val="24"/>
          <w:szCs w:val="24"/>
          <w:lang w:eastAsia="zh-CN"/>
        </w:rPr>
      </w:pPr>
      <w:bookmarkStart w:id="12" w:name="规模区间比较"/>
      <w:bookmarkEnd w:id="11"/>
      <w:r w:rsidRPr="00213F98">
        <w:rPr>
          <w:rFonts w:ascii="仿宋" w:eastAsia="仿宋" w:hAnsi="仿宋"/>
          <w:color w:val="000000" w:themeColor="text1"/>
          <w:sz w:val="24"/>
          <w:szCs w:val="24"/>
          <w:lang w:eastAsia="zh-CN"/>
        </w:rPr>
        <w:t>3</w:t>
      </w:r>
      <w:r w:rsidRPr="00213F98">
        <w:rPr>
          <w:rFonts w:ascii="仿宋" w:eastAsia="仿宋" w:hAnsi="仿宋" w:hint="eastAsia"/>
          <w:color w:val="000000" w:themeColor="text1"/>
          <w:sz w:val="24"/>
          <w:szCs w:val="24"/>
          <w:lang w:eastAsia="zh-CN"/>
        </w:rPr>
        <w:t>、</w:t>
      </w:r>
      <w:r w:rsidRPr="00213F98">
        <w:rPr>
          <w:rFonts w:ascii="仿宋" w:eastAsia="仿宋" w:hAnsi="仿宋"/>
          <w:color w:val="000000" w:themeColor="text1"/>
          <w:sz w:val="24"/>
          <w:szCs w:val="24"/>
          <w:lang w:eastAsia="zh-CN"/>
        </w:rPr>
        <w:t>规模区间比较</w:t>
      </w:r>
    </w:p>
    <w:p w:rsidR="001F4AD7" w:rsidRPr="00213F98" w:rsidRDefault="001F4AD7" w:rsidP="00213F98">
      <w:pPr>
        <w:pStyle w:val="FirstParagraph"/>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color w:val="000000" w:themeColor="text1"/>
          <w:lang w:eastAsia="zh-CN"/>
        </w:rPr>
        <w:t>将24个季度按期末份额分为四组进行ANOVA分析，结果见表5。</w:t>
      </w:r>
    </w:p>
    <w:p w:rsidR="001F4AD7" w:rsidRPr="00213F98" w:rsidRDefault="001F4AD7" w:rsidP="00213F98">
      <w:pPr>
        <w:pStyle w:val="a0"/>
        <w:spacing w:before="0" w:after="40" w:line="360" w:lineRule="auto"/>
        <w:jc w:val="center"/>
        <w:rPr>
          <w:rFonts w:ascii="仿宋" w:eastAsia="仿宋" w:hAnsi="仿宋"/>
          <w:color w:val="000000" w:themeColor="text1"/>
        </w:rPr>
      </w:pPr>
      <w:r w:rsidRPr="00213F98">
        <w:rPr>
          <w:rFonts w:ascii="仿宋" w:eastAsia="仿宋" w:hAnsi="仿宋"/>
          <w:b/>
          <w:bCs/>
          <w:color w:val="000000" w:themeColor="text1"/>
        </w:rPr>
        <w:t>表5 规模区间收益率比较</w:t>
      </w:r>
    </w:p>
    <w:tbl>
      <w:tblPr>
        <w:tblStyle w:val="Table"/>
        <w:tblW w:w="74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26"/>
        <w:gridCol w:w="2208"/>
        <w:gridCol w:w="1459"/>
        <w:gridCol w:w="524"/>
      </w:tblGrid>
      <w:tr w:rsidR="00213F98" w:rsidRPr="00213F98" w:rsidTr="00213F98">
        <w:trPr>
          <w:cnfStyle w:val="100000000000" w:firstRow="1" w:lastRow="0" w:firstColumn="0" w:lastColumn="0" w:oddVBand="0" w:evenVBand="0" w:oddHBand="0" w:evenHBand="0" w:firstRowFirstColumn="0" w:firstRowLastColumn="0" w:lastRowFirstColumn="0" w:lastRowLastColumn="0"/>
          <w:trHeight w:val="365"/>
          <w:tblHeader/>
          <w:jc w:val="center"/>
        </w:trPr>
        <w:tc>
          <w:tcPr>
            <w:tcW w:w="0" w:type="auto"/>
            <w:tcBorders>
              <w:bottom w:val="none" w:sz="0" w:space="0" w:color="auto"/>
            </w:tcBorders>
          </w:tcPr>
          <w:p w:rsidR="001F4AD7" w:rsidRPr="00213F98" w:rsidRDefault="001F4AD7" w:rsidP="00213F98">
            <w:pPr>
              <w:pStyle w:val="Compact"/>
              <w:spacing w:before="0" w:after="0" w:line="360" w:lineRule="auto"/>
              <w:jc w:val="center"/>
              <w:rPr>
                <w:rFonts w:ascii="仿宋" w:eastAsia="仿宋" w:hAnsi="仿宋"/>
                <w:b/>
                <w:color w:val="000000" w:themeColor="text1"/>
              </w:rPr>
            </w:pPr>
            <w:r w:rsidRPr="00213F98">
              <w:rPr>
                <w:rFonts w:ascii="仿宋" w:eastAsia="仿宋" w:hAnsi="仿宋"/>
                <w:b/>
                <w:color w:val="000000" w:themeColor="text1"/>
              </w:rPr>
              <w:t>规模区间</w:t>
            </w:r>
          </w:p>
        </w:tc>
        <w:tc>
          <w:tcPr>
            <w:tcW w:w="0" w:type="auto"/>
            <w:tcBorders>
              <w:bottom w:val="none" w:sz="0" w:space="0" w:color="auto"/>
            </w:tcBorders>
          </w:tcPr>
          <w:p w:rsidR="001F4AD7" w:rsidRPr="00213F98" w:rsidRDefault="001F4AD7" w:rsidP="00213F98">
            <w:pPr>
              <w:pStyle w:val="Compact"/>
              <w:spacing w:before="0" w:after="0" w:line="360" w:lineRule="auto"/>
              <w:jc w:val="center"/>
              <w:rPr>
                <w:rFonts w:ascii="仿宋" w:eastAsia="仿宋" w:hAnsi="仿宋"/>
                <w:b/>
                <w:color w:val="000000" w:themeColor="text1"/>
              </w:rPr>
            </w:pPr>
            <w:r w:rsidRPr="00213F98">
              <w:rPr>
                <w:rFonts w:ascii="仿宋" w:eastAsia="仿宋" w:hAnsi="仿宋"/>
                <w:b/>
                <w:color w:val="000000" w:themeColor="text1"/>
              </w:rPr>
              <w:t>平均收益率</w:t>
            </w:r>
          </w:p>
        </w:tc>
        <w:tc>
          <w:tcPr>
            <w:tcW w:w="0" w:type="auto"/>
            <w:tcBorders>
              <w:bottom w:val="none" w:sz="0" w:space="0" w:color="auto"/>
            </w:tcBorders>
          </w:tcPr>
          <w:p w:rsidR="001F4AD7" w:rsidRPr="00213F98" w:rsidRDefault="001F4AD7" w:rsidP="00213F98">
            <w:pPr>
              <w:pStyle w:val="Compact"/>
              <w:spacing w:before="0" w:after="0" w:line="360" w:lineRule="auto"/>
              <w:jc w:val="center"/>
              <w:rPr>
                <w:rFonts w:ascii="仿宋" w:eastAsia="仿宋" w:hAnsi="仿宋"/>
                <w:b/>
                <w:color w:val="000000" w:themeColor="text1"/>
              </w:rPr>
            </w:pPr>
            <w:r w:rsidRPr="00213F98">
              <w:rPr>
                <w:rFonts w:ascii="仿宋" w:eastAsia="仿宋" w:hAnsi="仿宋"/>
                <w:b/>
                <w:color w:val="000000" w:themeColor="text1"/>
              </w:rPr>
              <w:t>标准差</w:t>
            </w:r>
          </w:p>
        </w:tc>
        <w:tc>
          <w:tcPr>
            <w:tcW w:w="0" w:type="auto"/>
            <w:tcBorders>
              <w:bottom w:val="none" w:sz="0" w:space="0" w:color="auto"/>
            </w:tcBorders>
          </w:tcPr>
          <w:p w:rsidR="001F4AD7" w:rsidRPr="00213F98" w:rsidRDefault="001F4AD7" w:rsidP="00213F98">
            <w:pPr>
              <w:pStyle w:val="Compact"/>
              <w:spacing w:before="0" w:after="0" w:line="360" w:lineRule="auto"/>
              <w:jc w:val="center"/>
              <w:rPr>
                <w:rFonts w:ascii="仿宋" w:eastAsia="仿宋" w:hAnsi="仿宋"/>
                <w:b/>
                <w:color w:val="000000" w:themeColor="text1"/>
              </w:rPr>
            </w:pPr>
            <w:r w:rsidRPr="00213F98">
              <w:rPr>
                <w:rFonts w:ascii="仿宋" w:eastAsia="仿宋" w:hAnsi="仿宋"/>
                <w:b/>
                <w:color w:val="000000" w:themeColor="text1"/>
              </w:rPr>
              <w:t>n</w:t>
            </w:r>
          </w:p>
        </w:tc>
      </w:tr>
      <w:tr w:rsidR="00213F98" w:rsidRPr="00213F98" w:rsidTr="00213F98">
        <w:trPr>
          <w:trHeight w:val="369"/>
          <w:jc w:val="center"/>
        </w:trPr>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小（&lt;150亿份）</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-4.22%</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13.71%</w:t>
            </w:r>
          </w:p>
        </w:tc>
        <w:tc>
          <w:tcPr>
            <w:tcW w:w="0" w:type="auto"/>
          </w:tcPr>
          <w:p w:rsidR="001F4AD7" w:rsidRPr="00213F98" w:rsidRDefault="001F4AD7" w:rsidP="00213F98">
            <w:pPr>
              <w:pStyle w:val="Compact"/>
              <w:spacing w:before="0" w:after="0" w:line="360" w:lineRule="auto"/>
              <w:jc w:val="center"/>
              <w:rPr>
                <w:rFonts w:ascii="仿宋" w:eastAsia="仿宋" w:hAnsi="仿宋"/>
                <w:color w:val="000000" w:themeColor="text1"/>
              </w:rPr>
            </w:pPr>
            <w:r w:rsidRPr="00213F98">
              <w:rPr>
                <w:rFonts w:ascii="仿宋" w:eastAsia="仿宋" w:hAnsi="仿宋"/>
                <w:color w:val="000000" w:themeColor="text1"/>
              </w:rPr>
              <w:t>6</w:t>
            </w:r>
          </w:p>
        </w:tc>
      </w:tr>
      <w:tr w:rsidR="00213F98" w:rsidRPr="00213F98" w:rsidTr="00213F98">
        <w:trPr>
          <w:trHeight w:val="365"/>
          <w:jc w:val="center"/>
        </w:trPr>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lastRenderedPageBreak/>
              <w:t>中（150-300亿）</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-7.99%</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14.34%</w:t>
            </w:r>
          </w:p>
        </w:tc>
        <w:tc>
          <w:tcPr>
            <w:tcW w:w="0" w:type="auto"/>
          </w:tcPr>
          <w:p w:rsidR="001F4AD7" w:rsidRPr="00213F98" w:rsidRDefault="001F4AD7" w:rsidP="00213F98">
            <w:pPr>
              <w:pStyle w:val="Compact"/>
              <w:spacing w:before="0" w:after="0" w:line="360" w:lineRule="auto"/>
              <w:jc w:val="center"/>
              <w:rPr>
                <w:rFonts w:ascii="仿宋" w:eastAsia="仿宋" w:hAnsi="仿宋"/>
                <w:color w:val="000000" w:themeColor="text1"/>
              </w:rPr>
            </w:pPr>
            <w:r w:rsidRPr="00213F98">
              <w:rPr>
                <w:rFonts w:ascii="仿宋" w:eastAsia="仿宋" w:hAnsi="仿宋"/>
                <w:color w:val="000000" w:themeColor="text1"/>
              </w:rPr>
              <w:t>4</w:t>
            </w:r>
          </w:p>
        </w:tc>
      </w:tr>
      <w:tr w:rsidR="00213F98" w:rsidRPr="00213F98" w:rsidTr="00213F98">
        <w:trPr>
          <w:trHeight w:val="365"/>
          <w:jc w:val="center"/>
        </w:trPr>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大（300-600亿）</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-9.34%</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11.01%</w:t>
            </w:r>
          </w:p>
        </w:tc>
        <w:tc>
          <w:tcPr>
            <w:tcW w:w="0" w:type="auto"/>
          </w:tcPr>
          <w:p w:rsidR="001F4AD7" w:rsidRPr="00213F98" w:rsidRDefault="001F4AD7" w:rsidP="00213F98">
            <w:pPr>
              <w:pStyle w:val="Compact"/>
              <w:spacing w:before="0" w:after="0" w:line="360" w:lineRule="auto"/>
              <w:jc w:val="center"/>
              <w:rPr>
                <w:rFonts w:ascii="仿宋" w:eastAsia="仿宋" w:hAnsi="仿宋"/>
                <w:color w:val="000000" w:themeColor="text1"/>
              </w:rPr>
            </w:pPr>
            <w:r w:rsidRPr="00213F98">
              <w:rPr>
                <w:rFonts w:ascii="仿宋" w:eastAsia="仿宋" w:hAnsi="仿宋"/>
                <w:color w:val="000000" w:themeColor="text1"/>
              </w:rPr>
              <w:t>3</w:t>
            </w:r>
          </w:p>
        </w:tc>
      </w:tr>
      <w:tr w:rsidR="00213F98" w:rsidRPr="00213F98" w:rsidTr="00213F98">
        <w:trPr>
          <w:trHeight w:val="369"/>
          <w:jc w:val="center"/>
        </w:trPr>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超大（&gt;600亿）</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+11.58%</w:t>
            </w:r>
          </w:p>
        </w:tc>
        <w:tc>
          <w:tcPr>
            <w:tcW w:w="0" w:type="auto"/>
          </w:tcPr>
          <w:p w:rsidR="001F4AD7" w:rsidRPr="00213F98" w:rsidRDefault="001F4AD7" w:rsidP="00213F98">
            <w:pPr>
              <w:pStyle w:val="Compact"/>
              <w:spacing w:before="0" w:after="0" w:line="360" w:lineRule="auto"/>
              <w:rPr>
                <w:rFonts w:ascii="仿宋" w:eastAsia="仿宋" w:hAnsi="仿宋"/>
                <w:color w:val="000000" w:themeColor="text1"/>
              </w:rPr>
            </w:pPr>
            <w:r w:rsidRPr="00213F98">
              <w:rPr>
                <w:rFonts w:ascii="仿宋" w:eastAsia="仿宋" w:hAnsi="仿宋"/>
                <w:color w:val="000000" w:themeColor="text1"/>
              </w:rPr>
              <w:t>25.40%</w:t>
            </w:r>
          </w:p>
        </w:tc>
        <w:tc>
          <w:tcPr>
            <w:tcW w:w="0" w:type="auto"/>
          </w:tcPr>
          <w:p w:rsidR="001F4AD7" w:rsidRPr="00213F98" w:rsidRDefault="001F4AD7" w:rsidP="00213F98">
            <w:pPr>
              <w:pStyle w:val="Compact"/>
              <w:spacing w:before="0" w:after="0" w:line="360" w:lineRule="auto"/>
              <w:jc w:val="center"/>
              <w:rPr>
                <w:rFonts w:ascii="仿宋" w:eastAsia="仿宋" w:hAnsi="仿宋"/>
                <w:color w:val="000000" w:themeColor="text1"/>
              </w:rPr>
            </w:pPr>
            <w:r w:rsidRPr="00213F98">
              <w:rPr>
                <w:rFonts w:ascii="仿宋" w:eastAsia="仿宋" w:hAnsi="仿宋"/>
                <w:color w:val="000000" w:themeColor="text1"/>
              </w:rPr>
              <w:t>9</w:t>
            </w:r>
          </w:p>
        </w:tc>
      </w:tr>
    </w:tbl>
    <w:p w:rsidR="001F4AD7" w:rsidRPr="00213F98" w:rsidRDefault="001F4AD7" w:rsidP="00213F98">
      <w:pPr>
        <w:pStyle w:val="a0"/>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color w:val="000000" w:themeColor="text1"/>
          <w:lang w:eastAsia="zh-CN"/>
        </w:rPr>
        <w:t>表5显示，超大组平均收益率最高（+11.58%），小、中、大三组均为负收益，呈现单调递增趋势。ANOVA检验结果为F=1.56，p=0.23，组间差异未达统计显著。超大组标准差（25.40%）显著高于其他组，反映大规模时期（主要为2023年）市场波动加剧的影响。样本量不均（超大组n=9，大组n=3）限制了统计功效，分组比较的结论需谨慎解读。</w:t>
      </w:r>
    </w:p>
    <w:p w:rsidR="001F4AD7" w:rsidRPr="00213F98" w:rsidRDefault="001F4AD7" w:rsidP="00213F98">
      <w:pPr>
        <w:pStyle w:val="2"/>
        <w:spacing w:line="360" w:lineRule="auto"/>
        <w:rPr>
          <w:rFonts w:ascii="仿宋" w:eastAsia="仿宋" w:hAnsi="仿宋"/>
          <w:color w:val="000000" w:themeColor="text1"/>
          <w:sz w:val="24"/>
          <w:szCs w:val="24"/>
          <w:lang w:eastAsia="zh-CN"/>
        </w:rPr>
      </w:pPr>
      <w:bookmarkStart w:id="13" w:name="快速扩张期检验"/>
      <w:bookmarkEnd w:id="12"/>
      <w:r w:rsidRPr="00213F98">
        <w:rPr>
          <w:rFonts w:ascii="仿宋" w:eastAsia="仿宋" w:hAnsi="仿宋"/>
          <w:color w:val="000000" w:themeColor="text1"/>
          <w:sz w:val="24"/>
          <w:szCs w:val="24"/>
          <w:lang w:eastAsia="zh-CN"/>
        </w:rPr>
        <w:t>4</w:t>
      </w:r>
      <w:r w:rsidRPr="00213F98">
        <w:rPr>
          <w:rFonts w:ascii="仿宋" w:eastAsia="仿宋" w:hAnsi="仿宋" w:hint="eastAsia"/>
          <w:color w:val="000000" w:themeColor="text1"/>
          <w:sz w:val="24"/>
          <w:szCs w:val="24"/>
          <w:lang w:eastAsia="zh-CN"/>
        </w:rPr>
        <w:t>、</w:t>
      </w:r>
      <w:r w:rsidRPr="00213F98">
        <w:rPr>
          <w:rFonts w:ascii="仿宋" w:eastAsia="仿宋" w:hAnsi="仿宋"/>
          <w:color w:val="000000" w:themeColor="text1"/>
          <w:sz w:val="24"/>
          <w:szCs w:val="24"/>
          <w:lang w:eastAsia="zh-CN"/>
        </w:rPr>
        <w:t>快速扩张期检验</w:t>
      </w:r>
    </w:p>
    <w:p w:rsidR="001F4AD7" w:rsidRPr="00213F98" w:rsidRDefault="001F4AD7" w:rsidP="00213F98">
      <w:pPr>
        <w:pStyle w:val="FirstParagraph"/>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color w:val="000000" w:themeColor="text1"/>
          <w:lang w:eastAsia="zh-CN"/>
        </w:rPr>
        <w:t>直接检验”规模诅咒”假说的核心命题：规模快速扩张后收益率是否显著下降。将5个快速扩张期后180天收益率（均值0.07%，标准差18.65%）与19个正常时期后180天收益率（均值1.58%，标准差13.48%）进行独立样本t检验，结果为t=-0.14，p=0.89。两组均值差异不显著，且方向为扩张期略低于正常期（0.07% vs 1.58%），差异幅度不足2个百分点。无论从统计显著性还是经济显著性角度，“规模诅咒”假说在被动型ETF样本中均被否定。</w:t>
      </w:r>
    </w:p>
    <w:p w:rsidR="001F4AD7" w:rsidRPr="00213F98" w:rsidRDefault="001F4AD7" w:rsidP="00213F98">
      <w:pPr>
        <w:pStyle w:val="a0"/>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color w:val="000000" w:themeColor="text1"/>
          <w:lang w:eastAsia="zh-CN"/>
        </w:rPr>
        <w:t>上述四类检验形成一致证据链：线性相关为正而非负，非线性模型揭示倒U型但理论最优远在样本之上，分组比较无显著差异但方向支持正效应，快速扩张期检验直接否定假说。值得强调的是，5个快速扩张期中有2个发生在市场下跌阶段（2022Q1、2023Q3），投资者逆势加仓ETF的行为实际上对应了市场底部区域，此后市场反弹贡献了正收益；而3个上涨期扩张反映了趋势跟随资金的入场，后续收益与市场整体走势相关。两类情境下均未出现扩张后收益显著恶化的证据。四类证据指向同一结论：被动型ETF的规模效应机制与主动型基金存在本质差异。</w:t>
      </w:r>
    </w:p>
    <w:p w:rsidR="001F4AD7" w:rsidRPr="00213F98" w:rsidRDefault="00C10CE4" w:rsidP="00213F98">
      <w:pPr>
        <w:pStyle w:val="1"/>
        <w:spacing w:line="360" w:lineRule="auto"/>
        <w:rPr>
          <w:rFonts w:ascii="仿宋" w:eastAsia="仿宋" w:hAnsi="仿宋"/>
          <w:color w:val="000000" w:themeColor="text1"/>
          <w:sz w:val="24"/>
          <w:szCs w:val="24"/>
          <w:lang w:eastAsia="zh-CN"/>
        </w:rPr>
      </w:pPr>
      <w:bookmarkStart w:id="14" w:name="结论"/>
      <w:bookmarkEnd w:id="9"/>
      <w:bookmarkEnd w:id="13"/>
      <w:r w:rsidRPr="00213F98">
        <w:rPr>
          <w:rFonts w:ascii="仿宋" w:eastAsia="仿宋" w:hAnsi="仿宋" w:hint="eastAsia"/>
          <w:color w:val="000000" w:themeColor="text1"/>
          <w:sz w:val="24"/>
          <w:szCs w:val="24"/>
          <w:lang w:eastAsia="zh-CN"/>
        </w:rPr>
        <w:t>五、</w:t>
      </w:r>
      <w:r w:rsidR="001F4AD7" w:rsidRPr="00213F98">
        <w:rPr>
          <w:rFonts w:ascii="仿宋" w:eastAsia="仿宋" w:hAnsi="仿宋"/>
          <w:color w:val="000000" w:themeColor="text1"/>
          <w:sz w:val="24"/>
          <w:szCs w:val="24"/>
          <w:lang w:eastAsia="zh-CN"/>
        </w:rPr>
        <w:t>结论</w:t>
      </w:r>
    </w:p>
    <w:p w:rsidR="001F4AD7" w:rsidRPr="00213F98" w:rsidRDefault="001F4AD7" w:rsidP="00213F98">
      <w:pPr>
        <w:pStyle w:val="FirstParagraph"/>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color w:val="000000" w:themeColor="text1"/>
          <w:lang w:eastAsia="zh-CN"/>
        </w:rPr>
        <w:t>本研究以华夏科创50ETF（588000）2020年9月至2026年3月共24个季度数据，检验被动型ETF份额规模与年化收益率的关系，得出四项结论。</w:t>
      </w:r>
    </w:p>
    <w:p w:rsidR="001F4AD7" w:rsidRPr="00213F98" w:rsidRDefault="00C10CE4" w:rsidP="00213F98">
      <w:pPr>
        <w:pStyle w:val="a0"/>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hint="eastAsia"/>
          <w:color w:val="000000" w:themeColor="text1"/>
          <w:lang w:eastAsia="zh-CN"/>
        </w:rPr>
        <w:lastRenderedPageBreak/>
        <w:t>1、</w:t>
      </w:r>
      <w:r w:rsidR="001F4AD7" w:rsidRPr="00213F98">
        <w:rPr>
          <w:rFonts w:ascii="仿宋" w:eastAsia="仿宋" w:hAnsi="仿宋"/>
          <w:color w:val="000000" w:themeColor="text1"/>
          <w:lang w:eastAsia="zh-CN"/>
        </w:rPr>
        <w:t>被动型ETF不存在”规模诅咒”。份额水平与180天收益率呈正相关（r=0.37），快速扩张期后收益率与正常期间无显著差异（t=-0.14, p=0.89），Berk &amp; Green（2004）框架不适用于被动跟踪型基金。</w:t>
      </w:r>
    </w:p>
    <w:p w:rsidR="001F4AD7" w:rsidRPr="00213F98" w:rsidRDefault="00C10CE4" w:rsidP="00213F98">
      <w:pPr>
        <w:pStyle w:val="a0"/>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hint="eastAsia"/>
          <w:color w:val="000000" w:themeColor="text1"/>
          <w:lang w:eastAsia="zh-CN"/>
        </w:rPr>
        <w:t>2、</w:t>
      </w:r>
      <w:r w:rsidR="001F4AD7" w:rsidRPr="00213F98">
        <w:rPr>
          <w:rFonts w:ascii="仿宋" w:eastAsia="仿宋" w:hAnsi="仿宋"/>
          <w:color w:val="000000" w:themeColor="text1"/>
          <w:lang w:eastAsia="zh-CN"/>
        </w:rPr>
        <w:t>存在倒U型非线性关系。三次多项式模型R</w:t>
      </w:r>
      <w:r w:rsidR="001F4AD7" w:rsidRPr="00213F98">
        <w:rPr>
          <w:rFonts w:ascii="Calibri" w:eastAsia="仿宋" w:hAnsi="Calibri" w:cs="Calibri"/>
          <w:color w:val="000000" w:themeColor="text1"/>
          <w:lang w:eastAsia="zh-CN"/>
        </w:rPr>
        <w:t>²</w:t>
      </w:r>
      <w:r w:rsidR="001F4AD7" w:rsidRPr="00213F98">
        <w:rPr>
          <w:rFonts w:ascii="仿宋" w:eastAsia="仿宋" w:hAnsi="仿宋"/>
          <w:color w:val="000000" w:themeColor="text1"/>
          <w:lang w:eastAsia="zh-CN"/>
        </w:rPr>
        <w:t>=0.31，较线性模型提升130%，理论最优规模约1403亿份，样本峰值1040亿份尚未触及，当前517亿份处于上升段。</w:t>
      </w:r>
    </w:p>
    <w:p w:rsidR="001F4AD7" w:rsidRPr="00213F98" w:rsidRDefault="00C10CE4" w:rsidP="00213F98">
      <w:pPr>
        <w:pStyle w:val="a0"/>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hint="eastAsia"/>
          <w:color w:val="000000" w:themeColor="text1"/>
          <w:lang w:eastAsia="zh-CN"/>
        </w:rPr>
        <w:t>3、</w:t>
      </w:r>
      <w:r w:rsidR="001F4AD7" w:rsidRPr="00213F98">
        <w:rPr>
          <w:rFonts w:ascii="仿宋" w:eastAsia="仿宋" w:hAnsi="仿宋"/>
          <w:color w:val="000000" w:themeColor="text1"/>
          <w:lang w:eastAsia="zh-CN"/>
        </w:rPr>
        <w:t>传导机制差异是根本。ETF的创设/赎回机制将申赎压力传导至一级市场，套利机制维持价格与净值收敛，被动跟踪消除主动管理能力约束。规模扩大的正向效应（费用分摊下降、流动性改善、套利效率提升）超过负向效应。</w:t>
      </w:r>
    </w:p>
    <w:p w:rsidR="001F4AD7" w:rsidRPr="00213F98" w:rsidRDefault="00C10CE4" w:rsidP="00213F98">
      <w:pPr>
        <w:pStyle w:val="a0"/>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hint="eastAsia"/>
          <w:color w:val="000000" w:themeColor="text1"/>
          <w:lang w:eastAsia="zh-CN"/>
        </w:rPr>
        <w:t>4、</w:t>
      </w:r>
      <w:r w:rsidR="001F4AD7" w:rsidRPr="00213F98">
        <w:rPr>
          <w:rFonts w:ascii="仿宋" w:eastAsia="仿宋" w:hAnsi="仿宋"/>
          <w:color w:val="000000" w:themeColor="text1"/>
          <w:lang w:eastAsia="zh-CN"/>
        </w:rPr>
        <w:t>实践启示。投资者配置大规模ETF无需担忧规模侵蚀收益；基金公司可持续推动规模增长以摊薄单位成本；监管者需关注单只ETF过度集中的流动性风险。</w:t>
      </w:r>
    </w:p>
    <w:p w:rsidR="001F4AD7" w:rsidRPr="00213F98" w:rsidRDefault="00C10CE4" w:rsidP="00213F98">
      <w:pPr>
        <w:pStyle w:val="a0"/>
        <w:spacing w:before="0" w:after="40" w:line="360" w:lineRule="auto"/>
        <w:ind w:firstLineChars="200" w:firstLine="480"/>
        <w:rPr>
          <w:rFonts w:ascii="仿宋" w:eastAsia="仿宋" w:hAnsi="仿宋"/>
          <w:color w:val="000000" w:themeColor="text1"/>
          <w:lang w:eastAsia="zh-CN"/>
        </w:rPr>
      </w:pPr>
      <w:r w:rsidRPr="00213F98">
        <w:rPr>
          <w:rFonts w:ascii="仿宋" w:eastAsia="仿宋" w:hAnsi="仿宋" w:hint="eastAsia"/>
          <w:color w:val="000000" w:themeColor="text1"/>
          <w:lang w:eastAsia="zh-CN"/>
        </w:rPr>
        <w:t>研究不足方面，本研究主要是</w:t>
      </w:r>
      <w:r w:rsidR="001F4AD7" w:rsidRPr="00213F98">
        <w:rPr>
          <w:rFonts w:ascii="仿宋" w:eastAsia="仿宋" w:hAnsi="仿宋"/>
          <w:color w:val="000000" w:themeColor="text1"/>
          <w:lang w:eastAsia="zh-CN"/>
        </w:rPr>
        <w:t>单案例研究，结论外推需谨慎；24个季度小样本，统计功效有限；理论最优规模1403亿份由模型外推得出，实际拐点位置存在不确定性；不同标的指数可能呈现差异化特征。</w:t>
      </w:r>
    </w:p>
    <w:bookmarkEnd w:id="14"/>
    <w:p w:rsidR="001F4AD7" w:rsidRPr="00213F98" w:rsidRDefault="001F4AD7" w:rsidP="00213F98">
      <w:pPr>
        <w:pStyle w:val="a0"/>
        <w:spacing w:before="0" w:after="40" w:line="360" w:lineRule="auto"/>
        <w:rPr>
          <w:rFonts w:ascii="仿宋" w:eastAsia="仿宋" w:hAnsi="仿宋"/>
          <w:color w:val="000000" w:themeColor="text1"/>
          <w:lang w:eastAsia="zh-CN"/>
        </w:rPr>
      </w:pPr>
    </w:p>
    <w:p w:rsidR="009849A0" w:rsidRPr="00213F98" w:rsidRDefault="009849A0" w:rsidP="00213F98">
      <w:pPr>
        <w:pStyle w:val="a0"/>
        <w:spacing w:before="0" w:after="40" w:line="360" w:lineRule="auto"/>
        <w:rPr>
          <w:rFonts w:ascii="仿宋" w:eastAsia="仿宋" w:hAnsi="仿宋"/>
          <w:color w:val="000000" w:themeColor="text1"/>
          <w:lang w:eastAsia="zh-CN"/>
        </w:rPr>
      </w:pPr>
      <w:bookmarkStart w:id="15" w:name="参考文献"/>
      <w:bookmarkEnd w:id="0"/>
      <w:bookmarkEnd w:id="15"/>
    </w:p>
    <w:sectPr w:rsidR="009849A0" w:rsidRPr="00213F98">
      <w:pgSz w:w="12240" w:h="15840"/>
      <w:pgMar w:top="1134" w:right="1247" w:bottom="1134" w:left="124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0206" w:rsidRDefault="00BD0206">
      <w:pPr>
        <w:spacing w:after="0"/>
      </w:pPr>
      <w:r>
        <w:separator/>
      </w:r>
    </w:p>
  </w:endnote>
  <w:endnote w:type="continuationSeparator" w:id="0">
    <w:p w:rsidR="00BD0206" w:rsidRDefault="00BD02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A00002EF" w:usb1="4000004B"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0206" w:rsidRDefault="00BD0206">
      <w:r>
        <w:separator/>
      </w:r>
    </w:p>
  </w:footnote>
  <w:footnote w:type="continuationSeparator" w:id="0">
    <w:p w:rsidR="00BD0206" w:rsidRDefault="00BD020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5EA698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ctiveWritingStyle w:appName="MSWord" w:lang="en-US" w:vendorID="64" w:dllVersion="131078" w:nlCheck="1" w:checkStyle="0"/>
  <w:activeWritingStyle w:appName="MSWord" w:lang="zh-CN" w:vendorID="64" w:dllVersion="131077" w:nlCheck="1" w:checkStyle="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9A0"/>
    <w:rsid w:val="001F4AD7"/>
    <w:rsid w:val="00213F98"/>
    <w:rsid w:val="00275F06"/>
    <w:rsid w:val="009849A0"/>
    <w:rsid w:val="00BD0206"/>
    <w:rsid w:val="00C10CE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9BA280"/>
  <w15:docId w15:val="{FB41BCF6-70F2-4E88-AAA4-8D5BB7FB0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unhideWhenUsed/>
    <w:rsid w:val="00213F98"/>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1"/>
    <w:link w:val="ae"/>
    <w:rsid w:val="00213F98"/>
    <w:rPr>
      <w:sz w:val="18"/>
      <w:szCs w:val="18"/>
    </w:rPr>
  </w:style>
  <w:style w:type="paragraph" w:styleId="af0">
    <w:name w:val="footer"/>
    <w:basedOn w:val="a"/>
    <w:link w:val="af1"/>
    <w:unhideWhenUsed/>
    <w:rsid w:val="00213F98"/>
    <w:pPr>
      <w:tabs>
        <w:tab w:val="center" w:pos="4153"/>
        <w:tab w:val="right" w:pos="8306"/>
      </w:tabs>
      <w:snapToGrid w:val="0"/>
    </w:pPr>
    <w:rPr>
      <w:sz w:val="18"/>
      <w:szCs w:val="18"/>
    </w:rPr>
  </w:style>
  <w:style w:type="character" w:customStyle="1" w:styleId="af1">
    <w:name w:val="页脚 字符"/>
    <w:basedOn w:val="a1"/>
    <w:link w:val="af0"/>
    <w:rsid w:val="00213F9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699</Words>
  <Characters>3987</Characters>
  <Application>Microsoft Office Word</Application>
  <DocSecurity>0</DocSecurity>
  <Lines>33</Lines>
  <Paragraphs>9</Paragraphs>
  <ScaleCrop>false</ScaleCrop>
  <Company/>
  <LinksUpToDate>false</LinksUpToDate>
  <CharactersWithSpaces>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yangqw</dc:creator>
  <cp:keywords/>
  <cp:lastModifiedBy>yangqw</cp:lastModifiedBy>
  <cp:revision>3</cp:revision>
  <dcterms:created xsi:type="dcterms:W3CDTF">2026-06-27T08:14:00Z</dcterms:created>
  <dcterms:modified xsi:type="dcterms:W3CDTF">2026-06-27T08:28:00Z</dcterms:modified>
</cp:coreProperties>
</file>