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Figure 1-1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illustrates the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classic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Hadoop architecture for </w:t>
      </w:r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batchmode</w:t>
      </w:r>
      <w:proofErr w:type="spellEnd"/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analytics and data warehousing, focusing on the aspects that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are important for our discussion.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 w:rsidRPr="00B644A8">
        <w:rPr>
          <w:rFonts w:ascii="MinionPro-Regular" w:eastAsia="MinionPro-Regular" w:cs="MinionPro-Regular"/>
          <w:noProof/>
          <w:color w:val="000000"/>
          <w:sz w:val="21"/>
          <w:szCs w:val="21"/>
        </w:rPr>
        <w:drawing>
          <wp:inline distT="0" distB="0" distL="0" distR="0">
            <wp:extent cx="5943600" cy="336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</w:rPr>
      </w:pPr>
      <w:r>
        <w:rPr>
          <w:rFonts w:ascii="MinionPro-It" w:eastAsia="MinionPro-It" w:cs="MinionPro-It"/>
          <w:i/>
          <w:iCs/>
          <w:color w:val="000000"/>
          <w:sz w:val="21"/>
          <w:szCs w:val="21"/>
        </w:rPr>
        <w:t>Figure 1-1. Classic Hadoop architecture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In this figure, logical subsystem boundaries are indicated by dashed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rectangles. They are clusters that span physical machines, although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HDFS and YARN (Yet Another Resource Negotiator) services share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 same machines to benefit from data locality when jobs run.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Functional areas, such as persistence, are indicated by the rounded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dotted rectangles.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Data is ingested into the persistence tier, into one or more of the following: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HDFS (Hadoop Distributed File System),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AWS S3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 SQL and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NoSQL databases, and search engines like </w:t>
      </w:r>
      <w:proofErr w:type="spellStart"/>
      <w:r>
        <w:rPr>
          <w:rFonts w:ascii="MinionPro-Regular" w:eastAsia="MinionPro-Regular" w:cs="MinionPro-Regular"/>
          <w:color w:val="9A0000"/>
          <w:sz w:val="21"/>
          <w:szCs w:val="21"/>
        </w:rPr>
        <w:t>Elasticsearch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 w:rsidRPr="00B644A8">
        <w:rPr>
          <w:rFonts w:ascii="MinionPro-Regular" w:eastAsia="MinionPro-Regular" w:cs="MinionPro-Regular"/>
          <w:color w:val="000000"/>
          <w:sz w:val="21"/>
          <w:szCs w:val="21"/>
        </w:rPr>
        <w:t>Usually this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is done using special-purpose services such as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Flume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for log aggregation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and </w:t>
      </w:r>
      <w:proofErr w:type="spellStart"/>
      <w:r>
        <w:rPr>
          <w:rFonts w:ascii="MinionPro-Regular" w:eastAsia="MinionPro-Regular" w:cs="MinionPro-Regular"/>
          <w:color w:val="9A0000"/>
          <w:sz w:val="21"/>
          <w:szCs w:val="21"/>
        </w:rPr>
        <w:t>Sqoop</w:t>
      </w:r>
      <w:proofErr w:type="spellEnd"/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for interoperating with databases.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Later, analysis jobs written in Hadoop MapReduce,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Spark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 or other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tools are submitted to the Resource Manager for YARN, which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decomposes each job into tasks that are run on the worker nodes,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managed by Node Managers. Even for interactive tools like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Hive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and Spark SQL, the same job submission process is used when the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actual queries are executed as jobs.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bookmarkStart w:id="0" w:name="_GoBack"/>
      <w:bookmarkEnd w:id="0"/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9A0000"/>
          <w:sz w:val="21"/>
          <w:szCs w:val="21"/>
        </w:rPr>
        <w:lastRenderedPageBreak/>
        <w:t xml:space="preserve">Table 1-1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gives an idea of the capabilities of such batch-mode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systems.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</w:rPr>
      </w:pPr>
      <w:r>
        <w:rPr>
          <w:rFonts w:ascii="MinionPro-It" w:eastAsia="MinionPro-It" w:cs="MinionPro-It"/>
          <w:i/>
          <w:iCs/>
          <w:color w:val="000000"/>
          <w:sz w:val="20"/>
          <w:szCs w:val="20"/>
        </w:rPr>
        <w:t>Table 1-1. Batch-mode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4A8" w:rsidTr="00B644A8">
        <w:tc>
          <w:tcPr>
            <w:tcW w:w="4675" w:type="dxa"/>
          </w:tcPr>
          <w:p w:rsidR="00B644A8" w:rsidRP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sz w:val="20"/>
                <w:szCs w:val="20"/>
              </w:rPr>
            </w:pPr>
            <w:r w:rsidRPr="00B644A8">
              <w:rPr>
                <w:rFonts w:ascii="MyriadPro-SemiboldCond" w:hAnsi="MyriadPro-SemiboldCond" w:cs="MyriadPro-SemiboldCond"/>
                <w:b/>
                <w:sz w:val="18"/>
                <w:szCs w:val="18"/>
              </w:rPr>
              <w:t xml:space="preserve">Metric </w:t>
            </w:r>
          </w:p>
        </w:tc>
        <w:tc>
          <w:tcPr>
            <w:tcW w:w="4675" w:type="dxa"/>
          </w:tcPr>
          <w:p w:rsidR="00B644A8" w:rsidRP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sz w:val="20"/>
                <w:szCs w:val="20"/>
              </w:rPr>
            </w:pPr>
            <w:r w:rsidRPr="00B644A8">
              <w:rPr>
                <w:rFonts w:ascii="MyriadPro-SemiboldCond" w:hAnsi="MyriadPro-SemiboldCond" w:cs="MyriadPro-SemiboldCond"/>
                <w:b/>
                <w:sz w:val="18"/>
                <w:szCs w:val="18"/>
              </w:rPr>
              <w:t>Sizes and</w:t>
            </w:r>
            <w:r w:rsidRPr="00B644A8">
              <w:rPr>
                <w:rFonts w:ascii="MyriadPro-SemiboldCond" w:hAnsi="MyriadPro-SemiboldCond" w:cs="MyriadPro-SemiboldCond"/>
                <w:b/>
                <w:sz w:val="18"/>
                <w:szCs w:val="18"/>
              </w:rPr>
              <w:t xml:space="preserve"> </w:t>
            </w:r>
            <w:r w:rsidRPr="00B644A8">
              <w:rPr>
                <w:rFonts w:ascii="MyriadPro-SemiboldCond" w:hAnsi="MyriadPro-SemiboldCond" w:cs="MyriadPro-SemiboldCond"/>
                <w:b/>
                <w:sz w:val="18"/>
                <w:szCs w:val="18"/>
              </w:rPr>
              <w:t>units</w:t>
            </w:r>
          </w:p>
        </w:tc>
      </w:tr>
      <w:tr w:rsidR="00B644A8" w:rsidTr="00B644A8"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Data sizes per job</w:t>
            </w:r>
          </w:p>
        </w:tc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TB to PB</w:t>
            </w:r>
          </w:p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644A8" w:rsidTr="00B644A8"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Time between data arrival and processing</w:t>
            </w:r>
          </w:p>
        </w:tc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Many minutes to hours</w:t>
            </w:r>
          </w:p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644A8" w:rsidTr="00B644A8"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Job execution times</w:t>
            </w:r>
          </w:p>
        </w:tc>
        <w:tc>
          <w:tcPr>
            <w:tcW w:w="4675" w:type="dxa"/>
          </w:tcPr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</w:pPr>
            <w:r>
              <w:rPr>
                <w:rFonts w:ascii="MyriadPro-Cond" w:eastAsia="MinionPro-Regular" w:hAnsi="MyriadPro-Cond" w:cs="MyriadPro-Cond"/>
                <w:color w:val="000000"/>
                <w:sz w:val="18"/>
                <w:szCs w:val="18"/>
              </w:rPr>
              <w:t>Minutes to hours</w:t>
            </w:r>
          </w:p>
          <w:p w:rsidR="00B644A8" w:rsidRDefault="00B644A8" w:rsidP="00B644A8">
            <w:pPr>
              <w:autoSpaceDE w:val="0"/>
              <w:autoSpaceDN w:val="0"/>
              <w:adjustRightInd w:val="0"/>
              <w:rPr>
                <w:rFonts w:ascii="MinionPro-It" w:eastAsia="MinionPro-It" w:cs="MinionPro-It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b/>
          <w:color w:val="FF0000"/>
          <w:sz w:val="18"/>
          <w:szCs w:val="18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yriadPro-Cond" w:eastAsia="MinionPro-Regular" w:hAnsi="MyriadPro-Cond" w:cs="MyriadPro-Cond"/>
          <w:color w:val="000000"/>
          <w:sz w:val="18"/>
          <w:szCs w:val="18"/>
        </w:rPr>
      </w:pP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So, the newly arrived data waits in the persistence tier until the next</w:t>
      </w:r>
    </w:p>
    <w:p w:rsidR="00B644A8" w:rsidRDefault="00B644A8" w:rsidP="00B644A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batch job starts to process it.</w:t>
      </w:r>
    </w:p>
    <w:p w:rsidR="004C1EDD" w:rsidRPr="00B644A8" w:rsidRDefault="004C1EDD" w:rsidP="00B644A8"/>
    <w:sectPr w:rsidR="004C1EDD" w:rsidRPr="00B6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50"/>
    <w:rsid w:val="0001335F"/>
    <w:rsid w:val="00020AF6"/>
    <w:rsid w:val="0002688E"/>
    <w:rsid w:val="00035662"/>
    <w:rsid w:val="00042A97"/>
    <w:rsid w:val="000B5A49"/>
    <w:rsid w:val="000C1F82"/>
    <w:rsid w:val="00136EAE"/>
    <w:rsid w:val="001530A5"/>
    <w:rsid w:val="001F4AE4"/>
    <w:rsid w:val="00233C71"/>
    <w:rsid w:val="002D0ADA"/>
    <w:rsid w:val="002F2906"/>
    <w:rsid w:val="002F58C7"/>
    <w:rsid w:val="003523EE"/>
    <w:rsid w:val="0038583A"/>
    <w:rsid w:val="003C55E9"/>
    <w:rsid w:val="00410706"/>
    <w:rsid w:val="00470A50"/>
    <w:rsid w:val="004C1EDD"/>
    <w:rsid w:val="004F39A2"/>
    <w:rsid w:val="005025EE"/>
    <w:rsid w:val="005378D5"/>
    <w:rsid w:val="00574440"/>
    <w:rsid w:val="00634A99"/>
    <w:rsid w:val="00676728"/>
    <w:rsid w:val="006B780B"/>
    <w:rsid w:val="006B7E97"/>
    <w:rsid w:val="006F3676"/>
    <w:rsid w:val="007075D2"/>
    <w:rsid w:val="007E7C95"/>
    <w:rsid w:val="0087751F"/>
    <w:rsid w:val="008C12A4"/>
    <w:rsid w:val="008F0493"/>
    <w:rsid w:val="009578B7"/>
    <w:rsid w:val="00974FD7"/>
    <w:rsid w:val="00991BE2"/>
    <w:rsid w:val="009C205B"/>
    <w:rsid w:val="009C61A8"/>
    <w:rsid w:val="009D3C09"/>
    <w:rsid w:val="009E1BF0"/>
    <w:rsid w:val="009E3B27"/>
    <w:rsid w:val="00A94342"/>
    <w:rsid w:val="00B644A8"/>
    <w:rsid w:val="00BB500D"/>
    <w:rsid w:val="00BC5263"/>
    <w:rsid w:val="00CA6AF3"/>
    <w:rsid w:val="00CA7540"/>
    <w:rsid w:val="00CD1DC1"/>
    <w:rsid w:val="00CD66E8"/>
    <w:rsid w:val="00D620CE"/>
    <w:rsid w:val="00D90226"/>
    <w:rsid w:val="00E9349E"/>
    <w:rsid w:val="00F27A44"/>
    <w:rsid w:val="00FA6D92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FC9E"/>
  <w15:chartTrackingRefBased/>
  <w15:docId w15:val="{9EBF06A7-020F-40FE-8675-E961B83C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Sudhahar Thiagarajan</dc:creator>
  <cp:keywords/>
  <dc:description/>
  <cp:lastModifiedBy>Sudhahar Thiagarajan</cp:lastModifiedBy>
  <cp:revision>2</cp:revision>
  <dcterms:created xsi:type="dcterms:W3CDTF">2017-02-07T23:10:00Z</dcterms:created>
  <dcterms:modified xsi:type="dcterms:W3CDTF">2017-02-07T23:37:00Z</dcterms:modified>
</cp:coreProperties>
</file>