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after="200"/>
        <w:jc w:val="center"/>
      </w:pPr>
      <w:r>
        <w:rPr>
          <w:rFonts w:ascii="Calibri" w:hAnsi="Calibri" w:eastAsia="Yu Gothic"/>
          <w:b/>
          <w:color w:val="B8872B"/>
          <w:sz w:val="21"/>
        </w:rPr>
        <w:t>BEGINNER'S VISUAL GUIDE</w:t>
      </w:r>
    </w:p>
    <w:p>
      <w:pPr>
        <w:pStyle w:val="Title"/>
      </w:pPr>
      <w:r>
        <w:rPr>
          <w:rFonts w:ascii="Calibri" w:hAnsi="Calibri" w:eastAsia="Yu Gothic"/>
          <w:b/>
          <w:color w:val="0B2545"/>
          <w:sz w:val="60"/>
        </w:rPr>
        <w:t>図でたどる</w:t>
        <w:br/>
        <w:t>今回の攻撃手法</w:t>
      </w:r>
    </w:p>
    <w:p>
      <w:pPr>
        <w:pStyle w:val="Subtitle"/>
      </w:pPr>
      <w:r>
        <w:rPr>
          <w:rFonts w:ascii="Calibri" w:hAnsi="Calibri" w:eastAsia="Yu Gothic"/>
          <w:color w:val="2B6673"/>
          <w:sz w:val="30"/>
        </w:rPr>
        <w:t>「近い人を探す」から「全体を調整する」まで</w:t>
      </w:r>
    </w:p>
    <w:p>
      <w:pPr>
        <w:keepNext/>
        <w:spacing w:before="80" w:after="0"/>
        <w:jc w:val="center"/>
      </w:pPr>
      <w:r>
        <w:drawing>
          <wp:inline xmlns:a="http://schemas.openxmlformats.org/drawingml/2006/main" xmlns:pic="http://schemas.openxmlformats.org/drawingml/2006/picture">
            <wp:extent cx="5486400" cy="1611630"/>
            <wp:docPr id="1" name="Picture 1" title="01_cover" descr="配布表から残った統計的な手掛かりを取り出し、MIA側とAIA側の出力へ分岐する図。"/>
            <wp:cNvGraphicFramePr>
              <a:graphicFrameLocks noChangeAspect="1"/>
            </wp:cNvGraphicFramePr>
            <a:graphic>
              <a:graphicData uri="http://schemas.openxmlformats.org/drawingml/2006/picture">
                <pic:pic>
                  <pic:nvPicPr>
                    <pic:cNvPr id="0" name="01_cover.png"/>
                    <pic:cNvPicPr/>
                  </pic:nvPicPr>
                  <pic:blipFill>
                    <a:blip r:embed="rId11"/>
                    <a:stretch>
                      <a:fillRect/>
                    </a:stretch>
                  </pic:blipFill>
                  <pic:spPr>
                    <a:xfrm>
                      <a:off x="0" y="0"/>
                      <a:ext cx="5486400" cy="1611630"/>
                    </a:xfrm>
                    <a:prstGeom prst="rect"/>
                  </pic:spPr>
                </pic:pic>
              </a:graphicData>
            </a:graphic>
          </wp:inline>
        </w:drawing>
      </w:r>
    </w:p>
    <w:p>
      <w:pPr>
        <w:pStyle w:val="Caption"/>
      </w:pPr>
      <w:r>
        <w:rPr>
          <w:rFonts w:ascii="Calibri" w:hAnsi="Calibri" w:eastAsia="Yu Gothic"/>
          <w:color w:val="5D6B78"/>
          <w:sz w:val="18"/>
        </w:rPr>
        <w:t>配布された表から、MIA側の順位とAIA側のtime推定へ分かれる流れ</w:t>
      </w:r>
    </w:p>
    <w:p>
      <w:pPr>
        <w:spacing w:after="80"/>
        <w:jc w:val="center"/>
      </w:pPr>
      <w:r>
        <w:rPr>
          <w:rFonts w:ascii="Calibri" w:hAnsi="Calibri" w:eastAsia="Yu Gothic"/>
          <w:b/>
          <w:color w:val="0B2545"/>
        </w:rPr>
        <w:t>対象：</w:t>
      </w:r>
      <w:r>
        <w:rPr>
          <w:rFonts w:ascii="Calibri" w:hAnsi="Calibri" w:eastAsia="Yu Gothic"/>
          <w:i w:val="0"/>
          <w:color w:val="0B2545"/>
        </w:rPr>
        <w:t>今回の実装を初めて読む方</w:t>
      </w:r>
    </w:p>
    <w:p>
      <w:pPr>
        <w:spacing w:after="80"/>
        <w:jc w:val="center"/>
      </w:pPr>
      <w:r>
        <w:rPr>
          <w:rFonts w:ascii="Calibri" w:hAnsi="Calibri" w:eastAsia="Yu Gothic"/>
          <w:i w:val="0"/>
          <w:color w:val="5D6B78"/>
          <w:sz w:val="19"/>
        </w:rPr>
        <w:t>現在の提出候補：20対象 / 自チーム24は除外</w:t>
      </w:r>
    </w:p>
    <w:p>
      <w:pPr>
        <w:jc w:val="center"/>
      </w:pPr>
      <w:r>
        <w:rPr>
          <w:rFonts w:ascii="Calibri" w:hAnsi="Calibri" w:eastAsia="Yu Gothic"/>
          <w:i w:val="0"/>
          <w:color w:val="5D6B78"/>
          <w:sz w:val="19"/>
        </w:rPr>
        <w:t>2026年9月2日版</w:t>
      </w:r>
    </w:p>
    <w:p>
      <w:pPr>
        <w:spacing w:after="0"/>
      </w:pPr>
      <w:r>
        <w:br w:type="page"/>
      </w:r>
    </w:p>
    <w:p>
      <w:pPr>
        <w:spacing w:before="0" w:after="40"/>
      </w:pPr>
      <w:r>
        <w:rPr>
          <w:rFonts w:ascii="Calibri" w:hAnsi="Calibri" w:eastAsia="Yu Gothic"/>
          <w:b/>
          <w:color w:val="B8872B"/>
          <w:sz w:val="19"/>
        </w:rPr>
        <w:t>まず全体像</w:t>
      </w:r>
    </w:p>
    <w:p>
      <w:pPr>
        <w:pStyle w:val="Heading1"/>
      </w:pPr>
      <w:r>
        <w:rPr>
          <w:rFonts w:ascii="Calibri" w:hAnsi="Calibri" w:eastAsia="Yu Gothic"/>
          <w:b/>
        </w:rPr>
        <w:t>1. この資料で追うのは、実際に行った処理です</w:t>
      </w:r>
    </w:p>
    <w:p>
      <w:pPr>
        <w:keepLines/>
        <w:spacing w:after="160"/>
      </w:pPr>
      <w:r>
        <w:rPr>
          <w:rFonts w:ascii="Calibri" w:hAnsi="Calibri" w:eastAsia="Yu Gothic"/>
          <w:i w:val="0"/>
          <w:color w:val="2B6673"/>
          <w:sz w:val="23"/>
        </w:rPr>
        <w:t>MIA・AIAの一般的な定義ではなく、今回の生成プログラムが表をどう比べ、どう提出値を作ったかを図で追います。</w:t>
      </w:r>
    </w:p>
    <w:p>
      <w:pPr>
        <w:keepNext/>
        <w:spacing w:before="80" w:after="0"/>
        <w:jc w:val="center"/>
      </w:pPr>
      <w:r>
        <w:drawing>
          <wp:inline xmlns:a="http://schemas.openxmlformats.org/drawingml/2006/main" xmlns:pic="http://schemas.openxmlformats.org/drawingml/2006/picture">
            <wp:extent cx="5715000" cy="2857500"/>
            <wp:docPr id="2" name="Picture 2" title="02_overview" descr="配布された表を共通の下ごしらえに通した後、MIA側は順位、AIA側はtime_hatを作る二段の流れ。"/>
            <wp:cNvGraphicFramePr>
              <a:graphicFrameLocks noChangeAspect="1"/>
            </wp:cNvGraphicFramePr>
            <a:graphic>
              <a:graphicData uri="http://schemas.openxmlformats.org/drawingml/2006/picture">
                <pic:pic>
                  <pic:nvPicPr>
                    <pic:cNvPr id="0" name="02_overview.png"/>
                    <pic:cNvPicPr/>
                  </pic:nvPicPr>
                  <pic:blipFill>
                    <a:blip r:embed="rId12"/>
                    <a:stretch>
                      <a:fillRect/>
                    </a:stretch>
                  </pic:blipFill>
                  <pic:spPr>
                    <a:xfrm>
                      <a:off x="0" y="0"/>
                      <a:ext cx="5715000" cy="2857500"/>
                    </a:xfrm>
                    <a:prstGeom prst="rect"/>
                  </pic:spPr>
                </pic:pic>
              </a:graphicData>
            </a:graphic>
          </wp:inline>
        </w:drawing>
      </w:r>
    </w:p>
    <w:p>
      <w:pPr>
        <w:pStyle w:val="Caption"/>
      </w:pPr>
      <w:r>
        <w:rPr>
          <w:rFonts w:ascii="Calibri" w:hAnsi="Calibri" w:eastAsia="Yu Gothic"/>
          <w:color w:val="5D6B78"/>
          <w:sz w:val="18"/>
        </w:rPr>
        <w:t>図1　今回の処理全体</w:t>
      </w:r>
    </w:p>
    <w:p>
      <w:pPr>
        <w:pStyle w:val="KeyTakeaway"/>
        <w:shd w:fill="E8F3F4" w:val="clear"/>
        <w:keepLines/>
        <w:pBdr>
          <w:left w:val="single" w:sz="18" w:space="8" w:color="2B6673"/>
        </w:pBdr>
      </w:pPr>
      <w:r>
        <w:rPr>
          <w:rFonts w:ascii="Calibri" w:hAnsi="Calibri" w:eastAsia="Yu Gothic"/>
          <w:b/>
          <w:color w:val="2B6673"/>
          <w:sz w:val="21"/>
        </w:rPr>
        <w:t xml:space="preserve">このページで覚えること  </w:t>
      </w:r>
      <w:r>
        <w:rPr>
          <w:rFonts w:ascii="Calibri" w:hAnsi="Calibri" w:eastAsia="Yu Gothic"/>
          <w:sz w:val="21"/>
        </w:rPr>
        <w:t>単純な最近傍ではありません。背景との比較、対象ごとの差、人数や重複の条件まで順に組み合わせます。</w:t>
      </w:r>
    </w:p>
    <w:p>
      <w:pPr>
        <w:numPr>
          <w:ilvl w:val="0"/>
          <w:numId w:val="10"/>
        </w:numPr>
      </w:pPr>
      <w:r>
        <w:rPr>
          <w:rFonts w:ascii="Calibri" w:hAnsi="Calibri" w:eastAsia="Yu Gothic"/>
        </w:rPr>
        <w:t>すべて配布CSVをローカルで処理し、サーバーへの侵入や通信は行いません。</w:t>
      </w:r>
    </w:p>
    <w:p>
      <w:pPr>
        <w:numPr>
          <w:ilvl w:val="0"/>
          <w:numId w:val="10"/>
        </w:numPr>
      </w:pPr>
      <w:r>
        <w:rPr>
          <w:rFonts w:ascii="Calibri" w:hAnsi="Calibri" w:eastAsia="Yu Gothic"/>
        </w:rPr>
        <w:t>結果は本人確認ではなく、統計的に有力な候補を並べたものです。</w:t>
      </w:r>
    </w:p>
    <w:p>
      <w:pPr>
        <w:spacing w:after="0"/>
      </w:pPr>
      <w:r>
        <w:br w:type="page"/>
      </w:r>
    </w:p>
    <w:p>
      <w:pPr>
        <w:spacing w:before="0" w:after="40"/>
      </w:pPr>
      <w:r>
        <w:rPr>
          <w:rFonts w:ascii="Calibri" w:hAnsi="Calibri" w:eastAsia="Yu Gothic"/>
          <w:b/>
          <w:color w:val="B8872B"/>
          <w:sz w:val="19"/>
        </w:rPr>
        <w:t>数字の読み方</w:t>
      </w:r>
    </w:p>
    <w:p>
      <w:pPr>
        <w:pStyle w:val="Heading1"/>
      </w:pPr>
      <w:r>
        <w:rPr>
          <w:rFonts w:ascii="Calibri" w:hAnsi="Calibri" w:eastAsia="Yu Gothic"/>
          <w:b/>
        </w:rPr>
        <w:t>2. 20対象の提出候補と、29対象の比較実験を分けて読む</w:t>
      </w:r>
    </w:p>
    <w:p>
      <w:pPr>
        <w:keepLines/>
        <w:spacing w:after="160"/>
      </w:pPr>
      <w:r>
        <w:rPr>
          <w:rFonts w:ascii="Calibri" w:hAnsi="Calibri" w:eastAsia="Yu Gothic"/>
          <w:i w:val="0"/>
          <w:color w:val="2B6673"/>
          <w:sz w:val="23"/>
        </w:rPr>
        <w:t>本文の手法説明は現在の20対象に合わせます。29対象の数字は、方式を選ぶためのshadow評価だけで使います。</w:t>
      </w:r>
    </w:p>
    <w:p>
      <w:pPr>
        <w:keepNext/>
        <w:spacing w:before="80" w:after="0"/>
        <w:jc w:val="center"/>
      </w:pPr>
      <w:r>
        <w:drawing>
          <wp:inline xmlns:a="http://schemas.openxmlformats.org/drawingml/2006/main" xmlns:pic="http://schemas.openxmlformats.org/drawingml/2006/picture">
            <wp:extent cx="5669280" cy="2834640"/>
            <wp:docPr id="3" name="Picture 3" title="03_current_shadow" descr="20対象の現在候補と、29対象の手法比較用shadow評価で使う人数・AIA退避値の違い。"/>
            <wp:cNvGraphicFramePr>
              <a:graphicFrameLocks noChangeAspect="1"/>
            </wp:cNvGraphicFramePr>
            <a:graphic>
              <a:graphicData uri="http://schemas.openxmlformats.org/drawingml/2006/picture">
                <pic:pic>
                  <pic:nvPicPr>
                    <pic:cNvPr id="0" name="03_current_shadow.png"/>
                    <pic:cNvPicPr/>
                  </pic:nvPicPr>
                  <pic:blipFill>
                    <a:blip r:embed="rId13"/>
                    <a:stretch>
                      <a:fillRect/>
                    </a:stretch>
                  </pic:blipFill>
                  <pic:spPr>
                    <a:xfrm>
                      <a:off x="0" y="0"/>
                      <a:ext cx="5669280" cy="2834640"/>
                    </a:xfrm>
                    <a:prstGeom prst="rect"/>
                  </pic:spPr>
                </pic:pic>
              </a:graphicData>
            </a:graphic>
          </wp:inline>
        </w:drawing>
      </w:r>
    </w:p>
    <w:p>
      <w:pPr>
        <w:pStyle w:val="Caption"/>
      </w:pPr>
      <w:r>
        <w:rPr>
          <w:rFonts w:ascii="Calibri" w:hAnsi="Calibri" w:eastAsia="Yu Gothic"/>
          <w:color w:val="5D6B78"/>
          <w:sz w:val="18"/>
        </w:rPr>
        <w:t>図2　現在の提出候補とshadow評価の違い</w:t>
      </w:r>
    </w:p>
    <w:p>
      <w:pPr>
        <w:pStyle w:val="Caption"/>
        <w:keepNext/>
        <w:spacing w:after="80"/>
        <w:jc w:val="left"/>
      </w:pPr>
      <w:r>
        <w:rPr>
          <w:rFonts w:ascii="Calibri" w:hAnsi="Calibri" w:eastAsia="Yu Gothic"/>
          <w:color w:val="5D6B78"/>
          <w:sz w:val="18"/>
        </w:rPr>
        <w:t>表1　数字を混同しないための早見表</w:t>
      </w:r>
    </w:p>
    <w:tbl>
      <w:tblPr>
        <w:tblStyle w:val="TableGrid"/>
        <w:tblW w:type="dxa" w:w="9360"/>
        <w:jc w:val="left"/>
        <w:tblLayout w:type="fixed"/>
        <w:tblLook w:firstColumn="1" w:firstRow="1" w:lastColumn="0" w:lastRow="0" w:noHBand="0" w:noVBand="1" w:val="04A0"/>
        <w:tblInd w:type="dxa" w:w="120"/>
      </w:tblPr>
      <w:tblGrid>
        <w:gridCol w:w="2700"/>
        <w:gridCol w:w="3330"/>
        <w:gridCol w:w="3330"/>
      </w:tblGrid>
      <w:tr>
        <w:trPr>
          <w:tblHeader w:val="true"/>
        </w:trPr>
        <w:tc>
          <w:tcPr>
            <w:tcW w:type="dxa" w:w="270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項目</w:t>
            </w:r>
          </w:p>
        </w:tc>
        <w:tc>
          <w:tcPr>
            <w:tcW w:type="dxa" w:w="333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現在の提出候補</w:t>
            </w:r>
          </w:p>
        </w:tc>
        <w:tc>
          <w:tcPr>
            <w:tcW w:type="dxa" w:w="333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手法比較用shadow</w:t>
            </w:r>
          </w:p>
        </w:tc>
      </w:tr>
      <w:tr>
        <w:trPr/>
        <w:tc>
          <w:tcPr>
            <w:tcW w:type="dxa" w:w="27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MIA出力</w:t>
            </w:r>
          </w:p>
        </w:tc>
        <w:tc>
          <w:tcPr>
            <w:tcW w:type="dxa" w:w="333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sz w:val="18"/>
              </w:rPr>
              <w:t>1,049行×21列</w:t>
            </w:r>
          </w:p>
        </w:tc>
        <w:tc>
          <w:tcPr>
            <w:tcW w:type="dxa" w:w="333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sz w:val="18"/>
              </w:rPr>
              <w:t>1,049行×30列</w:t>
            </w:r>
          </w:p>
        </w:tc>
      </w:tr>
      <w:tr>
        <w:trPr/>
        <w:tc>
          <w:tcPr>
            <w:tcW w:type="dxa" w:w="27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AIA出力</w:t>
            </w:r>
          </w:p>
        </w:tc>
        <w:tc>
          <w:tcPr>
            <w:tcW w:type="dxa" w:w="333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sz w:val="18"/>
              </w:rPr>
              <w:t>6,520行</w:t>
            </w:r>
          </w:p>
        </w:tc>
        <w:tc>
          <w:tcPr>
            <w:tcW w:type="dxa" w:w="333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sz w:val="18"/>
              </w:rPr>
              <w:t>29対象分</w:t>
            </w:r>
          </w:p>
        </w:tc>
      </w:tr>
      <w:tr>
        <w:trPr/>
        <w:tc>
          <w:tcPr>
            <w:tcW w:type="dxa" w:w="27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用途</w:t>
            </w:r>
          </w:p>
        </w:tc>
        <w:tc>
          <w:tcPr>
            <w:tcW w:type="dxa" w:w="333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sz w:val="18"/>
              </w:rPr>
              <w:t>提出候補の生成</w:t>
            </w:r>
          </w:p>
        </w:tc>
        <w:tc>
          <w:tcPr>
            <w:tcW w:type="dxa" w:w="333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sz w:val="18"/>
              </w:rPr>
              <w:t>方式同士の相対比較</w:t>
            </w:r>
          </w:p>
        </w:tc>
      </w:tr>
    </w:tbl>
    <w:p>
      <w:pPr>
        <w:spacing w:before="20" w:after="40"/>
      </w:pPr>
    </w:p>
    <w:p>
      <w:pPr>
        <w:pStyle w:val="CautionBox"/>
        <w:shd w:fill="FFF7E5" w:val="clear"/>
        <w:keepLines/>
        <w:pBdr>
          <w:left w:val="single" w:sz="18" w:space="8" w:color="B8872B"/>
        </w:pBdr>
      </w:pPr>
      <w:r>
        <w:rPr>
          <w:rFonts w:ascii="Calibri" w:hAnsi="Calibri" w:eastAsia="Yu Gothic"/>
          <w:b/>
          <w:color w:val="B8872B"/>
          <w:sz w:val="21"/>
        </w:rPr>
        <w:t xml:space="preserve">注意  </w:t>
      </w:r>
      <w:r>
        <w:rPr>
          <w:rFonts w:ascii="Calibri" w:hAnsi="Calibri" w:eastAsia="Yu Gothic"/>
          <w:sz w:val="21"/>
        </w:rPr>
        <w:t>508人・各対象25〜27人は秘密の正解ではなく、攻撃側が置いた人数の前提です。</w:t>
      </w:r>
    </w:p>
    <w:p>
      <w:pPr>
        <w:spacing w:after="0"/>
      </w:pPr>
      <w:r>
        <w:br w:type="page"/>
      </w:r>
    </w:p>
    <w:p>
      <w:pPr>
        <w:spacing w:before="0" w:after="40"/>
      </w:pPr>
      <w:r>
        <w:rPr>
          <w:rFonts w:ascii="Calibri" w:hAnsi="Calibri" w:eastAsia="Yu Gothic"/>
          <w:b/>
          <w:color w:val="B8872B"/>
          <w:sz w:val="19"/>
        </w:rPr>
        <w:t>MIA側</w:t>
      </w:r>
    </w:p>
    <w:p>
      <w:pPr>
        <w:pStyle w:val="Heading1"/>
      </w:pPr>
      <w:r>
        <w:rPr>
          <w:rFonts w:ascii="Calibri" w:hAnsi="Calibri" w:eastAsia="Yu Gothic"/>
          <w:b/>
        </w:rPr>
        <w:t>3. MIA側の流れを一枚で見る</w:t>
      </w:r>
    </w:p>
    <w:p>
      <w:pPr>
        <w:keepLines/>
        <w:spacing w:after="160"/>
      </w:pPr>
      <w:r>
        <w:rPr>
          <w:rFonts w:ascii="Calibri" w:hAnsi="Calibri" w:eastAsia="Yu Gothic"/>
          <w:i w:val="0"/>
          <w:color w:val="2B6673"/>
          <w:sz w:val="23"/>
        </w:rPr>
        <w:t>候補者1,049人について、20対象それぞれへの所属候補としての強さを作り、最後に対象内の順位へ変えます。</w:t>
      </w:r>
    </w:p>
    <w:p>
      <w:pPr>
        <w:keepNext/>
        <w:spacing w:before="80" w:after="0"/>
        <w:jc w:val="center"/>
      </w:pPr>
      <w:r>
        <w:drawing>
          <wp:inline xmlns:a="http://schemas.openxmlformats.org/drawingml/2006/main" xmlns:pic="http://schemas.openxmlformats.org/drawingml/2006/picture">
            <wp:extent cx="5715000" cy="2857500"/>
            <wp:docPr id="4" name="Picture 4" title="04_mia_pipeline" descr="単位合わせ、四つの見方、背景中の珍しさ、対象固有性、人数調整、順位化の六段階。"/>
            <wp:cNvGraphicFramePr>
              <a:graphicFrameLocks noChangeAspect="1"/>
            </wp:cNvGraphicFramePr>
            <a:graphic>
              <a:graphicData uri="http://schemas.openxmlformats.org/drawingml/2006/picture">
                <pic:pic>
                  <pic:nvPicPr>
                    <pic:cNvPr id="0" name="04_mia_pipeline.png"/>
                    <pic:cNvPicPr/>
                  </pic:nvPicPr>
                  <pic:blipFill>
                    <a:blip r:embed="rId14"/>
                    <a:stretch>
                      <a:fillRect/>
                    </a:stretch>
                  </pic:blipFill>
                  <pic:spPr>
                    <a:xfrm>
                      <a:off x="0" y="0"/>
                      <a:ext cx="5715000" cy="2857500"/>
                    </a:xfrm>
                    <a:prstGeom prst="rect"/>
                  </pic:spPr>
                </pic:pic>
              </a:graphicData>
            </a:graphic>
          </wp:inline>
        </w:drawing>
      </w:r>
    </w:p>
    <w:p>
      <w:pPr>
        <w:pStyle w:val="Caption"/>
      </w:pPr>
      <w:r>
        <w:rPr>
          <w:rFonts w:ascii="Calibri" w:hAnsi="Calibri" w:eastAsia="Yu Gothic"/>
          <w:color w:val="5D6B78"/>
          <w:sz w:val="18"/>
        </w:rPr>
        <w:t>図3　MIA側の六段階</w:t>
      </w:r>
    </w:p>
    <w:p>
      <w:pPr>
        <w:numPr>
          <w:ilvl w:val="0"/>
          <w:numId w:val="10"/>
        </w:numPr>
      </w:pPr>
      <w:r>
        <w:rPr>
          <w:rFonts w:ascii="Calibri" w:hAnsi="Calibri" w:eastAsia="Yu Gothic"/>
        </w:rPr>
        <w:t>一つの比較結果だけでは決めない。</w:t>
      </w:r>
    </w:p>
    <w:p>
      <w:pPr>
        <w:numPr>
          <w:ilvl w:val="0"/>
          <w:numId w:val="10"/>
        </w:numPr>
      </w:pPr>
      <w:r>
        <w:rPr>
          <w:rFonts w:ascii="Calibri" w:hAnsi="Calibri" w:eastAsia="Yu Gothic"/>
        </w:rPr>
        <w:t>候補者を対象ごとに別々に選ばず、20対象を同時に考える。</w:t>
      </w:r>
    </w:p>
    <w:p>
      <w:pPr>
        <w:numPr>
          <w:ilvl w:val="0"/>
          <w:numId w:val="10"/>
        </w:numPr>
      </w:pPr>
      <w:r>
        <w:rPr>
          <w:rFonts w:ascii="Calibri" w:hAnsi="Calibri" w:eastAsia="Yu Gothic"/>
        </w:rPr>
        <w:t>最後に出す値は、所属確率ではなく対象内の順位である。</w:t>
      </w:r>
    </w:p>
    <w:p>
      <w:pPr>
        <w:pStyle w:val="KeyTakeaway"/>
        <w:shd w:fill="E8F3F4" w:val="clear"/>
        <w:keepLines/>
        <w:pBdr>
          <w:left w:val="single" w:sz="18" w:space="8" w:color="2B6673"/>
        </w:pBdr>
      </w:pPr>
      <w:r>
        <w:rPr>
          <w:rFonts w:ascii="Calibri" w:hAnsi="Calibri" w:eastAsia="Yu Gothic"/>
          <w:b/>
          <w:color w:val="2B6673"/>
          <w:sz w:val="21"/>
        </w:rPr>
        <w:t xml:space="preserve">このページで覚えること  </w:t>
      </w:r>
      <w:r>
        <w:rPr>
          <w:rFonts w:ascii="Calibri" w:hAnsi="Calibri" w:eastAsia="Yu Gothic"/>
          <w:sz w:val="21"/>
        </w:rPr>
        <w:t>弱い手掛かりを足し合わせ、全体の人数関係で矛盾を減らすのが中心です。</w:t>
      </w:r>
    </w:p>
    <w:p>
      <w:pPr>
        <w:spacing w:after="0"/>
      </w:pPr>
      <w:r>
        <w:br w:type="page"/>
      </w:r>
    </w:p>
    <w:p>
      <w:pPr>
        <w:spacing w:before="0" w:after="40"/>
      </w:pPr>
      <w:r>
        <w:rPr>
          <w:rFonts w:ascii="Calibri" w:hAnsi="Calibri" w:eastAsia="Yu Gothic"/>
          <w:b/>
          <w:color w:val="B8872B"/>
          <w:sz w:val="19"/>
        </w:rPr>
        <w:t>MIA側・下ごしらえ</w:t>
      </w:r>
    </w:p>
    <w:p>
      <w:pPr>
        <w:pStyle w:val="Heading1"/>
      </w:pPr>
      <w:r>
        <w:rPr>
          <w:rFonts w:ascii="Calibri" w:hAnsi="Calibri" w:eastAsia="Yu Gothic"/>
          <w:b/>
        </w:rPr>
        <w:t>4. 年齢も検査値も、まず同じ物差しへ直す</w:t>
      </w:r>
    </w:p>
    <w:p>
      <w:pPr>
        <w:keepLines/>
        <w:spacing w:after="160"/>
      </w:pPr>
      <w:r>
        <w:rPr>
          <w:rFonts w:ascii="Calibri" w:hAnsi="Calibri" w:eastAsia="Yu Gothic"/>
          <w:i w:val="0"/>
          <w:color w:val="2B6673"/>
          <w:sz w:val="23"/>
        </w:rPr>
        <w:t>年齢、血圧、TGなどは単位も値の範囲も違います。そのままでは、大きな数字の項目だけが距離を支配します。</w:t>
      </w:r>
    </w:p>
    <w:p>
      <w:pPr>
        <w:keepNext/>
        <w:spacing w:before="80" w:after="0"/>
        <w:jc w:val="center"/>
      </w:pPr>
      <w:r>
        <w:drawing>
          <wp:inline xmlns:a="http://schemas.openxmlformats.org/drawingml/2006/main" xmlns:pic="http://schemas.openxmlformats.org/drawingml/2006/picture">
            <wp:extent cx="5715000" cy="2857500"/>
            <wp:docPr id="5" name="Picture 5" title="05_scaling" descr="年齢、血圧、TGの異なる数値幅を、背景データの中央値と中央部分の広がりを使って共通尺度へ直す図。"/>
            <wp:cNvGraphicFramePr>
              <a:graphicFrameLocks noChangeAspect="1"/>
            </wp:cNvGraphicFramePr>
            <a:graphic>
              <a:graphicData uri="http://schemas.openxmlformats.org/drawingml/2006/picture">
                <pic:pic>
                  <pic:nvPicPr>
                    <pic:cNvPr id="0" name="05_scaling.png"/>
                    <pic:cNvPicPr/>
                  </pic:nvPicPr>
                  <pic:blipFill>
                    <a:blip r:embed="rId15"/>
                    <a:stretch>
                      <a:fillRect/>
                    </a:stretch>
                  </pic:blipFill>
                  <pic:spPr>
                    <a:xfrm>
                      <a:off x="0" y="0"/>
                      <a:ext cx="5715000" cy="2857500"/>
                    </a:xfrm>
                    <a:prstGeom prst="rect"/>
                  </pic:spPr>
                </pic:pic>
              </a:graphicData>
            </a:graphic>
          </wp:inline>
        </w:drawing>
      </w:r>
    </w:p>
    <w:p>
      <w:pPr>
        <w:pStyle w:val="Caption"/>
      </w:pPr>
      <w:r>
        <w:rPr>
          <w:rFonts w:ascii="Calibri" w:hAnsi="Calibri" w:eastAsia="Yu Gothic"/>
          <w:color w:val="5D6B78"/>
          <w:sz w:val="18"/>
        </w:rPr>
        <w:t>図4　背景データを基準にした単位合わせ</w:t>
      </w:r>
    </w:p>
    <w:p>
      <w:r>
        <w:rPr>
          <w:rFonts w:ascii="Calibri" w:hAnsi="Calibri" w:eastAsia="Yu Gothic"/>
          <w:i w:val="0"/>
        </w:rPr>
        <w:t>A_bgの中央値を中心にし、中央50%の広がりを基準に割り算します。極端な値の影響を受けにくい方法で、コード上ではロバスト標準化と呼んでいます。</w:t>
      </w:r>
    </w:p>
    <w:p>
      <w:pPr>
        <w:pStyle w:val="NoteBox"/>
        <w:shd w:fill="F4F6F9" w:val="clear"/>
        <w:keepLines/>
        <w:pBdr>
          <w:left w:val="single" w:sz="18" w:space="8" w:color="2E74B5"/>
        </w:pBdr>
      </w:pPr>
      <w:r>
        <w:rPr>
          <w:rFonts w:ascii="Calibri" w:hAnsi="Calibri" w:eastAsia="Yu Gothic"/>
          <w:b/>
          <w:color w:val="2E74B5"/>
          <w:sz w:val="21"/>
        </w:rPr>
        <w:t xml:space="preserve">なぜA_bgを使う？  </w:t>
      </w:r>
      <w:r>
        <w:rPr>
          <w:rFonts w:ascii="Calibri" w:hAnsi="Calibri" w:eastAsia="Yu Gothic"/>
          <w:sz w:val="21"/>
        </w:rPr>
        <w:t>正解を教えてもらうためではなく、『一般の人ではどの程度ばらつくか』を物差しにするためです。</w:t>
      </w:r>
    </w:p>
    <w:p>
      <w:pPr>
        <w:pStyle w:val="KeyTakeaway"/>
        <w:shd w:fill="E8F3F4" w:val="clear"/>
        <w:keepLines/>
        <w:pBdr>
          <w:left w:val="single" w:sz="18" w:space="8" w:color="2B6673"/>
        </w:pBdr>
      </w:pPr>
      <w:r>
        <w:rPr>
          <w:rFonts w:ascii="Calibri" w:hAnsi="Calibri" w:eastAsia="Yu Gothic"/>
          <w:b/>
          <w:color w:val="2B6673"/>
          <w:sz w:val="21"/>
        </w:rPr>
        <w:t xml:space="preserve">このページで覚えること  </w:t>
      </w:r>
      <w:r>
        <w:rPr>
          <w:rFonts w:ascii="Calibri" w:hAnsi="Calibri" w:eastAsia="Yu Gothic"/>
          <w:sz w:val="21"/>
        </w:rPr>
        <w:t>単位をそろえないと、TGのような数値幅の大きい項目だけで近さが決まってしまいます。</w:t>
      </w:r>
    </w:p>
    <w:p>
      <w:pPr>
        <w:spacing w:after="0"/>
      </w:pPr>
      <w:r>
        <w:br w:type="page"/>
      </w:r>
    </w:p>
    <w:p>
      <w:pPr>
        <w:spacing w:before="0" w:after="40"/>
      </w:pPr>
      <w:r>
        <w:rPr>
          <w:rFonts w:ascii="Calibri" w:hAnsi="Calibri" w:eastAsia="Yu Gothic"/>
          <w:b/>
          <w:color w:val="B8872B"/>
          <w:sz w:val="19"/>
        </w:rPr>
        <w:t>MIA側・複数の見方</w:t>
      </w:r>
    </w:p>
    <w:p>
      <w:pPr>
        <w:pStyle w:val="Heading1"/>
      </w:pPr>
      <w:r>
        <w:rPr>
          <w:rFonts w:ascii="Calibri" w:hAnsi="Calibri" w:eastAsia="Yu Gothic"/>
          <w:b/>
        </w:rPr>
        <w:t>5. 同じ候補者を、四つの角度から比べる</w:t>
      </w:r>
    </w:p>
    <w:p>
      <w:pPr>
        <w:keepLines/>
        <w:spacing w:after="160"/>
      </w:pPr>
      <w:r>
        <w:rPr>
          <w:rFonts w:ascii="Calibri" w:hAnsi="Calibri" w:eastAsia="Yu Gothic"/>
          <w:i w:val="0"/>
          <w:color w:val="2B6673"/>
          <w:sz w:val="23"/>
        </w:rPr>
        <w:t>加工の影響は項目ごとに違うため、同じ項目構成だけに頼らず、四通りの比較と一つの補助情報を使います。</w:t>
      </w:r>
    </w:p>
    <w:p>
      <w:pPr>
        <w:keepNext/>
        <w:spacing w:before="80" w:after="0"/>
        <w:jc w:val="center"/>
      </w:pPr>
      <w:r>
        <w:drawing>
          <wp:inline xmlns:a="http://schemas.openxmlformats.org/drawingml/2006/main" xmlns:pic="http://schemas.openxmlformats.org/drawingml/2006/picture">
            <wp:extent cx="5715000" cy="3048000"/>
            <wp:docPr id="6" name="Picture 6" title="06_mia_views" descr="基本5項目、極端値をならした5項目、臨床7項目、転帰を含む11項目、分布の濃さの差を、相対的な重み付きで統合する図。"/>
            <wp:cNvGraphicFramePr>
              <a:graphicFrameLocks noChangeAspect="1"/>
            </wp:cNvGraphicFramePr>
            <a:graphic>
              <a:graphicData uri="http://schemas.openxmlformats.org/drawingml/2006/picture">
                <pic:pic>
                  <pic:nvPicPr>
                    <pic:cNvPr id="0" name="06_mia_views.png"/>
                    <pic:cNvPicPr/>
                  </pic:nvPicPr>
                  <pic:blipFill>
                    <a:blip r:embed="rId16"/>
                    <a:stretch>
                      <a:fillRect/>
                    </a:stretch>
                  </pic:blipFill>
                  <pic:spPr>
                    <a:xfrm>
                      <a:off x="0" y="0"/>
                      <a:ext cx="5715000" cy="3048000"/>
                    </a:xfrm>
                    <a:prstGeom prst="rect"/>
                  </pic:spPr>
                </pic:pic>
              </a:graphicData>
            </a:graphic>
          </wp:inline>
        </w:drawing>
      </w:r>
    </w:p>
    <w:p>
      <w:pPr>
        <w:pStyle w:val="Caption"/>
      </w:pPr>
      <w:r>
        <w:rPr>
          <w:rFonts w:ascii="Calibri" w:hAnsi="Calibri" w:eastAsia="Yu Gothic"/>
          <w:color w:val="5D6B78"/>
          <w:sz w:val="18"/>
        </w:rPr>
        <w:t>図5　MIA側で使う四つの見方と補助情報</w:t>
      </w:r>
    </w:p>
    <w:p>
      <w:r>
        <w:rPr>
          <w:rFonts w:ascii="Calibri" w:hAnsi="Calibri" w:eastAsia="Yu Gothic"/>
          <w:i w:val="0"/>
        </w:rPr>
        <w:t>四つの比較結果は、いったん各対象内の順位へ直してからまとめます。数字の尺度が違う証拠を、そのまま足して一方だけが支配するのを避けるためです。</w:t>
      </w:r>
    </w:p>
    <w:p>
      <w:pPr>
        <w:pStyle w:val="NoteBox"/>
        <w:shd w:fill="F4F6F9" w:val="clear"/>
        <w:keepLines/>
        <w:pBdr>
          <w:left w:val="single" w:sz="18" w:space="8" w:color="2E74B5"/>
        </w:pBdr>
      </w:pPr>
      <w:r>
        <w:rPr>
          <w:rFonts w:ascii="Calibri" w:hAnsi="Calibri" w:eastAsia="Yu Gothic"/>
          <w:b/>
          <w:color w:val="2E74B5"/>
          <w:sz w:val="21"/>
        </w:rPr>
        <w:t xml:space="preserve">必要な固有語  </w:t>
      </w:r>
      <w:r>
        <w:rPr>
          <w:rFonts w:ascii="Calibri" w:hAnsi="Calibri" w:eastAsia="Yu Gothic"/>
          <w:sz w:val="21"/>
        </w:rPr>
        <w:t>分布の濃さの差を使う補助情報は、コードではDOMIAS型の証拠と呼んでいます。これだけで判定するのではなく、全体の10%を占める補助役です。</w:t>
      </w:r>
    </w:p>
    <w:p>
      <w:pPr>
        <w:pStyle w:val="KeyTakeaway"/>
        <w:shd w:fill="E8F3F4" w:val="clear"/>
        <w:keepLines/>
        <w:pBdr>
          <w:left w:val="single" w:sz="18" w:space="8" w:color="2B6673"/>
        </w:pBdr>
      </w:pPr>
      <w:r>
        <w:rPr>
          <w:rFonts w:ascii="Calibri" w:hAnsi="Calibri" w:eastAsia="Yu Gothic"/>
          <w:b/>
          <w:color w:val="2B6673"/>
          <w:sz w:val="21"/>
        </w:rPr>
        <w:t xml:space="preserve">このページで覚えること  </w:t>
      </w:r>
      <w:r>
        <w:rPr>
          <w:rFonts w:ascii="Calibri" w:hAnsi="Calibri" w:eastAsia="Yu Gothic"/>
          <w:sz w:val="21"/>
        </w:rPr>
        <w:t>四つの見方は多数決ではなく、20%・20%・30%・20%の相対重みでまとめます。</w:t>
      </w:r>
    </w:p>
    <w:p>
      <w:pPr>
        <w:spacing w:after="0"/>
      </w:pPr>
      <w:r>
        <w:br w:type="page"/>
      </w:r>
    </w:p>
    <w:p>
      <w:pPr>
        <w:spacing w:before="0" w:after="40"/>
      </w:pPr>
      <w:r>
        <w:rPr>
          <w:rFonts w:ascii="Calibri" w:hAnsi="Calibri" w:eastAsia="Yu Gothic"/>
          <w:b/>
          <w:color w:val="B8872B"/>
          <w:sz w:val="19"/>
        </w:rPr>
        <w:t>MIA側・背景との比較</w:t>
      </w:r>
    </w:p>
    <w:p>
      <w:pPr>
        <w:pStyle w:val="Heading1"/>
      </w:pPr>
      <w:r>
        <w:rPr>
          <w:rFonts w:ascii="Calibri" w:hAnsi="Calibri" w:eastAsia="Yu Gothic"/>
          <w:b/>
        </w:rPr>
        <w:t>6. 一番近い行を探し、その近さが珍しいか確かめる</w:t>
      </w:r>
    </w:p>
    <w:p>
      <w:pPr>
        <w:keepLines/>
        <w:spacing w:after="160"/>
      </w:pPr>
      <w:r>
        <w:rPr>
          <w:rFonts w:ascii="Calibri" w:hAnsi="Calibri" w:eastAsia="Yu Gothic"/>
          <w:i w:val="0"/>
          <w:color w:val="2B6673"/>
          <w:sz w:val="23"/>
        </w:rPr>
        <w:t>距離が小さいだけでは、本人らしいとは言えません。一般集団でも同じ程度に似る人が多いかどうかを確認します。</w:t>
      </w:r>
    </w:p>
    <w:p>
      <w:pPr>
        <w:keepNext/>
        <w:spacing w:before="80" w:after="0"/>
        <w:jc w:val="center"/>
      </w:pPr>
      <w:r>
        <w:drawing>
          <wp:inline xmlns:a="http://schemas.openxmlformats.org/drawingml/2006/main" xmlns:pic="http://schemas.openxmlformats.org/drawingml/2006/picture">
            <wp:extent cx="5669280" cy="2897632"/>
            <wp:docPr id="7" name="Picture 7" title="07_rare_closeness" descr="候補Aは距離が小さいが背景にも似た人が多く、候補Bは少し遠くても背景では珍しいため強い手掛かりになる例。"/>
            <wp:cNvGraphicFramePr>
              <a:graphicFrameLocks noChangeAspect="1"/>
            </wp:cNvGraphicFramePr>
            <a:graphic>
              <a:graphicData uri="http://schemas.openxmlformats.org/drawingml/2006/picture">
                <pic:pic>
                  <pic:nvPicPr>
                    <pic:cNvPr id="0" name="07_rare_closeness.png"/>
                    <pic:cNvPicPr/>
                  </pic:nvPicPr>
                  <pic:blipFill>
                    <a:blip r:embed="rId17"/>
                    <a:stretch>
                      <a:fillRect/>
                    </a:stretch>
                  </pic:blipFill>
                  <pic:spPr>
                    <a:xfrm>
                      <a:off x="0" y="0"/>
                      <a:ext cx="5669280" cy="2897632"/>
                    </a:xfrm>
                    <a:prstGeom prst="rect"/>
                  </pic:spPr>
                </pic:pic>
              </a:graphicData>
            </a:graphic>
          </wp:inline>
        </w:drawing>
      </w:r>
    </w:p>
    <w:p>
      <w:pPr>
        <w:pStyle w:val="Caption"/>
      </w:pPr>
      <w:r>
        <w:rPr>
          <w:rFonts w:ascii="Calibri" w:hAnsi="Calibri" w:eastAsia="Yu Gothic"/>
          <w:color w:val="5D6B78"/>
          <w:sz w:val="18"/>
        </w:rPr>
        <w:t>図6　よくある近さと、背景では珍しい近さ</w:t>
      </w:r>
    </w:p>
    <w:p>
      <w:pPr>
        <w:pStyle w:val="Caption"/>
        <w:keepNext/>
        <w:spacing w:after="80"/>
        <w:jc w:val="left"/>
      </w:pPr>
      <w:r>
        <w:rPr>
          <w:rFonts w:ascii="Calibri" w:hAnsi="Calibri" w:eastAsia="Yu Gothic"/>
          <w:color w:val="5D6B78"/>
          <w:sz w:val="18"/>
        </w:rPr>
        <w:t>表2　最も近い公開行を探す範囲</w:t>
      </w:r>
    </w:p>
    <w:tbl>
      <w:tblPr>
        <w:tblStyle w:val="TableGrid"/>
        <w:tblW w:type="dxa" w:w="9360"/>
        <w:jc w:val="left"/>
        <w:tblLayout w:type="fixed"/>
        <w:tblLook w:firstColumn="1" w:firstRow="1" w:lastColumn="0" w:lastRow="0" w:noHBand="0" w:noVBand="1" w:val="04A0"/>
        <w:tblInd w:type="dxa" w:w="120"/>
      </w:tblPr>
      <w:tblGrid>
        <w:gridCol w:w="1400"/>
        <w:gridCol w:w="3900"/>
        <w:gridCol w:w="4060"/>
      </w:tblGrid>
      <w:tr>
        <w:trPr>
          <w:tblHeader w:val="true"/>
        </w:trPr>
        <w:tc>
          <w:tcPr>
            <w:tcW w:type="dxa" w:w="140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探す順序</w:t>
            </w:r>
          </w:p>
        </w:tc>
        <w:tc>
          <w:tcPr>
            <w:tcW w:type="dxa" w:w="390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公開データ内で探す範囲</w:t>
            </w:r>
          </w:p>
        </w:tc>
        <w:tc>
          <w:tcPr>
            <w:tcW w:type="dxa" w:w="406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理由</w:t>
            </w:r>
          </w:p>
        </w:tc>
      </w:tr>
      <w:tr>
        <w:trPr/>
        <w:tc>
          <w:tcPr>
            <w:tcW w:type="dxa" w:w="14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sz w:val="18"/>
              </w:rPr>
              <w:t>1</w:t>
            </w:r>
          </w:p>
        </w:tc>
        <w:tc>
          <w:tcPr>
            <w:tcW w:type="dxa" w:w="39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性別と都道府県が同じ行</w:t>
            </w:r>
          </w:p>
        </w:tc>
        <w:tc>
          <w:tcPr>
            <w:tcW w:type="dxa" w:w="40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まず妥当な範囲で比べる</w:t>
            </w:r>
          </w:p>
        </w:tc>
      </w:tr>
      <w:tr>
        <w:trPr/>
        <w:tc>
          <w:tcPr>
            <w:tcW w:type="dxa" w:w="14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sz w:val="18"/>
              </w:rPr>
              <w:t>2</w:t>
            </w:r>
          </w:p>
        </w:tc>
        <w:tc>
          <w:tcPr>
            <w:tcW w:type="dxa" w:w="39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性別だけが同じ行</w:t>
            </w:r>
          </w:p>
        </w:tc>
        <w:tc>
          <w:tcPr>
            <w:tcW w:type="dxa" w:w="40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該当行がない場合に広げる</w:t>
            </w:r>
          </w:p>
        </w:tc>
      </w:tr>
      <w:tr>
        <w:trPr/>
        <w:tc>
          <w:tcPr>
            <w:tcW w:type="dxa" w:w="14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sz w:val="18"/>
              </w:rPr>
              <w:t>3</w:t>
            </w:r>
          </w:p>
        </w:tc>
        <w:tc>
          <w:tcPr>
            <w:tcW w:type="dxa" w:w="39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公開データ全体</w:t>
            </w:r>
          </w:p>
        </w:tc>
        <w:tc>
          <w:tcPr>
            <w:tcW w:type="dxa" w:w="40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最後の手段として全体を見る</w:t>
            </w:r>
          </w:p>
        </w:tc>
      </w:tr>
    </w:tbl>
    <w:p>
      <w:pPr>
        <w:spacing w:before="20" w:after="40"/>
      </w:pPr>
    </w:p>
    <w:p>
      <w:r>
        <w:rPr>
          <w:rFonts w:ascii="Calibri" w:hAnsi="Calibri" w:eastAsia="Yu Gothic"/>
          <w:i w:val="0"/>
        </w:rPr>
        <w:t>さらに、一番近い行だけが二番目より明確に近い場合は、少し強い手掛かりとして扱います。</w:t>
      </w:r>
    </w:p>
    <w:p>
      <w:pPr>
        <w:pStyle w:val="KeyTakeaway"/>
        <w:shd w:fill="E8F3F4" w:val="clear"/>
        <w:keepLines/>
        <w:pBdr>
          <w:left w:val="single" w:sz="18" w:space="8" w:color="2B6673"/>
        </w:pBdr>
      </w:pPr>
      <w:r>
        <w:rPr>
          <w:rFonts w:ascii="Calibri" w:hAnsi="Calibri" w:eastAsia="Yu Gothic"/>
          <w:b/>
          <w:color w:val="2B6673"/>
          <w:sz w:val="21"/>
        </w:rPr>
        <w:t xml:space="preserve">このページで覚えること  </w:t>
      </w:r>
      <w:r>
        <w:rPr>
          <w:rFonts w:ascii="Calibri" w:hAnsi="Calibri" w:eastAsia="Yu Gothic"/>
          <w:sz w:val="21"/>
        </w:rPr>
        <w:t>近さの絶対値より、『背景の人ではめったに起きない近さか』を重視します。</w:t>
      </w:r>
    </w:p>
    <w:p>
      <w:pPr>
        <w:spacing w:after="0"/>
      </w:pPr>
      <w:r>
        <w:br w:type="page"/>
      </w:r>
    </w:p>
    <w:p>
      <w:pPr>
        <w:spacing w:before="0" w:after="40"/>
      </w:pPr>
      <w:r>
        <w:rPr>
          <w:rFonts w:ascii="Calibri" w:hAnsi="Calibri" w:eastAsia="Yu Gothic"/>
          <w:b/>
          <w:color w:val="B8872B"/>
          <w:sz w:val="19"/>
        </w:rPr>
        <w:t>MIA側・対象固有の手掛かり</w:t>
      </w:r>
    </w:p>
    <w:p>
      <w:pPr>
        <w:pStyle w:val="Heading1"/>
      </w:pPr>
      <w:r>
        <w:rPr>
          <w:rFonts w:ascii="Calibri" w:hAnsi="Calibri" w:eastAsia="Yu Gothic"/>
          <w:b/>
        </w:rPr>
        <w:t>7. どの対象にも似る人より、その対象だけに似る人を上げる</w:t>
      </w:r>
    </w:p>
    <w:p>
      <w:pPr>
        <w:keepLines/>
        <w:spacing w:after="160"/>
      </w:pPr>
      <w:r>
        <w:rPr>
          <w:rFonts w:ascii="Calibri" w:hAnsi="Calibri" w:eastAsia="Yu Gothic"/>
          <w:i w:val="0"/>
          <w:color w:val="2B6673"/>
          <w:sz w:val="23"/>
        </w:rPr>
        <w:t>外れた特徴を持つ候補者は、どの対象に対しても高く見えることがあります。そこで、その対象だけで特に目立つかを見ます。</w:t>
      </w:r>
    </w:p>
    <w:p>
      <w:pPr>
        <w:keepNext/>
        <w:spacing w:before="80" w:after="0"/>
        <w:jc w:val="center"/>
      </w:pPr>
      <w:r>
        <w:drawing>
          <wp:inline xmlns:a="http://schemas.openxmlformats.org/drawingml/2006/main" xmlns:pic="http://schemas.openxmlformats.org/drawingml/2006/picture">
            <wp:extent cx="5715000" cy="2857500"/>
            <wp:docPr id="8" name="Picture 8" title="08_target_specific" descr="候補Aは全対象で高め、候補Bは対象7だけ高い架空例と、対象固有性を作る三要素の重み。"/>
            <wp:cNvGraphicFramePr>
              <a:graphicFrameLocks noChangeAspect="1"/>
            </wp:cNvGraphicFramePr>
            <a:graphic>
              <a:graphicData uri="http://schemas.openxmlformats.org/drawingml/2006/picture">
                <pic:pic>
                  <pic:nvPicPr>
                    <pic:cNvPr id="0" name="08_target_specific.png"/>
                    <pic:cNvPicPr/>
                  </pic:nvPicPr>
                  <pic:blipFill>
                    <a:blip r:embed="rId18"/>
                    <a:stretch>
                      <a:fillRect/>
                    </a:stretch>
                  </pic:blipFill>
                  <pic:spPr>
                    <a:xfrm>
                      <a:off x="0" y="0"/>
                      <a:ext cx="5715000" cy="2857500"/>
                    </a:xfrm>
                    <a:prstGeom prst="rect"/>
                  </pic:spPr>
                </pic:pic>
              </a:graphicData>
            </a:graphic>
          </wp:inline>
        </w:drawing>
      </w:r>
    </w:p>
    <w:p>
      <w:pPr>
        <w:pStyle w:val="Caption"/>
      </w:pPr>
      <w:r>
        <w:rPr>
          <w:rFonts w:ascii="Calibri" w:hAnsi="Calibri" w:eastAsia="Yu Gothic"/>
          <w:color w:val="5D6B78"/>
          <w:sz w:val="18"/>
        </w:rPr>
        <w:t>図7　広く似る候補と、対象7だけに似る候補</w:t>
      </w:r>
    </w:p>
    <w:p>
      <w:r>
        <w:rPr>
          <w:rFonts w:ascii="Calibri" w:hAnsi="Calibri" w:eastAsia="Yu Gothic"/>
          <w:i w:val="0"/>
        </w:rPr>
        <w:t>候補者ごとに、20対象で得た値の中央値を求めます。その中央値よりどれだけ高いかを55%、元の似かたを25%、次に似ている対象との差を20%としてまとめました。</w:t>
      </w:r>
    </w:p>
    <w:p>
      <w:pPr>
        <w:pStyle w:val="NoteBox"/>
        <w:shd w:fill="F4F6F9" w:val="clear"/>
        <w:keepLines/>
        <w:pBdr>
          <w:left w:val="single" w:sz="18" w:space="8" w:color="2E74B5"/>
        </w:pBdr>
      </w:pPr>
      <w:r>
        <w:rPr>
          <w:rFonts w:ascii="Calibri" w:hAnsi="Calibri" w:eastAsia="Yu Gothic"/>
          <w:b/>
          <w:color w:val="2E74B5"/>
          <w:sz w:val="21"/>
        </w:rPr>
        <w:t xml:space="preserve">例  </w:t>
      </w:r>
      <w:r>
        <w:rPr>
          <w:rFonts w:ascii="Calibri" w:hAnsi="Calibri" w:eastAsia="Yu Gothic"/>
          <w:sz w:val="21"/>
        </w:rPr>
        <w:t>候補Aが全対象で8点、候補Bが対象7だけ10点なら、対象7では候補Bをより強く評価します。</w:t>
      </w:r>
    </w:p>
    <w:p>
      <w:pPr>
        <w:pStyle w:val="KeyTakeaway"/>
        <w:shd w:fill="E8F3F4" w:val="clear"/>
        <w:keepLines/>
        <w:pBdr>
          <w:left w:val="single" w:sz="18" w:space="8" w:color="2B6673"/>
        </w:pBdr>
      </w:pPr>
      <w:r>
        <w:rPr>
          <w:rFonts w:ascii="Calibri" w:hAnsi="Calibri" w:eastAsia="Yu Gothic"/>
          <w:b/>
          <w:color w:val="2B6673"/>
          <w:sz w:val="21"/>
        </w:rPr>
        <w:t xml:space="preserve">このページで覚えること  </w:t>
      </w:r>
      <w:r>
        <w:rPr>
          <w:rFonts w:ascii="Calibri" w:hAnsi="Calibri" w:eastAsia="Yu Gothic"/>
          <w:sz w:val="21"/>
        </w:rPr>
        <w:t>『全体的に変わった人』ではなく、『この対象でだけ目立つ人』を優先します。</w:t>
      </w:r>
    </w:p>
    <w:p>
      <w:pPr>
        <w:spacing w:after="0"/>
      </w:pPr>
      <w:r>
        <w:br w:type="page"/>
      </w:r>
    </w:p>
    <w:p>
      <w:pPr>
        <w:spacing w:before="0" w:after="40"/>
      </w:pPr>
      <w:r>
        <w:rPr>
          <w:rFonts w:ascii="Calibri" w:hAnsi="Calibri" w:eastAsia="Yu Gothic"/>
          <w:b/>
          <w:color w:val="B8872B"/>
          <w:sz w:val="19"/>
        </w:rPr>
        <w:t>MIA側・全体調整</w:t>
      </w:r>
    </w:p>
    <w:p>
      <w:pPr>
        <w:pStyle w:val="Heading1"/>
      </w:pPr>
      <w:r>
        <w:rPr>
          <w:rFonts w:ascii="Calibri" w:hAnsi="Calibri" w:eastAsia="Yu Gothic"/>
          <w:b/>
        </w:rPr>
        <w:t>8. 20対象をまとめて配り、断定をやわらげる</w:t>
      </w:r>
    </w:p>
    <w:p>
      <w:pPr>
        <w:keepLines/>
        <w:spacing w:after="160"/>
      </w:pPr>
      <w:r>
        <w:rPr>
          <w:rFonts w:ascii="Calibri" w:hAnsi="Calibri" w:eastAsia="Yu Gothic"/>
          <w:i w:val="0"/>
          <w:color w:val="2B6673"/>
          <w:sz w:val="23"/>
        </w:rPr>
        <w:t>対象ごとに別々に上位者を選ぶと、同じ候補者が複数対象へ重複します。そこで、候補者の取り合いを全体で調整します。</w:t>
      </w:r>
    </w:p>
    <w:p>
      <w:pPr>
        <w:keepNext/>
        <w:spacing w:before="80" w:after="0"/>
        <w:jc w:val="center"/>
      </w:pPr>
      <w:r>
        <w:drawing>
          <wp:inline xmlns:a="http://schemas.openxmlformats.org/drawingml/2006/main" xmlns:pic="http://schemas.openxmlformats.org/drawingml/2006/picture">
            <wp:extent cx="5669280" cy="3086608"/>
            <wp:docPr id="9" name="Picture 9" title="09_capacity_transport" descr="重複した上位候補を、一人一対象・各25から27人・合計508人・待機541人の仮配分へ直し、その後重みへ戻す図。"/>
            <wp:cNvGraphicFramePr>
              <a:graphicFrameLocks noChangeAspect="1"/>
            </wp:cNvGraphicFramePr>
            <a:graphic>
              <a:graphicData uri="http://schemas.openxmlformats.org/drawingml/2006/picture">
                <pic:pic>
                  <pic:nvPicPr>
                    <pic:cNvPr id="0" name="09_capacity_transport.png"/>
                    <pic:cNvPicPr/>
                  </pic:nvPicPr>
                  <pic:blipFill>
                    <a:blip r:embed="rId19"/>
                    <a:stretch>
                      <a:fillRect/>
                    </a:stretch>
                  </pic:blipFill>
                  <pic:spPr>
                    <a:xfrm>
                      <a:off x="0" y="0"/>
                      <a:ext cx="5669280" cy="3086608"/>
                    </a:xfrm>
                    <a:prstGeom prst="rect"/>
                  </pic:spPr>
                </pic:pic>
              </a:graphicData>
            </a:graphic>
          </wp:inline>
        </w:drawing>
      </w:r>
    </w:p>
    <w:p>
      <w:pPr>
        <w:pStyle w:val="Caption"/>
      </w:pPr>
      <w:r>
        <w:rPr>
          <w:rFonts w:ascii="Calibri" w:hAnsi="Calibri" w:eastAsia="Yu Gothic"/>
          <w:color w:val="5D6B78"/>
          <w:sz w:val="18"/>
        </w:rPr>
        <w:t>図8　仮配分から、人数を守ったやわらかい配分へ</w:t>
      </w:r>
    </w:p>
    <w:p>
      <w:pPr>
        <w:pStyle w:val="Caption"/>
        <w:keepNext/>
        <w:spacing w:after="80"/>
        <w:jc w:val="left"/>
      </w:pPr>
      <w:r>
        <w:rPr>
          <w:rFonts w:ascii="Calibri" w:hAnsi="Calibri" w:eastAsia="Yu Gothic"/>
          <w:color w:val="5D6B78"/>
          <w:sz w:val="18"/>
        </w:rPr>
        <w:t>表3　MIA側で使った人数の前提</w:t>
      </w:r>
    </w:p>
    <w:tbl>
      <w:tblPr>
        <w:tblStyle w:val="TableGrid"/>
        <w:tblW w:type="dxa" w:w="9360"/>
        <w:jc w:val="left"/>
        <w:tblLayout w:type="fixed"/>
        <w:tblLook w:firstColumn="1" w:firstRow="1" w:lastColumn="0" w:lastRow="0" w:noHBand="0" w:noVBand="1" w:val="04A0"/>
        <w:tblInd w:type="dxa" w:w="120"/>
      </w:tblPr>
      <w:tblGrid>
        <w:gridCol w:w="2900"/>
        <w:gridCol w:w="1800"/>
        <w:gridCol w:w="4660"/>
      </w:tblGrid>
      <w:tr>
        <w:trPr>
          <w:tblHeader w:val="true"/>
        </w:trPr>
        <w:tc>
          <w:tcPr>
            <w:tcW w:type="dxa" w:w="290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内部で置いた条件</w:t>
            </w:r>
          </w:p>
        </w:tc>
        <w:tc>
          <w:tcPr>
            <w:tcW w:type="dxa" w:w="180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値</w:t>
            </w:r>
          </w:p>
        </w:tc>
        <w:tc>
          <w:tcPr>
            <w:tcW w:type="dxa" w:w="466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読み方</w:t>
            </w:r>
          </w:p>
        </w:tc>
      </w:tr>
      <w:tr>
        <w:trPr/>
        <w:tc>
          <w:tcPr>
            <w:tcW w:type="dxa" w:w="29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一対象の人数</w:t>
            </w:r>
          </w:p>
        </w:tc>
        <w:tc>
          <w:tcPr>
            <w:tcW w:type="dxa" w:w="18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sz w:val="18"/>
              </w:rPr>
              <w:t>25〜27人</w:t>
            </w:r>
          </w:p>
        </w:tc>
        <w:tc>
          <w:tcPr>
            <w:tcW w:type="dxa" w:w="46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対象ごとの仮定</w:t>
            </w:r>
          </w:p>
        </w:tc>
      </w:tr>
      <w:tr>
        <w:trPr/>
        <w:tc>
          <w:tcPr>
            <w:tcW w:type="dxa" w:w="29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20対象の合計</w:t>
            </w:r>
          </w:p>
        </w:tc>
        <w:tc>
          <w:tcPr>
            <w:tcW w:type="dxa" w:w="18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sz w:val="18"/>
              </w:rPr>
              <w:t>508人</w:t>
            </w:r>
          </w:p>
        </w:tc>
        <w:tc>
          <w:tcPr>
            <w:tcW w:type="dxa" w:w="46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29対象736人を比例配分</w:t>
            </w:r>
          </w:p>
        </w:tc>
      </w:tr>
      <w:tr>
        <w:trPr/>
        <w:tc>
          <w:tcPr>
            <w:tcW w:type="dxa" w:w="29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待機場所</w:t>
            </w:r>
          </w:p>
        </w:tc>
        <w:tc>
          <w:tcPr>
            <w:tcW w:type="dxa" w:w="18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sz w:val="18"/>
              </w:rPr>
              <w:t>541人</w:t>
            </w:r>
          </w:p>
        </w:tc>
        <w:tc>
          <w:tcPr>
            <w:tcW w:type="dxa" w:w="46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どの対象にも割り当てない枠</w:t>
            </w:r>
          </w:p>
        </w:tc>
      </w:tr>
      <w:tr>
        <w:trPr/>
        <w:tc>
          <w:tcPr>
            <w:tcW w:type="dxa" w:w="29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一人の行き先</w:t>
            </w:r>
          </w:p>
        </w:tc>
        <w:tc>
          <w:tcPr>
            <w:tcW w:type="dxa" w:w="18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sz w:val="18"/>
              </w:rPr>
              <w:t>最大1対象</w:t>
            </w:r>
          </w:p>
        </w:tc>
        <w:tc>
          <w:tcPr>
            <w:tcW w:type="dxa" w:w="46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複数対象への重複を抑える</w:t>
            </w:r>
          </w:p>
        </w:tc>
      </w:tr>
    </w:tbl>
    <w:p>
      <w:pPr>
        <w:spacing w:before="20" w:after="40"/>
      </w:pPr>
    </w:p>
    <w:p>
      <w:pPr>
        <w:pStyle w:val="NoteBox"/>
        <w:shd w:fill="F4F6F9" w:val="clear"/>
        <w:keepLines/>
        <w:pBdr>
          <w:left w:val="single" w:sz="18" w:space="8" w:color="2E74B5"/>
        </w:pBdr>
      </w:pPr>
      <w:r>
        <w:rPr>
          <w:rFonts w:ascii="Calibri" w:hAnsi="Calibri" w:eastAsia="Yu Gothic"/>
          <w:b/>
          <w:color w:val="2E74B5"/>
          <w:sz w:val="21"/>
        </w:rPr>
        <w:t xml:space="preserve">必要な固有語  </w:t>
      </w:r>
      <w:r>
        <w:rPr>
          <w:rFonts w:ascii="Calibri" w:hAnsi="Calibri" w:eastAsia="Yu Gothic"/>
          <w:sz w:val="21"/>
        </w:rPr>
        <w:t>人数を守りながら0か1の断定を重みへ戻す処理を、コードではSinkhorn transportと呼んでいます。</w:t>
      </w:r>
    </w:p>
    <w:p>
      <w:pPr>
        <w:spacing w:after="0"/>
      </w:pPr>
      <w:r>
        <w:br w:type="page"/>
      </w:r>
    </w:p>
    <w:p>
      <w:pPr>
        <w:spacing w:before="0" w:after="40"/>
      </w:pPr>
      <w:r>
        <w:rPr>
          <w:rFonts w:ascii="Calibri" w:hAnsi="Calibri" w:eastAsia="Yu Gothic"/>
          <w:b/>
          <w:color w:val="B8872B"/>
          <w:sz w:val="19"/>
        </w:rPr>
        <w:t>MIA側・出力</w:t>
      </w:r>
    </w:p>
    <w:p>
      <w:pPr>
        <w:pStyle w:val="Heading1"/>
      </w:pPr>
      <w:r>
        <w:rPr>
          <w:rFonts w:ascii="Calibri" w:hAnsi="Calibri" w:eastAsia="Yu Gothic"/>
          <w:b/>
        </w:rPr>
        <w:t>9. MIAの提出値は、確率ではなく順位です</w:t>
      </w:r>
    </w:p>
    <w:p>
      <w:pPr>
        <w:keepLines/>
        <w:spacing w:after="160"/>
      </w:pPr>
      <w:r>
        <w:rPr>
          <w:rFonts w:ascii="Calibri" w:hAnsi="Calibri" w:eastAsia="Yu Gothic"/>
          <w:i w:val="0"/>
          <w:color w:val="2B6673"/>
          <w:sz w:val="23"/>
        </w:rPr>
        <w:t>やわらかい配分を対象ごとに並べ直し、1,049人すべてへ同点のない値を付けます。</w:t>
      </w:r>
    </w:p>
    <w:p>
      <w:pPr>
        <w:keepNext/>
        <w:spacing w:before="80" w:after="0"/>
        <w:jc w:val="center"/>
      </w:pPr>
      <w:r>
        <w:drawing>
          <wp:inline xmlns:a="http://schemas.openxmlformats.org/drawingml/2006/main" xmlns:pic="http://schemas.openxmlformats.org/drawingml/2006/picture">
            <wp:extent cx="5669280" cy="2834640"/>
            <wp:docPr id="10" name="Picture 10" title="10_mia_output" descr="record_idと20対象列からなる1,049行21列の表。値は各対象内の順位を0から1の範囲へ直したもの。"/>
            <wp:cNvGraphicFramePr>
              <a:graphicFrameLocks noChangeAspect="1"/>
            </wp:cNvGraphicFramePr>
            <a:graphic>
              <a:graphicData uri="http://schemas.openxmlformats.org/drawingml/2006/picture">
                <pic:pic>
                  <pic:nvPicPr>
                    <pic:cNvPr id="0" name="10_mia_output.png"/>
                    <pic:cNvPicPr/>
                  </pic:nvPicPr>
                  <pic:blipFill>
                    <a:blip r:embed="rId20"/>
                    <a:stretch>
                      <a:fillRect/>
                    </a:stretch>
                  </pic:blipFill>
                  <pic:spPr>
                    <a:xfrm>
                      <a:off x="0" y="0"/>
                      <a:ext cx="5669280" cy="2834640"/>
                    </a:xfrm>
                    <a:prstGeom prst="rect"/>
                  </pic:spPr>
                </pic:pic>
              </a:graphicData>
            </a:graphic>
          </wp:inline>
        </w:drawing>
      </w:r>
    </w:p>
    <w:p>
      <w:pPr>
        <w:pStyle w:val="Caption"/>
      </w:pPr>
      <w:r>
        <w:rPr>
          <w:rFonts w:ascii="Calibri" w:hAnsi="Calibri" w:eastAsia="Yu Gothic"/>
          <w:color w:val="5D6B78"/>
          <w:sz w:val="18"/>
        </w:rPr>
        <w:t>図9　F_mia.csvの形と値の読み方</w:t>
      </w:r>
    </w:p>
    <w:p>
      <w:pPr>
        <w:numPr>
          <w:ilvl w:val="0"/>
          <w:numId w:val="10"/>
        </w:numPr>
      </w:pPr>
      <w:r>
        <w:rPr>
          <w:rFonts w:ascii="Calibri" w:hAnsi="Calibri" w:eastAsia="Yu Gothic"/>
        </w:rPr>
        <w:t>1に近いほど、その対象では上位です。</w:t>
      </w:r>
    </w:p>
    <w:p>
      <w:pPr>
        <w:numPr>
          <w:ilvl w:val="0"/>
          <w:numId w:val="10"/>
        </w:numPr>
      </w:pPr>
      <w:r>
        <w:rPr>
          <w:rFonts w:ascii="Calibri" w:hAnsi="Calibri" w:eastAsia="Yu Gothic"/>
        </w:rPr>
        <w:t>0.8を『所属確率80%』とは読めません。</w:t>
      </w:r>
    </w:p>
    <w:p>
      <w:pPr>
        <w:numPr>
          <w:ilvl w:val="0"/>
          <w:numId w:val="10"/>
        </w:numPr>
      </w:pPr>
      <w:r>
        <w:rPr>
          <w:rFonts w:ascii="Calibri" w:hAnsi="Calibri" w:eastAsia="Yu Gothic"/>
        </w:rPr>
        <w:t>人数と一人一対象の条件は、順位へ直す前の内部処理で使います。最終CSVの行和・列和にそのまま残るわけではありません。</w:t>
      </w:r>
    </w:p>
    <w:p>
      <w:pPr>
        <w:pStyle w:val="KeyTakeaway"/>
        <w:shd w:fill="E8F3F4" w:val="clear"/>
        <w:keepLines/>
        <w:pBdr>
          <w:left w:val="single" w:sz="18" w:space="8" w:color="2B6673"/>
        </w:pBdr>
      </w:pPr>
      <w:r>
        <w:rPr>
          <w:rFonts w:ascii="Calibri" w:hAnsi="Calibri" w:eastAsia="Yu Gothic"/>
          <w:b/>
          <w:color w:val="2B6673"/>
          <w:sz w:val="21"/>
        </w:rPr>
        <w:t xml:space="preserve">このページで覚えること  </w:t>
      </w:r>
      <w:r>
        <w:rPr>
          <w:rFonts w:ascii="Calibri" w:hAnsi="Calibri" w:eastAsia="Yu Gothic"/>
          <w:sz w:val="21"/>
        </w:rPr>
        <w:t>MIA側の最終成果は、個人の断定ではなく『対象ごとの有力順』です。</w:t>
      </w:r>
    </w:p>
    <w:p>
      <w:pPr>
        <w:spacing w:after="0"/>
      </w:pPr>
      <w:r>
        <w:br w:type="page"/>
      </w:r>
    </w:p>
    <w:p>
      <w:pPr>
        <w:spacing w:before="0" w:after="40"/>
      </w:pPr>
      <w:r>
        <w:rPr>
          <w:rFonts w:ascii="Calibri" w:hAnsi="Calibri" w:eastAsia="Yu Gothic"/>
          <w:b/>
          <w:color w:val="B8872B"/>
          <w:sz w:val="19"/>
        </w:rPr>
        <w:t>AIA側</w:t>
      </w:r>
    </w:p>
    <w:p>
      <w:pPr>
        <w:pStyle w:val="Heading1"/>
      </w:pPr>
      <w:r>
        <w:rPr>
          <w:rFonts w:ascii="Calibri" w:hAnsi="Calibri" w:eastAsia="Yu Gothic"/>
          <w:b/>
        </w:rPr>
        <w:t>10. AIA側の流れを一枚で見る</w:t>
      </w:r>
    </w:p>
    <w:p>
      <w:pPr>
        <w:keepLines/>
        <w:spacing w:after="160"/>
      </w:pPr>
      <w:r>
        <w:rPr>
          <w:rFonts w:ascii="Calibri" w:hAnsi="Calibri" w:eastAsia="Yu Gothic"/>
          <w:i w:val="0"/>
          <w:color w:val="2B6673"/>
          <w:sz w:val="23"/>
        </w:rPr>
        <w:t>各対象の326行と公開データの全行を比べ、最も自然な163組を重複なしで選びます。</w:t>
      </w:r>
    </w:p>
    <w:p>
      <w:pPr>
        <w:keepNext/>
        <w:spacing w:before="80" w:after="0"/>
        <w:jc w:val="center"/>
      </w:pPr>
      <w:r>
        <w:drawing>
          <wp:inline xmlns:a="http://schemas.openxmlformats.org/drawingml/2006/main" xmlns:pic="http://schemas.openxmlformats.org/drawingml/2006/picture">
            <wp:extent cx="5715000" cy="2857500"/>
            <wp:docPr id="11" name="Picture 11" title="11_aia_pipeline" descr="challenge 326行を公開データと比較し、163行を一意対応させてtimeを移し、残り163行へ退避値を答える流れ。"/>
            <wp:cNvGraphicFramePr>
              <a:graphicFrameLocks noChangeAspect="1"/>
            </wp:cNvGraphicFramePr>
            <a:graphic>
              <a:graphicData uri="http://schemas.openxmlformats.org/drawingml/2006/picture">
                <pic:pic>
                  <pic:nvPicPr>
                    <pic:cNvPr id="0" name="11_aia_pipeline.png"/>
                    <pic:cNvPicPr/>
                  </pic:nvPicPr>
                  <pic:blipFill>
                    <a:blip r:embed="rId21"/>
                    <a:stretch>
                      <a:fillRect/>
                    </a:stretch>
                  </pic:blipFill>
                  <pic:spPr>
                    <a:xfrm>
                      <a:off x="0" y="0"/>
                      <a:ext cx="5715000" cy="2857500"/>
                    </a:xfrm>
                    <a:prstGeom prst="rect"/>
                  </pic:spPr>
                </pic:pic>
              </a:graphicData>
            </a:graphic>
          </wp:inline>
        </w:drawing>
      </w:r>
    </w:p>
    <w:p>
      <w:pPr>
        <w:pStyle w:val="Caption"/>
      </w:pPr>
      <w:r>
        <w:rPr>
          <w:rFonts w:ascii="Calibri" w:hAnsi="Calibri" w:eastAsia="Yu Gothic"/>
          <w:color w:val="5D6B78"/>
          <w:sz w:val="18"/>
        </w:rPr>
        <w:t>図10　AIA側の処理全体</w:t>
      </w:r>
    </w:p>
    <w:p>
      <w:pPr>
        <w:pStyle w:val="Caption"/>
        <w:keepNext/>
        <w:spacing w:after="80"/>
        <w:jc w:val="left"/>
      </w:pPr>
      <w:r>
        <w:rPr>
          <w:rFonts w:ascii="Calibri" w:hAnsi="Calibri" w:eastAsia="Yu Gothic"/>
          <w:color w:val="5D6B78"/>
          <w:sz w:val="18"/>
        </w:rPr>
        <w:t>表4　AIA側で使う三つの見方</w:t>
      </w:r>
    </w:p>
    <w:tbl>
      <w:tblPr>
        <w:tblStyle w:val="TableGrid"/>
        <w:tblW w:type="dxa" w:w="9360"/>
        <w:jc w:val="left"/>
        <w:tblLayout w:type="fixed"/>
        <w:tblLook w:firstColumn="1" w:firstRow="1" w:lastColumn="0" w:lastRow="0" w:noHBand="0" w:noVBand="1" w:val="04A0"/>
        <w:tblInd w:type="dxa" w:w="120"/>
      </w:tblPr>
      <w:tblGrid>
        <w:gridCol w:w="2800"/>
        <w:gridCol w:w="3400"/>
        <w:gridCol w:w="3160"/>
      </w:tblGrid>
      <w:tr>
        <w:trPr>
          <w:tblHeader w:val="true"/>
        </w:trPr>
        <w:tc>
          <w:tcPr>
            <w:tcW w:type="dxa" w:w="280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データの見方</w:t>
            </w:r>
          </w:p>
        </w:tc>
        <w:tc>
          <w:tcPr>
            <w:tcW w:type="dxa" w:w="340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使う項目</w:t>
            </w:r>
          </w:p>
        </w:tc>
        <w:tc>
          <w:tcPr>
            <w:tcW w:type="dxa" w:w="316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狙い</w:t>
            </w:r>
          </w:p>
        </w:tc>
      </w:tr>
      <w:tr>
        <w:trPr/>
        <w:tc>
          <w:tcPr>
            <w:tcW w:type="dxa" w:w="28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基本の5項目</w:t>
            </w:r>
          </w:p>
        </w:tc>
        <w:tc>
          <w:tcPr>
            <w:tcW w:type="dxa" w:w="34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年齢・血圧・TG・HDL・ALT</w:t>
            </w:r>
          </w:p>
        </w:tc>
        <w:tc>
          <w:tcPr>
            <w:tcW w:type="dxa" w:w="31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元の数値で比べる</w:t>
            </w:r>
          </w:p>
        </w:tc>
      </w:tr>
      <w:tr>
        <w:trPr/>
        <w:tc>
          <w:tcPr>
            <w:tcW w:type="dxa" w:w="28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極端値をならす5項目</w:t>
            </w:r>
          </w:p>
        </w:tc>
        <w:tc>
          <w:tcPr>
            <w:tcW w:type="dxa" w:w="34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TG・ALTを対数変換</w:t>
            </w:r>
          </w:p>
        </w:tc>
        <w:tc>
          <w:tcPr>
            <w:tcW w:type="dxa" w:w="31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大きな値の影響を抑える</w:t>
            </w:r>
          </w:p>
        </w:tc>
      </w:tr>
      <w:tr>
        <w:trPr/>
        <w:tc>
          <w:tcPr>
            <w:tcW w:type="dxa" w:w="28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安定した3項目</w:t>
            </w:r>
          </w:p>
        </w:tc>
        <w:tc>
          <w:tcPr>
            <w:tcW w:type="dxa" w:w="34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年齢・血圧・HDL</w:t>
            </w:r>
          </w:p>
        </w:tc>
        <w:tc>
          <w:tcPr>
            <w:tcW w:type="dxa" w:w="31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比較的安定した情報に絞る</w:t>
            </w:r>
          </w:p>
        </w:tc>
      </w:tr>
    </w:tbl>
    <w:p>
      <w:pPr>
        <w:spacing w:before="20" w:after="40"/>
      </w:pPr>
    </w:p>
    <w:p>
      <w:pPr>
        <w:pStyle w:val="KeyTakeaway"/>
        <w:shd w:fill="E8F3F4" w:val="clear"/>
        <w:keepLines/>
        <w:pBdr>
          <w:left w:val="single" w:sz="18" w:space="8" w:color="2B6673"/>
        </w:pBdr>
      </w:pPr>
      <w:r>
        <w:rPr>
          <w:rFonts w:ascii="Calibri" w:hAnsi="Calibri" w:eastAsia="Yu Gothic"/>
          <w:b/>
          <w:color w:val="2B6673"/>
          <w:sz w:val="21"/>
        </w:rPr>
        <w:t xml:space="preserve">このページで覚えること  </w:t>
      </w:r>
      <w:r>
        <w:rPr>
          <w:rFonts w:ascii="Calibri" w:hAnsi="Calibri" w:eastAsia="Yu Gothic"/>
          <w:sz w:val="21"/>
        </w:rPr>
        <w:t>三つの見方のうち、一番よく似ている距離をペアの基礎値にします。</w:t>
      </w:r>
    </w:p>
    <w:p>
      <w:pPr>
        <w:spacing w:after="0"/>
      </w:pPr>
      <w:r>
        <w:br w:type="page"/>
      </w:r>
    </w:p>
    <w:p>
      <w:pPr>
        <w:spacing w:before="0" w:after="40"/>
      </w:pPr>
      <w:r>
        <w:rPr>
          <w:rFonts w:ascii="Calibri" w:hAnsi="Calibri" w:eastAsia="Yu Gothic"/>
          <w:b/>
          <w:color w:val="B8872B"/>
          <w:sz w:val="19"/>
        </w:rPr>
        <w:t>AIA側・対応のよさ</w:t>
      </w:r>
    </w:p>
    <w:p>
      <w:pPr>
        <w:pStyle w:val="Heading1"/>
      </w:pPr>
      <w:r>
        <w:rPr>
          <w:rFonts w:ascii="Calibri" w:hAnsi="Calibri" w:eastAsia="Yu Gothic"/>
          <w:b/>
        </w:rPr>
        <w:t>11. どの組合せが自然かを、一つの合計点で比べる</w:t>
      </w:r>
    </w:p>
    <w:p>
      <w:pPr>
        <w:keepLines/>
        <w:spacing w:after="160"/>
      </w:pPr>
      <w:r>
        <w:rPr>
          <w:rFonts w:ascii="Calibri" w:hAnsi="Calibri" w:eastAsia="Yu Gothic"/>
          <w:i w:val="0"/>
          <w:color w:val="2B6673"/>
          <w:sz w:val="23"/>
        </w:rPr>
        <w:t>challenge行と公開行の組ごとに、距離、属性の不一致、背景では珍しい近さを一つへまとめます。</w:t>
      </w:r>
    </w:p>
    <w:p>
      <w:pPr>
        <w:keepNext/>
        <w:spacing w:before="80" w:after="0"/>
        <w:jc w:val="center"/>
      </w:pPr>
      <w:r>
        <w:drawing>
          <wp:inline xmlns:a="http://schemas.openxmlformats.org/drawingml/2006/main" xmlns:pic="http://schemas.openxmlformats.org/drawingml/2006/picture">
            <wp:extent cx="5669280" cy="2960624"/>
            <wp:docPr id="12" name="Picture 12" title="12_aia_cost" descr="三つの見方で得た最小距離へ、性別・都道府県の不一致を加点し、背景では珍しい近さを減点する構成。"/>
            <wp:cNvGraphicFramePr>
              <a:graphicFrameLocks noChangeAspect="1"/>
            </wp:cNvGraphicFramePr>
            <a:graphic>
              <a:graphicData uri="http://schemas.openxmlformats.org/drawingml/2006/picture">
                <pic:pic>
                  <pic:nvPicPr>
                    <pic:cNvPr id="0" name="12_aia_cost.png"/>
                    <pic:cNvPicPr/>
                  </pic:nvPicPr>
                  <pic:blipFill>
                    <a:blip r:embed="rId22"/>
                    <a:stretch>
                      <a:fillRect/>
                    </a:stretch>
                  </pic:blipFill>
                  <pic:spPr>
                    <a:xfrm>
                      <a:off x="0" y="0"/>
                      <a:ext cx="5669280" cy="2960624"/>
                    </a:xfrm>
                    <a:prstGeom prst="rect"/>
                  </pic:spPr>
                </pic:pic>
              </a:graphicData>
            </a:graphic>
          </wp:inline>
        </w:drawing>
      </w:r>
    </w:p>
    <w:p>
      <w:pPr>
        <w:pStyle w:val="Caption"/>
      </w:pPr>
      <w:r>
        <w:rPr>
          <w:rFonts w:ascii="Calibri" w:hAnsi="Calibri" w:eastAsia="Yu Gothic"/>
          <w:color w:val="5D6B78"/>
          <w:sz w:val="18"/>
        </w:rPr>
        <w:t>図11　AIA側の対応コスト</w:t>
      </w:r>
    </w:p>
    <w:p>
      <w:r>
        <w:rPr>
          <w:rFonts w:ascii="Calibri" w:hAnsi="Calibri" w:eastAsia="Yu Gothic"/>
          <w:i w:val="0"/>
        </w:rPr>
        <w:t>合計点が小さいほど、対応候補として有力です。性別や都道府県が違う組は完全に禁止せず、選ばれにくくする加点として扱います。</w:t>
      </w:r>
    </w:p>
    <w:p>
      <w:r>
        <w:rPr>
          <w:rFonts w:ascii="Calibri" w:hAnsi="Calibri" w:eastAsia="Yu Gothic"/>
          <w:i w:val="0"/>
        </w:rPr>
        <w:t>背景では珍しい近さの項目は、主に『どのchallenge行を163行へ入れるか』へ効きます。同じchallenge行について、公開行同士を選び分ける主役は距離と属性の一致です。</w:t>
      </w:r>
    </w:p>
    <w:p>
      <w:r>
        <w:rPr>
          <w:rFonts w:ascii="Calibri" w:hAnsi="Calibri" w:eastAsia="Yu Gothic"/>
          <w:i w:val="0"/>
        </w:rPr>
        <w:t>最後のごく小さい値は、完全な同点だけを毎回同じ順番で決めるためのものです。判断内容を変える大きさではありません。</w:t>
      </w:r>
    </w:p>
    <w:p>
      <w:pPr>
        <w:pStyle w:val="KeyTakeaway"/>
        <w:shd w:fill="E8F3F4" w:val="clear"/>
        <w:keepLines/>
        <w:pBdr>
          <w:left w:val="single" w:sz="18" w:space="8" w:color="2B6673"/>
        </w:pBdr>
      </w:pPr>
      <w:r>
        <w:rPr>
          <w:rFonts w:ascii="Calibri" w:hAnsi="Calibri" w:eastAsia="Yu Gothic"/>
          <w:b/>
          <w:color w:val="2B6673"/>
          <w:sz w:val="21"/>
        </w:rPr>
        <w:t xml:space="preserve">このページで覚えること  </w:t>
      </w:r>
      <w:r>
        <w:rPr>
          <w:rFonts w:ascii="Calibri" w:hAnsi="Calibri" w:eastAsia="Yu Gothic"/>
          <w:sz w:val="21"/>
        </w:rPr>
        <w:t>『近い』だけでなく、属性の一致と背景中の珍しさまで一つの合計点へ入れます。</w:t>
      </w:r>
    </w:p>
    <w:p>
      <w:pPr>
        <w:spacing w:after="0"/>
      </w:pPr>
      <w:r>
        <w:br w:type="page"/>
      </w:r>
    </w:p>
    <w:p>
      <w:pPr>
        <w:spacing w:before="0" w:after="40"/>
      </w:pPr>
      <w:r>
        <w:rPr>
          <w:rFonts w:ascii="Calibri" w:hAnsi="Calibri" w:eastAsia="Yu Gothic"/>
          <w:b/>
          <w:color w:val="B8872B"/>
          <w:sz w:val="19"/>
        </w:rPr>
        <w:t>AIA側・全体対応</w:t>
      </w:r>
    </w:p>
    <w:p>
      <w:pPr>
        <w:pStyle w:val="Heading1"/>
      </w:pPr>
      <w:r>
        <w:rPr>
          <w:rFonts w:ascii="Calibri" w:hAnsi="Calibri" w:eastAsia="Yu Gothic"/>
          <w:b/>
        </w:rPr>
        <w:t>12. 同じ公開行を二度使わず、163組をまとめて選ぶ</w:t>
      </w:r>
    </w:p>
    <w:p>
      <w:pPr>
        <w:keepLines/>
        <w:spacing w:after="160"/>
      </w:pPr>
      <w:r>
        <w:rPr>
          <w:rFonts w:ascii="Calibri" w:hAnsi="Calibri" w:eastAsia="Yu Gothic"/>
          <w:i w:val="0"/>
          <w:color w:val="2B6673"/>
          <w:sz w:val="23"/>
        </w:rPr>
        <w:t>各challenge行が独立に一番近い行を選ぶと、人気のある同じ公開行へ集中します。そこで全組を一度に決めます。</w:t>
      </w:r>
    </w:p>
    <w:p>
      <w:pPr>
        <w:keepNext/>
        <w:spacing w:before="80" w:after="0"/>
        <w:jc w:val="center"/>
      </w:pPr>
      <w:r>
        <w:drawing>
          <wp:inline xmlns:a="http://schemas.openxmlformats.org/drawingml/2006/main" xmlns:pic="http://schemas.openxmlformats.org/drawingml/2006/picture">
            <wp:extent cx="5623560" cy="2999232"/>
            <wp:docPr id="13" name="Picture 13" title="13_aia_matching" descr="challenge側と公開データ側の多数の候補線から、公開行を再利用しない163本を全体で選ぶ図。"/>
            <wp:cNvGraphicFramePr>
              <a:graphicFrameLocks noChangeAspect="1"/>
            </wp:cNvGraphicFramePr>
            <a:graphic>
              <a:graphicData uri="http://schemas.openxmlformats.org/drawingml/2006/picture">
                <pic:pic>
                  <pic:nvPicPr>
                    <pic:cNvPr id="0" name="13_aia_matching.png"/>
                    <pic:cNvPicPr/>
                  </pic:nvPicPr>
                  <pic:blipFill>
                    <a:blip r:embed="rId23"/>
                    <a:stretch>
                      <a:fillRect/>
                    </a:stretch>
                  </pic:blipFill>
                  <pic:spPr>
                    <a:xfrm>
                      <a:off x="0" y="0"/>
                      <a:ext cx="5623560" cy="2999232"/>
                    </a:xfrm>
                    <a:prstGeom prst="rect"/>
                  </pic:spPr>
                </pic:pic>
              </a:graphicData>
            </a:graphic>
          </wp:inline>
        </w:drawing>
      </w:r>
    </w:p>
    <w:p>
      <w:pPr>
        <w:pStyle w:val="Caption"/>
      </w:pPr>
      <w:r>
        <w:rPr>
          <w:rFonts w:ascii="Calibri" w:hAnsi="Calibri" w:eastAsia="Yu Gothic"/>
          <w:color w:val="5D6B78"/>
          <w:sz w:val="18"/>
        </w:rPr>
        <w:t>図12　重複を許さない163組の全体対応</w:t>
      </w:r>
    </w:p>
    <w:p>
      <w:pPr>
        <w:numPr>
          <w:ilvl w:val="0"/>
          <w:numId w:val="10"/>
        </w:numPr>
      </w:pPr>
      <w:r>
        <w:rPr>
          <w:rFonts w:ascii="Calibri" w:hAnsi="Calibri" w:eastAsia="Yu Gothic"/>
        </w:rPr>
        <w:t>326行から、ちょうど163行を選びます。</w:t>
      </w:r>
    </w:p>
    <w:p>
      <w:pPr>
        <w:numPr>
          <w:ilvl w:val="0"/>
          <w:numId w:val="10"/>
        </w:numPr>
      </w:pPr>
      <w:r>
        <w:rPr>
          <w:rFonts w:ascii="Calibri" w:hAnsi="Calibri" w:eastAsia="Yu Gothic"/>
        </w:rPr>
        <w:t>一つのchallenge行は、一つの公開行にだけ対応します。</w:t>
      </w:r>
    </w:p>
    <w:p>
      <w:pPr>
        <w:numPr>
          <w:ilvl w:val="0"/>
          <w:numId w:val="10"/>
        </w:numPr>
      </w:pPr>
      <w:r>
        <w:rPr>
          <w:rFonts w:ascii="Calibri" w:hAnsi="Calibri" w:eastAsia="Yu Gothic"/>
        </w:rPr>
        <w:t>同じ公開行を二つのchallenge行へ使いません。</w:t>
      </w:r>
    </w:p>
    <w:p>
      <w:pPr>
        <w:numPr>
          <w:ilvl w:val="0"/>
          <w:numId w:val="10"/>
        </w:numPr>
      </w:pPr>
      <w:r>
        <w:rPr>
          <w:rFonts w:ascii="Calibri" w:hAnsi="Calibri" w:eastAsia="Yu Gothic"/>
        </w:rPr>
        <w:t>163組全体の合計点が最も小さくなる組合せを選びます。</w:t>
      </w:r>
    </w:p>
    <w:p>
      <w:pPr>
        <w:pStyle w:val="NoteBox"/>
        <w:shd w:fill="F4F6F9" w:val="clear"/>
        <w:keepLines/>
        <w:pBdr>
          <w:left w:val="single" w:sz="18" w:space="8" w:color="2E74B5"/>
        </w:pBdr>
      </w:pPr>
      <w:r>
        <w:rPr>
          <w:rFonts w:ascii="Calibri" w:hAnsi="Calibri" w:eastAsia="Yu Gothic"/>
          <w:b/>
          <w:color w:val="2E74B5"/>
          <w:sz w:val="21"/>
        </w:rPr>
        <w:t xml:space="preserve">必要な固有語  </w:t>
      </w:r>
      <w:r>
        <w:rPr>
          <w:rFonts w:ascii="Calibri" w:hAnsi="Calibri" w:eastAsia="Yu Gothic"/>
          <w:sz w:val="21"/>
        </w:rPr>
        <w:t>この重複なしの全体対応には、線形割当（linear_sum_assignment）を使っています。</w:t>
      </w:r>
    </w:p>
    <w:p>
      <w:pPr>
        <w:pStyle w:val="KeyTakeaway"/>
        <w:shd w:fill="E8F3F4" w:val="clear"/>
        <w:keepLines/>
        <w:pBdr>
          <w:left w:val="single" w:sz="18" w:space="8" w:color="2B6673"/>
        </w:pBdr>
      </w:pPr>
      <w:r>
        <w:rPr>
          <w:rFonts w:ascii="Calibri" w:hAnsi="Calibri" w:eastAsia="Yu Gothic"/>
          <w:b/>
          <w:color w:val="2B6673"/>
          <w:sz w:val="21"/>
        </w:rPr>
        <w:t xml:space="preserve">このページで覚えること  </w:t>
      </w:r>
      <w:r>
        <w:rPr>
          <w:rFonts w:ascii="Calibri" w:hAnsi="Calibri" w:eastAsia="Yu Gothic"/>
          <w:sz w:val="21"/>
        </w:rPr>
        <w:t>選ばれた組は『同一人物の証明』ではなく、全体条件の中で最も自然だった対応です。</w:t>
      </w:r>
    </w:p>
    <w:p>
      <w:pPr>
        <w:spacing w:after="0"/>
      </w:pPr>
      <w:r>
        <w:br w:type="page"/>
      </w:r>
    </w:p>
    <w:p>
      <w:pPr>
        <w:spacing w:before="0" w:after="40"/>
      </w:pPr>
      <w:r>
        <w:rPr>
          <w:rFonts w:ascii="Calibri" w:hAnsi="Calibri" w:eastAsia="Yu Gothic"/>
          <w:b/>
          <w:color w:val="B8872B"/>
          <w:sz w:val="19"/>
        </w:rPr>
        <w:t>AIA側・回答作成</w:t>
      </w:r>
    </w:p>
    <w:p>
      <w:pPr>
        <w:pStyle w:val="Heading1"/>
      </w:pPr>
      <w:r>
        <w:rPr>
          <w:rFonts w:ascii="Calibri" w:hAnsi="Calibri" w:eastAsia="Yu Gothic"/>
          <w:b/>
        </w:rPr>
        <w:t>13. 選択行には対応先のtime、非選択行には退避値を入れる</w:t>
      </w:r>
    </w:p>
    <w:p>
      <w:pPr>
        <w:keepLines/>
        <w:spacing w:after="160"/>
      </w:pPr>
      <w:r>
        <w:rPr>
          <w:rFonts w:ascii="Calibri" w:hAnsi="Calibri" w:eastAsia="Yu Gothic"/>
          <w:i w:val="0"/>
          <w:color w:val="2B6673"/>
          <w:sz w:val="23"/>
        </w:rPr>
        <w:t>326行すべてへ答えるため、選んだ163行と残り163行で値を変えます。</w:t>
      </w:r>
    </w:p>
    <w:p>
      <w:pPr>
        <w:keepNext/>
        <w:spacing w:before="80" w:after="0"/>
        <w:jc w:val="center"/>
      </w:pPr>
      <w:r>
        <w:drawing>
          <wp:inline xmlns:a="http://schemas.openxmlformats.org/drawingml/2006/main" xmlns:pic="http://schemas.openxmlformats.org/drawingml/2006/picture">
            <wp:extent cx="5486400" cy="2865120"/>
            <wp:docPr id="14" name="Picture 14" title="14_aia_time" descr="選択行は対応した公開行のtimeを使い、非選択行は背景データで偶然当たりにくい0.0年を使う図。"/>
            <wp:cNvGraphicFramePr>
              <a:graphicFrameLocks noChangeAspect="1"/>
            </wp:cNvGraphicFramePr>
            <a:graphic>
              <a:graphicData uri="http://schemas.openxmlformats.org/drawingml/2006/picture">
                <pic:pic>
                  <pic:nvPicPr>
                    <pic:cNvPr id="0" name="14_aia_time.png"/>
                    <pic:cNvPicPr/>
                  </pic:nvPicPr>
                  <pic:blipFill>
                    <a:blip r:embed="rId24"/>
                    <a:stretch>
                      <a:fillRect/>
                    </a:stretch>
                  </pic:blipFill>
                  <pic:spPr>
                    <a:xfrm>
                      <a:off x="0" y="0"/>
                      <a:ext cx="5486400" cy="2865120"/>
                    </a:xfrm>
                    <a:prstGeom prst="rect"/>
                  </pic:spPr>
                </pic:pic>
              </a:graphicData>
            </a:graphic>
          </wp:inline>
        </w:drawing>
      </w:r>
    </w:p>
    <w:p>
      <w:pPr>
        <w:pStyle w:val="Caption"/>
      </w:pPr>
      <w:r>
        <w:rPr>
          <w:rFonts w:ascii="Calibri" w:hAnsi="Calibri" w:eastAsia="Yu Gothic"/>
          <w:color w:val="5D6B78"/>
          <w:sz w:val="18"/>
        </w:rPr>
        <w:t>図13　選択行と非選択行のtime_hat</w:t>
      </w:r>
    </w:p>
    <w:p>
      <w:r>
        <w:rPr>
          <w:rFonts w:ascii="Calibri" w:hAnsi="Calibri" w:eastAsia="Yu Gothic"/>
          <w:i w:val="0"/>
        </w:rPr>
        <w:t>非選択行の値は、0〜10年を0.01年刻みで調べ、±0.5年以内に入るA_bgのtimeが最も少ない場所を選びます。現在の提出候補では0.0年になりました。</w:t>
      </w:r>
    </w:p>
    <w:p>
      <w:pPr>
        <w:pStyle w:val="CautionBox"/>
        <w:shd w:fill="FFF7E5" w:val="clear"/>
        <w:keepLines/>
        <w:pBdr>
          <w:left w:val="single" w:sz="18" w:space="8" w:color="B8872B"/>
        </w:pBdr>
      </w:pPr>
      <w:r>
        <w:rPr>
          <w:rFonts w:ascii="Calibri" w:hAnsi="Calibri" w:eastAsia="Yu Gothic"/>
          <w:b/>
          <w:color w:val="B8872B"/>
          <w:sz w:val="21"/>
        </w:rPr>
        <w:t xml:space="preserve">誤解しないために  </w:t>
      </w:r>
      <w:r>
        <w:rPr>
          <w:rFonts w:ascii="Calibri" w:hAnsi="Calibri" w:eastAsia="Yu Gothic"/>
          <w:sz w:val="21"/>
        </w:rPr>
        <w:t>0.0年は、その人の医学的な予測値ではありません。非選択行で偶然正解するのを抑えるための競技上の退避回答です。</w:t>
      </w:r>
    </w:p>
    <w:p>
      <w:pPr>
        <w:pStyle w:val="Caption"/>
        <w:keepNext/>
        <w:spacing w:after="80"/>
        <w:jc w:val="left"/>
      </w:pPr>
      <w:r>
        <w:rPr>
          <w:rFonts w:ascii="Calibri" w:hAnsi="Calibri" w:eastAsia="Yu Gothic"/>
          <w:color w:val="5D6B78"/>
          <w:sz w:val="18"/>
        </w:rPr>
        <w:t>表5　AIA出力の件数</w:t>
      </w:r>
    </w:p>
    <w:tbl>
      <w:tblPr>
        <w:tblStyle w:val="TableGrid"/>
        <w:tblW w:type="dxa" w:w="9360"/>
        <w:jc w:val="left"/>
        <w:tblLayout w:type="fixed"/>
        <w:tblLook w:firstColumn="1" w:firstRow="1" w:lastColumn="0" w:lastRow="0" w:noHBand="0" w:noVBand="1" w:val="04A0"/>
        <w:tblInd w:type="dxa" w:w="120"/>
      </w:tblPr>
      <w:tblGrid>
        <w:gridCol w:w="6500"/>
        <w:gridCol w:w="2860"/>
      </w:tblGrid>
      <w:tr>
        <w:trPr>
          <w:tblHeader w:val="true"/>
        </w:trPr>
        <w:tc>
          <w:tcPr>
            <w:tcW w:type="dxa" w:w="650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現在のF_aia.csv</w:t>
            </w:r>
          </w:p>
        </w:tc>
        <w:tc>
          <w:tcPr>
            <w:tcW w:type="dxa" w:w="286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件数</w:t>
            </w:r>
          </w:p>
        </w:tc>
      </w:tr>
      <w:tr>
        <w:trPr/>
        <w:tc>
          <w:tcPr>
            <w:tcW w:type="dxa" w:w="65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20対象×326行</w:t>
            </w:r>
          </w:p>
        </w:tc>
        <w:tc>
          <w:tcPr>
            <w:tcW w:type="dxa" w:w="28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sz w:val="18"/>
              </w:rPr>
              <w:t>6,520行</w:t>
            </w:r>
          </w:p>
        </w:tc>
      </w:tr>
      <w:tr>
        <w:trPr/>
        <w:tc>
          <w:tcPr>
            <w:tcW w:type="dxa" w:w="65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対応先のtimeを答える行</w:t>
            </w:r>
          </w:p>
        </w:tc>
        <w:tc>
          <w:tcPr>
            <w:tcW w:type="dxa" w:w="28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sz w:val="18"/>
              </w:rPr>
              <w:t>3,260行</w:t>
            </w:r>
          </w:p>
        </w:tc>
      </w:tr>
      <w:tr>
        <w:trPr/>
        <w:tc>
          <w:tcPr>
            <w:tcW w:type="dxa" w:w="65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0.0年を答える行</w:t>
            </w:r>
          </w:p>
        </w:tc>
        <w:tc>
          <w:tcPr>
            <w:tcW w:type="dxa" w:w="28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sz w:val="18"/>
              </w:rPr>
              <w:t>3,260行</w:t>
            </w:r>
          </w:p>
        </w:tc>
      </w:tr>
    </w:tbl>
    <w:p>
      <w:pPr>
        <w:spacing w:before="20" w:after="40"/>
      </w:pPr>
    </w:p>
    <w:p>
      <w:pPr>
        <w:spacing w:after="0"/>
      </w:pPr>
      <w:r>
        <w:br w:type="page"/>
      </w:r>
    </w:p>
    <w:p>
      <w:pPr>
        <w:spacing w:before="0" w:after="40"/>
      </w:pPr>
      <w:r>
        <w:rPr>
          <w:rFonts w:ascii="Calibri" w:hAnsi="Calibri" w:eastAsia="Yu Gothic"/>
          <w:b/>
          <w:color w:val="B8872B"/>
          <w:sz w:val="19"/>
        </w:rPr>
        <w:t>手法の選択</w:t>
      </w:r>
    </w:p>
    <w:p>
      <w:pPr>
        <w:pStyle w:val="Heading1"/>
      </w:pPr>
      <w:r>
        <w:rPr>
          <w:rFonts w:ascii="Calibri" w:hAnsi="Calibri" w:eastAsia="Yu Gothic"/>
          <w:b/>
        </w:rPr>
        <w:t>14. なぜ、この二方式を本命にしたのか</w:t>
      </w:r>
    </w:p>
    <w:p>
      <w:pPr>
        <w:keepLines/>
        <w:spacing w:after="160"/>
      </w:pPr>
      <w:r>
        <w:rPr>
          <w:rFonts w:ascii="Calibri" w:hAnsi="Calibri" w:eastAsia="Yu Gothic"/>
          <w:i w:val="0"/>
          <w:color w:val="2B6673"/>
          <w:sz w:val="23"/>
        </w:rPr>
        <w:t>公開練習データから疑似的な正解を作り、少し値を揺らして、同じ方式群を比べました。</w:t>
      </w:r>
    </w:p>
    <w:p>
      <w:pPr>
        <w:keepNext/>
        <w:spacing w:before="80" w:after="0"/>
        <w:jc w:val="center"/>
      </w:pPr>
      <w:r>
        <w:drawing>
          <wp:inline xmlns:a="http://schemas.openxmlformats.org/drawingml/2006/main" xmlns:pic="http://schemas.openxmlformats.org/drawingml/2006/picture">
            <wp:extent cx="5669280" cy="2929128"/>
            <wp:docPr id="15" name="Picture 15" title="15_evaluation" descr="MIA側では人数を守るやわらかい配分、AIA側では50%の重複なし対応が、3%・10%摂動の平均で最も高かったことを示す棒グラフ。"/>
            <wp:cNvGraphicFramePr>
              <a:graphicFrameLocks noChangeAspect="1"/>
            </wp:cNvGraphicFramePr>
            <a:graphic>
              <a:graphicData uri="http://schemas.openxmlformats.org/drawingml/2006/picture">
                <pic:pic>
                  <pic:nvPicPr>
                    <pic:cNvPr id="0" name="15_evaluation.png"/>
                    <pic:cNvPicPr/>
                  </pic:nvPicPr>
                  <pic:blipFill>
                    <a:blip r:embed="rId25"/>
                    <a:stretch>
                      <a:fillRect/>
                    </a:stretch>
                  </pic:blipFill>
                  <pic:spPr>
                    <a:xfrm>
                      <a:off x="0" y="0"/>
                      <a:ext cx="5669280" cy="2929128"/>
                    </a:xfrm>
                    <a:prstGeom prst="rect"/>
                  </pic:spPr>
                </pic:pic>
              </a:graphicData>
            </a:graphic>
          </wp:inline>
        </w:drawing>
      </w:r>
    </w:p>
    <w:p>
      <w:pPr>
        <w:pStyle w:val="Caption"/>
      </w:pPr>
      <w:r>
        <w:rPr>
          <w:rFonts w:ascii="Calibri" w:hAnsi="Calibri" w:eastAsia="Yu Gothic"/>
          <w:color w:val="5D6B78"/>
          <w:sz w:val="18"/>
        </w:rPr>
        <w:t>図14　29対象のshadow評価による方式比較</w:t>
      </w:r>
    </w:p>
    <w:p>
      <w:r>
        <w:rPr>
          <w:rFonts w:ascii="Calibri" w:hAnsi="Calibri" w:eastAsia="Yu Gothic"/>
          <w:i w:val="0"/>
        </w:rPr>
        <w:t>MIA側は『人数を守るやわらかい配分』、AIA側は『50%を重複なしで対応』が比較した候補の中で最も安定していました。</w:t>
      </w:r>
    </w:p>
    <w:p>
      <w:pPr>
        <w:pStyle w:val="CautionBox"/>
        <w:shd w:fill="FFF7E5" w:val="clear"/>
        <w:keepLines/>
        <w:pBdr>
          <w:left w:val="single" w:sz="18" w:space="8" w:color="B8872B"/>
        </w:pBdr>
      </w:pPr>
      <w:r>
        <w:rPr>
          <w:rFonts w:ascii="Calibri" w:hAnsi="Calibri" w:eastAsia="Yu Gothic"/>
          <w:b/>
          <w:color w:val="B8872B"/>
          <w:sz w:val="21"/>
        </w:rPr>
        <w:t xml:space="preserve">評価の限界  </w:t>
      </w:r>
      <w:r>
        <w:rPr>
          <w:rFonts w:ascii="Calibri" w:hAnsi="Calibri" w:eastAsia="Yu Gothic"/>
          <w:sz w:val="21"/>
        </w:rPr>
        <w:t>これは29対象の疑似データによる相対比較です。実行時のコード識別値は現行コードと異なるため、同じ方式群を選ぶ参考として読みます。公式得点や現在の20対象の順位予測ではありません。</w:t>
      </w:r>
    </w:p>
    <w:p>
      <w:pPr>
        <w:pStyle w:val="KeyTakeaway"/>
        <w:shd w:fill="E8F3F4" w:val="clear"/>
        <w:keepLines/>
        <w:pBdr>
          <w:left w:val="single" w:sz="18" w:space="8" w:color="2B6673"/>
        </w:pBdr>
      </w:pPr>
      <w:r>
        <w:rPr>
          <w:rFonts w:ascii="Calibri" w:hAnsi="Calibri" w:eastAsia="Yu Gothic"/>
          <w:b/>
          <w:color w:val="2B6673"/>
          <w:sz w:val="21"/>
        </w:rPr>
        <w:t xml:space="preserve">このページで覚えること  </w:t>
      </w:r>
      <w:r>
        <w:rPr>
          <w:rFonts w:ascii="Calibri" w:hAnsi="Calibri" w:eastAsia="Yu Gothic"/>
          <w:sz w:val="21"/>
        </w:rPr>
        <w:t>shadow評価は『どの方式を採用するか』の参考であり、本番成績の保証ではありません。</w:t>
      </w:r>
    </w:p>
    <w:p>
      <w:pPr>
        <w:spacing w:after="0"/>
      </w:pPr>
      <w:r>
        <w:br w:type="page"/>
      </w:r>
    </w:p>
    <w:p>
      <w:pPr>
        <w:spacing w:before="0" w:after="40"/>
      </w:pPr>
      <w:r>
        <w:rPr>
          <w:rFonts w:ascii="Calibri" w:hAnsi="Calibri" w:eastAsia="Yu Gothic"/>
          <w:b/>
          <w:color w:val="B8872B"/>
          <w:sz w:val="19"/>
        </w:rPr>
        <w:t>理解の仕上げ</w:t>
      </w:r>
    </w:p>
    <w:p>
      <w:pPr>
        <w:pStyle w:val="Heading1"/>
      </w:pPr>
      <w:r>
        <w:rPr>
          <w:rFonts w:ascii="Calibri" w:hAnsi="Calibri" w:eastAsia="Yu Gothic"/>
          <w:b/>
        </w:rPr>
        <w:t>15. この結果から言えること・言えないこと</w:t>
      </w:r>
    </w:p>
    <w:p>
      <w:pPr>
        <w:keepLines/>
        <w:spacing w:after="160"/>
      </w:pPr>
      <w:r>
        <w:rPr>
          <w:rFonts w:ascii="Calibri" w:hAnsi="Calibri" w:eastAsia="Yu Gothic"/>
          <w:i w:val="0"/>
          <w:color w:val="2B6673"/>
          <w:sz w:val="23"/>
        </w:rPr>
        <w:t>攻撃の値を正しく読むには、統計的な候補順位と、本人確認や医学的推定を区別する必要があります。</w:t>
      </w:r>
    </w:p>
    <w:p>
      <w:pPr>
        <w:pStyle w:val="Caption"/>
        <w:keepNext/>
        <w:spacing w:after="80"/>
        <w:jc w:val="left"/>
      </w:pPr>
      <w:r>
        <w:rPr>
          <w:rFonts w:ascii="Calibri" w:hAnsi="Calibri" w:eastAsia="Yu Gothic"/>
          <w:color w:val="5D6B78"/>
          <w:sz w:val="18"/>
        </w:rPr>
        <w:t>表6　攻撃結果の正しい読み方</w:t>
      </w:r>
    </w:p>
    <w:tbl>
      <w:tblPr>
        <w:tblStyle w:val="TableGrid"/>
        <w:tblW w:type="dxa" w:w="9360"/>
        <w:jc w:val="left"/>
        <w:tblLayout w:type="fixed"/>
        <w:tblLook w:firstColumn="1" w:firstRow="1" w:lastColumn="0" w:lastRow="0" w:noHBand="0" w:noVBand="1" w:val="04A0"/>
        <w:tblInd w:type="dxa" w:w="120"/>
      </w:tblPr>
      <w:tblGrid>
        <w:gridCol w:w="4680"/>
        <w:gridCol w:w="4680"/>
      </w:tblGrid>
      <w:tr>
        <w:trPr>
          <w:tblHeader w:val="true"/>
        </w:trPr>
        <w:tc>
          <w:tcPr>
            <w:tcW w:type="dxa" w:w="468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言えること</w:t>
            </w:r>
          </w:p>
        </w:tc>
        <w:tc>
          <w:tcPr>
            <w:tcW w:type="dxa" w:w="468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言えないこと</w:t>
            </w:r>
          </w:p>
        </w:tc>
      </w:tr>
      <w:tr>
        <w:trPr/>
        <w:tc>
          <w:tcPr>
            <w:tcW w:type="dxa" w:w="468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背景より珍しく公開データへ似る候補を上位へ置いた</w:t>
            </w:r>
          </w:p>
        </w:tc>
        <w:tc>
          <w:tcPr>
            <w:tcW w:type="dxa" w:w="468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上位候補が本人であると証明した</w:t>
            </w:r>
          </w:p>
        </w:tc>
      </w:tr>
      <w:tr>
        <w:trPr/>
        <w:tc>
          <w:tcPr>
            <w:tcW w:type="dxa" w:w="468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20対象の人数関係を使って重複を減らした</w:t>
            </w:r>
          </w:p>
        </w:tc>
        <w:tc>
          <w:tcPr>
            <w:tcW w:type="dxa" w:w="468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508人という仮定が秘密の正解である</w:t>
            </w:r>
          </w:p>
        </w:tc>
      </w:tr>
      <w:tr>
        <w:trPr/>
        <w:tc>
          <w:tcPr>
            <w:tcW w:type="dxa" w:w="468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AIAで163組の全体対応を作った</w:t>
            </w:r>
          </w:p>
        </w:tc>
        <w:tc>
          <w:tcPr>
            <w:tcW w:type="dxa" w:w="468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選択した163組がすべて同一人物である</w:t>
            </w:r>
          </w:p>
        </w:tc>
      </w:tr>
      <w:tr>
        <w:trPr/>
        <w:tc>
          <w:tcPr>
            <w:tcW w:type="dxa" w:w="468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非選択行で0.0年を使った</w:t>
            </w:r>
          </w:p>
        </w:tc>
        <w:tc>
          <w:tcPr>
            <w:tcW w:type="dxa" w:w="468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その人の医学的なtimeが0年である</w:t>
            </w:r>
          </w:p>
        </w:tc>
      </w:tr>
      <w:tr>
        <w:trPr/>
        <w:tc>
          <w:tcPr>
            <w:tcW w:type="dxa" w:w="468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shadow内で本命方式が比較上位だった</w:t>
            </w:r>
          </w:p>
        </w:tc>
        <w:tc>
          <w:tcPr>
            <w:tcW w:type="dxa" w:w="468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公式得点や順位が分かった</w:t>
            </w:r>
          </w:p>
        </w:tc>
      </w:tr>
    </w:tbl>
    <w:p>
      <w:pPr>
        <w:spacing w:before="20" w:after="40"/>
      </w:pPr>
    </w:p>
    <w:p>
      <w:pPr>
        <w:pStyle w:val="RiskBox"/>
        <w:shd w:fill="FCEBEC" w:val="clear"/>
        <w:keepLines/>
        <w:pBdr>
          <w:left w:val="single" w:sz="18" w:space="8" w:color="9B1C1C"/>
        </w:pBdr>
      </w:pPr>
      <w:r>
        <w:rPr>
          <w:rFonts w:ascii="Calibri" w:hAnsi="Calibri" w:eastAsia="Yu Gothic"/>
          <w:b/>
          <w:color w:val="9B1C1C"/>
          <w:sz w:val="21"/>
        </w:rPr>
        <w:t xml:space="preserve">前提の弱点  </w:t>
      </w:r>
      <w:r>
        <w:rPr>
          <w:rFonts w:ascii="Calibri" w:hAnsi="Calibri" w:eastAsia="Yu Gothic"/>
          <w:sz w:val="21"/>
        </w:rPr>
        <w:t>人数508、各対象25〜27、AIAの50%という前提が実際と違えば、全体調整が逆効果になる可能性があります。</w:t>
      </w:r>
    </w:p>
    <w:p>
      <w:pPr>
        <w:pStyle w:val="CautionBox"/>
        <w:shd w:fill="FFF7E5" w:val="clear"/>
        <w:keepLines/>
        <w:pBdr>
          <w:left w:val="single" w:sz="18" w:space="8" w:color="B8872B"/>
        </w:pBdr>
      </w:pPr>
      <w:r>
        <w:rPr>
          <w:rFonts w:ascii="Calibri" w:hAnsi="Calibri" w:eastAsia="Yu Gothic"/>
          <w:b/>
          <w:color w:val="B8872B"/>
          <w:sz w:val="21"/>
        </w:rPr>
        <w:t xml:space="preserve">time対応を崩した比較の注意  </w:t>
      </w:r>
      <w:r>
        <w:rPr>
          <w:rFonts w:ascii="Calibri" w:hAnsi="Calibri" w:eastAsia="Yu Gothic"/>
          <w:sz w:val="21"/>
        </w:rPr>
        <w:t>個人単位のtime対応を崩しても比較得点が残りました。所属者らしい行を選ぶ効果やtime分布の偏りも含むため、正確な個人対応の証明ではありません。</w:t>
      </w:r>
    </w:p>
    <w:p>
      <w:pPr>
        <w:pStyle w:val="KeyTakeaway"/>
        <w:shd w:fill="E8F3F4" w:val="clear"/>
        <w:keepLines/>
        <w:pBdr>
          <w:left w:val="single" w:sz="18" w:space="8" w:color="2B6673"/>
        </w:pBdr>
      </w:pPr>
      <w:r>
        <w:rPr>
          <w:rFonts w:ascii="Calibri" w:hAnsi="Calibri" w:eastAsia="Yu Gothic"/>
          <w:b/>
          <w:color w:val="2B6673"/>
          <w:sz w:val="21"/>
        </w:rPr>
        <w:t xml:space="preserve">このページで覚えること  </w:t>
      </w:r>
      <w:r>
        <w:rPr>
          <w:rFonts w:ascii="Calibri" w:hAnsi="Calibri" w:eastAsia="Yu Gothic"/>
          <w:sz w:val="21"/>
        </w:rPr>
        <w:t>この攻撃が測るのは、匿名化後にも残った統計的な手掛かりの強さです。</w:t>
      </w:r>
    </w:p>
    <w:p>
      <w:pPr>
        <w:spacing w:after="0"/>
      </w:pPr>
      <w:r>
        <w:br w:type="page"/>
      </w:r>
    </w:p>
    <w:p>
      <w:pPr>
        <w:spacing w:before="0" w:after="40"/>
      </w:pPr>
      <w:r>
        <w:rPr>
          <w:rFonts w:ascii="Calibri" w:hAnsi="Calibri" w:eastAsia="Yu Gothic"/>
          <w:b/>
          <w:color w:val="B8872B"/>
          <w:sz w:val="19"/>
        </w:rPr>
        <w:t>発表用</w:t>
      </w:r>
    </w:p>
    <w:p>
      <w:pPr>
        <w:pStyle w:val="Heading1"/>
      </w:pPr>
      <w:r>
        <w:rPr>
          <w:rFonts w:ascii="Calibri" w:hAnsi="Calibri" w:eastAsia="Yu Gothic"/>
          <w:b/>
        </w:rPr>
        <w:t>16. そのまま使える、60秒の説明</w:t>
      </w:r>
    </w:p>
    <w:p>
      <w:pPr>
        <w:keepLines/>
        <w:spacing w:after="160"/>
      </w:pPr>
      <w:r>
        <w:rPr>
          <w:rFonts w:ascii="Calibri" w:hAnsi="Calibri" w:eastAsia="Yu Gothic"/>
          <w:i w:val="0"/>
          <w:color w:val="2B6673"/>
          <w:sz w:val="23"/>
        </w:rPr>
        <w:t>細かい用語を使わずに説明すると、次のようになります。</w:t>
      </w:r>
    </w:p>
    <w:p>
      <w:pPr>
        <w:pStyle w:val="KeyTakeaway"/>
        <w:shd w:fill="E8F3F4" w:val="clear"/>
        <w:keepLines/>
        <w:pBdr>
          <w:left w:val="single" w:sz="18" w:space="8" w:color="2B6673"/>
        </w:pBdr>
      </w:pPr>
      <w:r>
        <w:rPr>
          <w:rFonts w:ascii="Calibri" w:hAnsi="Calibri" w:eastAsia="Yu Gothic"/>
          <w:b/>
          <w:color w:val="2B6673"/>
          <w:sz w:val="21"/>
        </w:rPr>
        <w:t xml:space="preserve">読み上げ原稿  </w:t>
      </w:r>
      <w:r>
        <w:rPr>
          <w:rFonts w:ascii="Calibri" w:hAnsi="Calibri" w:eastAsia="Yu Gothic"/>
          <w:sz w:val="21"/>
        </w:rPr>
        <w:t>今回は、候補者と公開データの単純な近さだけでなく、その近さが一般の背景データでも普通に起きるかを確認しました。MIA側では、同じ候補者を四つの項目構成で比べ、特定の対象だけで目立つ候補を強くしました。さらに、各対象の人数と一人一対象という前提を使って20対象をまとめて調整し、最後は対象ごとの順位として出力しました。AIA側では、326行と公開データの全組合せを比べ、半数の163組を重複なしでまとめて選びました。選択行には対応先のtimeを、非選択行には偶然当たりにくい値を回答しています。どちらも本人を断定する方法ではなく、加工後に残った弱い手掛かりを背景比較と全体条件で組み合わせる方法です。</w:t>
      </w:r>
    </w:p>
    <w:p>
      <w:pPr>
        <w:pStyle w:val="Heading2"/>
      </w:pPr>
      <w:r>
        <w:rPr>
          <w:rFonts w:ascii="Calibri" w:hAnsi="Calibri" w:eastAsia="Yu Gothic"/>
          <w:b/>
        </w:rPr>
        <w:t>必要な固有語だけの言い換え</w:t>
      </w:r>
    </w:p>
    <w:p>
      <w:pPr>
        <w:pStyle w:val="Caption"/>
        <w:keepNext/>
        <w:spacing w:after="80"/>
        <w:jc w:val="left"/>
      </w:pPr>
      <w:r>
        <w:rPr>
          <w:rFonts w:ascii="Calibri" w:hAnsi="Calibri" w:eastAsia="Yu Gothic"/>
          <w:color w:val="5D6B78"/>
          <w:sz w:val="18"/>
        </w:rPr>
        <w:t>表7　必要な固有語の最小限の対応表</w:t>
      </w:r>
    </w:p>
    <w:tbl>
      <w:tblPr>
        <w:tblStyle w:val="TableGrid"/>
        <w:tblW w:type="dxa" w:w="9360"/>
        <w:jc w:val="left"/>
        <w:tblLayout w:type="fixed"/>
        <w:tblLook w:firstColumn="1" w:firstRow="1" w:lastColumn="0" w:lastRow="0" w:noHBand="0" w:noVBand="1" w:val="04A0"/>
        <w:tblInd w:type="dxa" w:w="120"/>
      </w:tblPr>
      <w:tblGrid>
        <w:gridCol w:w="3400"/>
        <w:gridCol w:w="5960"/>
      </w:tblGrid>
      <w:tr>
        <w:trPr>
          <w:tblHeader w:val="true"/>
        </w:trPr>
        <w:tc>
          <w:tcPr>
            <w:tcW w:type="dxa" w:w="340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コードや資料の語</w:t>
            </w:r>
          </w:p>
        </w:tc>
        <w:tc>
          <w:tcPr>
            <w:tcW w:type="dxa" w:w="5960"/>
            <w:shd w:fill="E8EEF5" w:val="clear"/>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center"/>
            </w:pPr>
            <w:r>
              <w:rPr>
                <w:rFonts w:ascii="Calibri" w:hAnsi="Calibri" w:eastAsia="Yu Gothic"/>
                <w:b/>
                <w:color w:val="0B2545"/>
                <w:sz w:val="18"/>
              </w:rPr>
              <w:t>この資料での言い方</w:t>
            </w:r>
          </w:p>
        </w:tc>
      </w:tr>
      <w:tr>
        <w:trPr/>
        <w:tc>
          <w:tcPr>
            <w:tcW w:type="dxa" w:w="34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view</w:t>
            </w:r>
          </w:p>
        </w:tc>
        <w:tc>
          <w:tcPr>
            <w:tcW w:type="dxa" w:w="59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データの見方</w:t>
            </w:r>
          </w:p>
        </w:tc>
      </w:tr>
      <w:tr>
        <w:trPr/>
        <w:tc>
          <w:tcPr>
            <w:tcW w:type="dxa" w:w="34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robust scaling</w:t>
            </w:r>
          </w:p>
        </w:tc>
        <w:tc>
          <w:tcPr>
            <w:tcW w:type="dxa" w:w="59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外れ値に強い単位合わせ</w:t>
            </w:r>
          </w:p>
        </w:tc>
      </w:tr>
      <w:tr>
        <w:trPr/>
        <w:tc>
          <w:tcPr>
            <w:tcW w:type="dxa" w:w="34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background calibration</w:t>
            </w:r>
          </w:p>
        </w:tc>
        <w:tc>
          <w:tcPr>
            <w:tcW w:type="dxa" w:w="59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背景データを使った珍しさの補正</w:t>
            </w:r>
          </w:p>
        </w:tc>
      </w:tr>
      <w:tr>
        <w:trPr/>
        <w:tc>
          <w:tcPr>
            <w:tcW w:type="dxa" w:w="34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DOMIAS</w:t>
            </w:r>
          </w:p>
        </w:tc>
        <w:tc>
          <w:tcPr>
            <w:tcW w:type="dxa" w:w="59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分布の濃さの差を使う補助情報</w:t>
            </w:r>
          </w:p>
        </w:tc>
      </w:tr>
      <w:tr>
        <w:trPr/>
        <w:tc>
          <w:tcPr>
            <w:tcW w:type="dxa" w:w="34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hard assignment</w:t>
            </w:r>
          </w:p>
        </w:tc>
        <w:tc>
          <w:tcPr>
            <w:tcW w:type="dxa" w:w="59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一人を一つへ決める仮配分</w:t>
            </w:r>
          </w:p>
        </w:tc>
      </w:tr>
      <w:tr>
        <w:trPr/>
        <w:tc>
          <w:tcPr>
            <w:tcW w:type="dxa" w:w="34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Sinkhorn transport</w:t>
            </w:r>
          </w:p>
        </w:tc>
        <w:tc>
          <w:tcPr>
            <w:tcW w:type="dxa" w:w="59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人数を守りながら重みを配る処理</w:t>
            </w:r>
          </w:p>
        </w:tc>
      </w:tr>
      <w:tr>
        <w:trPr/>
        <w:tc>
          <w:tcPr>
            <w:tcW w:type="dxa" w:w="34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strict rank</w:t>
            </w:r>
          </w:p>
        </w:tc>
        <w:tc>
          <w:tcPr>
            <w:tcW w:type="dxa" w:w="59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同点のない順位</w:t>
            </w:r>
          </w:p>
        </w:tc>
      </w:tr>
      <w:tr>
        <w:trPr/>
        <w:tc>
          <w:tcPr>
            <w:tcW w:type="dxa" w:w="34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pair cost</w:t>
            </w:r>
          </w:p>
        </w:tc>
        <w:tc>
          <w:tcPr>
            <w:tcW w:type="dxa" w:w="59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ペアごとの対応の悪さ</w:t>
            </w:r>
          </w:p>
        </w:tc>
      </w:tr>
      <w:tr>
        <w:trPr/>
        <w:tc>
          <w:tcPr>
            <w:tcW w:type="dxa" w:w="340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abstain time</w:t>
            </w:r>
          </w:p>
        </w:tc>
        <w:tc>
          <w:tcPr>
            <w:tcW w:type="dxa" w:w="5960"/>
            <w:tcBorders>
              <w:top w:val="single" w:sz="6" w:space="0" w:color="CBD5DF"/>
              <w:left w:val="single" w:sz="6" w:space="0" w:color="CBD5DF"/>
              <w:bottom w:val="single" w:sz="6" w:space="0" w:color="CBD5DF"/>
              <w:right w:val="single" w:sz="6" w:space="0" w:color="CBD5DF"/>
              <w:insideH w:val="single" w:sz="6" w:space="0" w:color="CBD5DF"/>
              <w:insideV w:val="single" w:sz="6" w:space="0" w:color="CBD5DF"/>
            </w:tcBorders>
            <w:vAlign w:val="center"/>
            <w:tcMar>
              <w:top w:w="100" w:type="dxa"/>
              <w:bottom w:w="100" w:type="dxa"/>
              <w:start w:w="120" w:type="dxa"/>
              <w:end w:w="120" w:type="dxa"/>
            </w:tcMar>
          </w:tcPr>
          <w:p>
            <w:pPr>
              <w:spacing w:after="0" w:line="264" w:lineRule="auto"/>
              <w:jc w:val="left"/>
            </w:pPr>
            <w:r>
              <w:rPr>
                <w:rFonts w:ascii="Calibri" w:hAnsi="Calibri" w:eastAsia="Yu Gothic"/>
                <w:sz w:val="18"/>
              </w:rPr>
              <w:t>非選択行へ入れる退避値</w:t>
            </w:r>
          </w:p>
        </w:tc>
      </w:tr>
    </w:tbl>
    <w:p>
      <w:pPr>
        <w:spacing w:before="20" w:after="40"/>
      </w:pPr>
    </w:p>
    <w:p>
      <w:pPr>
        <w:spacing w:after="0"/>
      </w:pPr>
      <w:r>
        <w:br w:type="page"/>
      </w:r>
    </w:p>
    <w:p>
      <w:pPr>
        <w:spacing w:before="0" w:after="40"/>
      </w:pPr>
      <w:r>
        <w:rPr>
          <w:rFonts w:ascii="Calibri" w:hAnsi="Calibri" w:eastAsia="Yu Gothic"/>
          <w:b/>
          <w:color w:val="B8872B"/>
          <w:sz w:val="19"/>
        </w:rPr>
        <w:t>付録</w:t>
      </w:r>
    </w:p>
    <w:p>
      <w:pPr>
        <w:pStyle w:val="Heading1"/>
      </w:pPr>
      <w:r>
        <w:rPr>
          <w:rFonts w:ascii="Calibri" w:hAnsi="Calibri" w:eastAsia="Yu Gothic"/>
          <w:b/>
        </w:rPr>
        <w:t>17. 確認元と再現上の注意</w:t>
      </w:r>
    </w:p>
    <w:p>
      <w:pPr>
        <w:keepLines/>
        <w:spacing w:after="160"/>
      </w:pPr>
      <w:r>
        <w:rPr>
          <w:rFonts w:ascii="Calibri" w:hAnsi="Calibri" w:eastAsia="Yu Gothic"/>
          <w:i w:val="0"/>
          <w:color w:val="2B6673"/>
          <w:sz w:val="23"/>
        </w:rPr>
        <w:t>この資料は、現在の生成コード・提出候補・診断結果を読み直して作成しています。</w:t>
      </w:r>
    </w:p>
    <w:p>
      <w:pPr>
        <w:pStyle w:val="Heading2"/>
      </w:pPr>
      <w:r>
        <w:rPr>
          <w:rFonts w:ascii="Calibri" w:hAnsi="Calibri" w:eastAsia="Yu Gothic"/>
          <w:b/>
        </w:rPr>
        <w:t>確認したローカルファイル</w:t>
      </w:r>
    </w:p>
    <w:p>
      <w:pPr>
        <w:spacing w:after="100"/>
      </w:pPr>
      <w:r>
        <w:rPr>
          <w:rFonts w:ascii="Calibri" w:hAnsi="Calibri" w:eastAsia="Yu Gothic"/>
          <w:b/>
          <w:color w:val="0B2545"/>
        </w:rPr>
        <w:t>攻撃生成コード：</w:t>
      </w:r>
      <w:r>
        <w:rPr>
          <w:rFonts w:ascii="Consolas" w:hAnsi="Consolas" w:eastAsia="Yu Gothic"/>
          <w:color w:val="5D6B78"/>
          <w:sz w:val="19"/>
        </w:rPr>
        <w:t>attack_phase/generate_submission.py</w:t>
      </w:r>
    </w:p>
    <w:p>
      <w:pPr>
        <w:spacing w:after="100"/>
      </w:pPr>
      <w:r>
        <w:rPr>
          <w:rFonts w:ascii="Calibri" w:hAnsi="Calibri" w:eastAsia="Yu Gothic"/>
          <w:b/>
          <w:color w:val="0B2545"/>
        </w:rPr>
        <w:t>現在の提出候補：</w:t>
      </w:r>
      <w:r>
        <w:rPr>
          <w:rFonts w:ascii="Consolas" w:hAnsi="Consolas" w:eastAsia="Yu Gothic"/>
          <w:color w:val="5D6B78"/>
          <w:sz w:val="19"/>
        </w:rPr>
        <w:t>submissions/prelim/team24/attack-candidate-v1/README.md</w:t>
      </w:r>
    </w:p>
    <w:p>
      <w:pPr>
        <w:spacing w:after="100"/>
      </w:pPr>
      <w:r>
        <w:rPr>
          <w:rFonts w:ascii="Calibri" w:hAnsi="Calibri" w:eastAsia="Yu Gothic"/>
          <w:b/>
          <w:color w:val="0B2545"/>
        </w:rPr>
        <w:t>現在候補の診断：</w:t>
      </w:r>
      <w:r>
        <w:rPr>
          <w:rFonts w:ascii="Consolas" w:hAnsi="Consolas" w:eastAsia="Yu Gothic"/>
          <w:color w:val="5D6B78"/>
          <w:sz w:val="19"/>
        </w:rPr>
        <w:t>local-output/prelim/team24/attack-phase-20260827-v1/diagnostics.json</w:t>
      </w:r>
    </w:p>
    <w:p>
      <w:pPr>
        <w:spacing w:after="100"/>
      </w:pPr>
      <w:r>
        <w:rPr>
          <w:rFonts w:ascii="Calibri" w:hAnsi="Calibri" w:eastAsia="Yu Gothic"/>
          <w:b/>
          <w:color w:val="0B2545"/>
        </w:rPr>
        <w:t>shadow比較結果：</w:t>
      </w:r>
      <w:r>
        <w:rPr>
          <w:rFonts w:ascii="Consolas" w:hAnsi="Consolas" w:eastAsia="Yu Gothic"/>
          <w:color w:val="5D6B78"/>
          <w:sz w:val="19"/>
        </w:rPr>
        <w:t>local-output/attack-shadow-evaluation/REPORT.md</w:t>
      </w:r>
    </w:p>
    <w:p>
      <w:pPr>
        <w:spacing w:after="100"/>
      </w:pPr>
      <w:r>
        <w:rPr>
          <w:rFonts w:ascii="Calibri" w:hAnsi="Calibri" w:eastAsia="Yu Gothic"/>
          <w:b/>
          <w:color w:val="0B2545"/>
        </w:rPr>
        <w:t>shadow実行診断：</w:t>
      </w:r>
      <w:r>
        <w:rPr>
          <w:rFonts w:ascii="Consolas" w:hAnsi="Consolas" w:eastAsia="Yu Gothic"/>
          <w:color w:val="5D6B78"/>
          <w:sz w:val="19"/>
        </w:rPr>
        <w:t>local-output/attack-shadow-evaluation/run_diagnostics.json</w:t>
      </w:r>
    </w:p>
    <w:p>
      <w:pPr>
        <w:pStyle w:val="CautionBox"/>
        <w:shd w:fill="FFF7E5" w:val="clear"/>
        <w:keepLines/>
        <w:pBdr>
          <w:left w:val="single" w:sz="18" w:space="8" w:color="B8872B"/>
        </w:pBdr>
      </w:pPr>
      <w:r>
        <w:rPr>
          <w:rFonts w:ascii="Calibri" w:hAnsi="Calibri" w:eastAsia="Yu Gothic"/>
          <w:b/>
          <w:color w:val="B8872B"/>
          <w:sz w:val="21"/>
        </w:rPr>
        <w:t xml:space="preserve">数値の訂正  </w:t>
      </w:r>
      <w:r>
        <w:rPr>
          <w:rFonts w:ascii="Calibri" w:hAnsi="Calibri" w:eastAsia="Yu Gothic"/>
          <w:sz w:val="21"/>
        </w:rPr>
        <w:t>shadow評価のREPORT本文には非選択値を0年と書いた箇所がありますが、実行診断ではすべて5.62年です。現在の提出候補だけが0.0年です。この資料では実行診断に合わせて区別しました。</w:t>
      </w:r>
    </w:p>
    <w:p>
      <w:pPr>
        <w:pStyle w:val="Heading2"/>
      </w:pPr>
      <w:r>
        <w:rPr>
          <w:rFonts w:ascii="Calibri" w:hAnsi="Calibri" w:eastAsia="Yu Gothic"/>
          <w:b/>
        </w:rPr>
        <w:t>ルールと倫理の範囲</w:t>
      </w:r>
    </w:p>
    <w:p>
      <w:pPr>
        <w:numPr>
          <w:ilvl w:val="0"/>
          <w:numId w:val="10"/>
        </w:numPr>
      </w:pPr>
      <w:r>
        <w:rPr>
          <w:rFonts w:ascii="Calibri" w:hAnsi="Calibri" w:eastAsia="Yu Gothic"/>
        </w:rPr>
        <w:t>配布された競技データだけを使用しています。</w:t>
      </w:r>
    </w:p>
    <w:p>
      <w:pPr>
        <w:numPr>
          <w:ilvl w:val="0"/>
          <w:numId w:val="10"/>
        </w:numPr>
      </w:pPr>
      <w:r>
        <w:rPr>
          <w:rFonts w:ascii="Calibri" w:hAnsi="Calibri" w:eastAsia="Yu Gothic"/>
        </w:rPr>
        <w:t>ネットワーク、提出サーバー、トークン、第三者の非公開データへアクセスしていません。</w:t>
      </w:r>
    </w:p>
    <w:p>
      <w:pPr>
        <w:numPr>
          <w:ilvl w:val="0"/>
          <w:numId w:val="10"/>
        </w:numPr>
      </w:pPr>
      <w:r>
        <w:rPr>
          <w:rFonts w:ascii="Calibri" w:hAnsi="Calibri" w:eastAsia="Yu Gothic"/>
        </w:rPr>
        <w:t>結果は競技内の統計分析として扱い、現実の個人特定へ転用しません。</w:t>
      </w:r>
    </w:p>
    <w:p>
      <w:pPr>
        <w:pStyle w:val="KeyTakeaway"/>
        <w:shd w:fill="E8F3F4" w:val="clear"/>
        <w:keepLines/>
        <w:pBdr>
          <w:left w:val="single" w:sz="18" w:space="8" w:color="2B6673"/>
        </w:pBdr>
      </w:pPr>
      <w:r>
        <w:rPr>
          <w:rFonts w:ascii="Calibri" w:hAnsi="Calibri" w:eastAsia="Yu Gothic"/>
          <w:b/>
          <w:color w:val="2B6673"/>
          <w:sz w:val="21"/>
        </w:rPr>
        <w:t xml:space="preserve">まとめ  </w:t>
      </w:r>
      <w:r>
        <w:rPr>
          <w:rFonts w:ascii="Calibri" w:hAnsi="Calibri" w:eastAsia="Yu Gothic"/>
          <w:sz w:val="21"/>
        </w:rPr>
        <w:t>今回の中心は、『一番近い人を選ぶ』ことではなく、背景中の珍しさ、対象固有性、人数と重複の条件を一つの流れへ組み込んだことです。</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Yu Gothic"/>
        <w:color w:val="5D6B78"/>
        <w:sz w:val="17"/>
      </w:rPr>
      <w:t xml:space="preserve">PAGE </w:t>
    </w:r>
    <w:r>
      <w:rPr>
        <w:rFonts w:ascii="Calibri" w:hAnsi="Calibri" w:eastAsia="Yu Gothic"/>
        <w:color w:val="5D6B78"/>
        <w:sz w:val="17"/>
      </w:rPr>
      <w:fldChar w:fldCharType="begin"/>
      <w:instrText xml:space="preserve">PAGE</w:instrText>
      <w:fldChar w:fldCharType="separate"/>
      <w:t>1</w:t>
      <w:fldChar w:fldCharType="end"/>
    </w:r>
    <w:r>
      <w:rPr>
        <w:rFonts w:ascii="Calibri" w:hAnsi="Calibri" w:eastAsia="Yu Gothic"/>
        <w:color w:val="5D6B78"/>
        <w:sz w:val="17"/>
      </w:rPr>
      <w:t xml:space="preserve"> / </w:t>
    </w:r>
    <w:r>
      <w:rPr>
        <w:rFonts w:ascii="Calibri" w:hAnsi="Calibri" w:eastAsia="Yu Gothic"/>
        <w:color w:val="5D6B78"/>
        <w:sz w:val="17"/>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Yu Gothic"/>
        <w:color w:val="5D6B78"/>
        <w:sz w:val="17"/>
      </w:rPr>
      <w:t>PWSCup 2026 | 今回の攻撃手法・図解版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suff w:val="tab"/>
      <w:pPr>
        <w:tabs>
          <w:tab w:val="num" w:pos="540"/>
        </w:tabs>
        <w:ind w:left="540" w:hanging="271"/>
        <w:spacing w:after="80" w:line="300" w:lineRule="auto"/>
      </w:pPr>
      <w:rPr>
        <w:rFonts w:ascii="Yu Gothic" w:hAnsi="Yu Gothic" w:eastAsia="Yu Gothic"/>
      </w:rPr>
    </w:lvl>
  </w:abstractNum>
  <w:abstractNum w:abstractNumId="10">
    <w:multiLevelType w:val="singleLevel"/>
    <w:lvl w:ilvl="0">
      <w:start w:val="1"/>
      <w:numFmt w:val="decimal"/>
      <w:lvlText w:val="%1."/>
      <w:suff w:val="tab"/>
      <w:pPr>
        <w:tabs>
          <w:tab w:val="num" w:pos="540"/>
        </w:tabs>
        <w:ind w:left="540" w:hanging="271"/>
        <w:spacing w:after="80" w:line="300" w:lineRule="auto"/>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jc w:val="left"/>
    </w:pPr>
    <w:rPr>
      <w:rFonts w:ascii="Calibri" w:hAnsi="Calibri" w:eastAsia="Yu Gothic"/>
      <w:color w:val="202A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Yu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eastAsia="Yu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eastAsia="Yu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eastAsia="Yu Gothic"/>
      <w:b/>
      <w:color w:val="0B254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jc w:val="center"/>
    </w:pPr>
    <w:rPr>
      <w:rFonts w:asciiTheme="majorHAnsi" w:eastAsiaTheme="majorEastAsia" w:hAnsiTheme="majorHAnsi" w:cstheme="majorBidi" w:ascii="Calibri" w:hAnsi="Calibri" w:eastAsia="Yu Gothic"/>
      <w:i/>
      <w:iCs/>
      <w:color w:val="2B6673"/>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40" w:after="160"/>
      <w:jc w:val="center"/>
    </w:pPr>
    <w:rPr>
      <w:rFonts w:ascii="Calibri" w:hAnsi="Calibri" w:eastAsia="Yu Gothic"/>
      <w:b/>
      <w:bCs/>
      <w:i w:val="0"/>
      <w:color w:val="5D6B7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Takeaway">
    <w:name w:val="Key Takeaway"/>
    <w:basedOn w:val="Normal"/>
    <w:pPr>
      <w:spacing w:before="100" w:after="120" w:line="288" w:lineRule="auto"/>
      <w:ind w:left="200" w:right="80"/>
    </w:pPr>
    <w:rPr>
      <w:rFonts w:ascii="Calibri" w:hAnsi="Calibri" w:eastAsia="Yu Gothic"/>
      <w:color w:val="202A33"/>
      <w:sz w:val="21"/>
    </w:rPr>
  </w:style>
  <w:style w:type="paragraph" w:customStyle="1" w:styleId="NoteBox">
    <w:name w:val="Note Box"/>
    <w:basedOn w:val="Normal"/>
    <w:pPr>
      <w:spacing w:before="100" w:after="120" w:line="288" w:lineRule="auto"/>
      <w:ind w:left="200" w:right="80"/>
    </w:pPr>
    <w:rPr>
      <w:rFonts w:ascii="Calibri" w:hAnsi="Calibri" w:eastAsia="Yu Gothic"/>
      <w:color w:val="202A33"/>
      <w:sz w:val="21"/>
    </w:rPr>
  </w:style>
  <w:style w:type="paragraph" w:customStyle="1" w:styleId="CautionBox">
    <w:name w:val="Caution Box"/>
    <w:basedOn w:val="Normal"/>
    <w:pPr>
      <w:spacing w:before="100" w:after="120" w:line="288" w:lineRule="auto"/>
      <w:ind w:left="200" w:right="80"/>
    </w:pPr>
    <w:rPr>
      <w:rFonts w:ascii="Calibri" w:hAnsi="Calibri" w:eastAsia="Yu Gothic"/>
      <w:color w:val="202A33"/>
      <w:sz w:val="21"/>
    </w:rPr>
  </w:style>
  <w:style w:type="paragraph" w:customStyle="1" w:styleId="RiskBox">
    <w:name w:val="Risk Box"/>
    <w:basedOn w:val="Normal"/>
    <w:pPr>
      <w:spacing w:before="100" w:after="120" w:line="288" w:lineRule="auto"/>
      <w:ind w:left="200" w:right="80"/>
    </w:pPr>
    <w:rPr>
      <w:rFonts w:ascii="Calibri" w:hAnsi="Calibri" w:eastAsia="Yu Gothic"/>
      <w:color w:val="202A33"/>
      <w:sz w:val="21"/>
    </w:rPr>
  </w:style>
  <w:style w:type="paragraph" w:customStyle="1" w:styleId="ExerciseBox">
    <w:name w:val="Exercise Box"/>
    <w:basedOn w:val="Normal"/>
    <w:pPr>
      <w:spacing w:before="100" w:after="120" w:line="288" w:lineRule="auto"/>
      <w:ind w:left="200" w:right="80"/>
    </w:pPr>
    <w:rPr>
      <w:rFonts w:ascii="Calibri" w:hAnsi="Calibri" w:eastAsia="Yu Gothic"/>
      <w:color w:val="202A33"/>
      <w:sz w:val="21"/>
    </w:rPr>
  </w:style>
  <w:style w:type="paragraph" w:customStyle="1" w:styleId="TableCitation">
    <w:name w:val="Table Citation"/>
    <w:basedOn w:val="Normal"/>
    <w:pPr>
      <w:spacing w:before="80" w:after="80" w:line="240" w:lineRule="auto"/>
    </w:pPr>
    <w:rPr>
      <w:rFonts w:ascii="Calibri" w:hAnsi="Calibri" w:eastAsia="Yu Gothic"/>
      <w:color w:val="5D6B7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図でたどる 今回の攻撃手法</dc:title>
  <dc:subject>現行のMIA・AIA実装を、図と自然な日本語で説明する初心者向け資料</dc:subject>
  <dc:creator>PWSCup 2026 team24</dc:creator>
  <cp:keywords>PWSCup 2026, MIA, AIA, visual guide, privacy competition</cp:keywords>
  <dc:description>generated by python-docx</dc:description>
  <cp:lastModifiedBy/>
  <cp:revision>1</cp:revision>
  <dcterms:created xsi:type="dcterms:W3CDTF">2013-12-23T23:15:00Z</dcterms:created>
  <dcterms:modified xsi:type="dcterms:W3CDTF">2013-12-23T23:15:00Z</dcterms:modified>
  <cp:category/>
</cp:coreProperties>
</file>