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360"/>
      </w:pPr>
      <w:r>
        <w:rPr>
          <w:rFonts w:ascii="Calibri" w:cs="Calibri" w:eastAsia="Calibri" w:hAnsi="Calibri"/>
          <w:b/>
          <w:bCs/>
          <w:i w:val="false"/>
          <w:iCs w:val="false"/>
          <w:color w:val="1A1A2E"/>
          <w:sz w:val="36"/>
          <w:szCs w:val="36"/>
        </w:rPr>
        <w:t xml:space="preserve">BECP — XP Release Plan (Updated: Release 5)</w:t>
      </w:r>
    </w:p>
    <w:p>
      <w:r>
        <w:rPr>
          <w:rFonts w:ascii="Calibri" w:cs="Calibri" w:eastAsia="Calibri" w:hAnsi="Calibri"/>
          <w:b w:val="false"/>
          <w:bCs w:val="false"/>
          <w:i/>
          <w:iCs/>
          <w:color w:val="6B7280"/>
          <w:sz w:val="18"/>
          <w:szCs w:val="18"/>
        </w:rPr>
        <w:t xml:space="preserve">Blockchain-based Extracurricular Credentials Platform  ·  TP075129  ·  APU BSc Software Engineering</w:t>
      </w:r>
    </w:p>
    <w:p>
      <w:r>
        <w:rPr>
          <w:rFonts w:ascii="Calibri" w:cs="Calibri" w:eastAsia="Calibri" w:hAnsi="Calibri"/>
          <w:b w:val="false"/>
          <w:bCs w:val="false"/>
          <w:i/>
          <w:iCs/>
          <w:color w:val="6B7280"/>
          <w:sz w:val="18"/>
          <w:szCs w:val="18"/>
        </w:rPr>
        <w:t xml:space="preserve">Project dates: March 2026 – June 2026  ·  Methodology: Extreme Programming (XP)  ·  Developer: Muhammad Qayyum bin Mahamad Yazid</w:t>
      </w:r>
    </w:p>
    <w:p>
      <w:pPr>
        <w:spacing w:after="60" w:before="60"/>
      </w:pPr>
    </w:p>
    <w:p>
      <w:pPr>
        <w:pStyle w:val="Heading2"/>
        <w:pBdr>
          <w:bottom w:val="single" w:color="E94560" w:sz="4" w:space="4"/>
        </w:pBdr>
        <w:spacing w:after="120" w:before="280"/>
      </w:pPr>
      <w:r>
        <w:rPr>
          <w:rFonts w:ascii="Calibri" w:cs="Calibri" w:eastAsia="Calibri" w:hAnsi="Calibri"/>
          <w:b/>
          <w:bCs/>
          <w:i w:val="false"/>
          <w:iCs w:val="false"/>
          <w:color w:val="0F3460"/>
          <w:sz w:val="26"/>
          <w:szCs w:val="26"/>
        </w:rPr>
        <w:t xml:space="preserve">1. Project Overview</w:t>
      </w:r>
    </w:p>
    <w:p>
      <w:pPr>
        <w:spacing w:after="60" w:before="60"/>
      </w:pPr>
      <w:r>
        <w:rPr>
          <w:rFonts w:ascii="Calibri" w:cs="Calibri" w:eastAsia="Calibri" w:hAnsi="Calibri"/>
          <w:b w:val="false"/>
          <w:bCs w:val="false"/>
          <w:i w:val="false"/>
          <w:iCs w:val="false"/>
          <w:sz w:val="20"/>
          <w:szCs w:val="20"/>
        </w:rPr>
        <w:t xml:space="preserve">BECP is a blockchain-based credential platform issuing soulbound ERC-1155 NFT micro-credentials to university students upon completing extracurricular activities. The system serves four roles — students, organizers, university administrators, and HR recruiters — deployed on Optimism L2. Release 5 migrates both off-chain data stores from local JSON files to Neon Serverless Postgres via Drizzle ORM, adds image support for credential badge artwork and event banners, delivers the event detail page at /events/[tokenId], introduces profile pages for the organizer and admin roles, and applies UX polish including a stable dashboard greeting, corrected block explorer URL format, an ACTIVE_CHAIN constant for automatic mainnet switching, a right-side Drawer on organizer credential type cards, and a bio section in the portfolio PDF. The frontend test suite grows to 225 passing tests across 15 files.</w:t>
      </w:r>
    </w:p>
    <w:p>
      <w:pPr>
        <w:spacing w:after="60" w:before="60"/>
      </w:pPr>
    </w:p>
    <w:p>
      <w:pPr>
        <w:pStyle w:val="Heading2"/>
        <w:pBdr>
          <w:bottom w:val="single" w:color="E94560" w:sz="4" w:space="4"/>
        </w:pBdr>
        <w:spacing w:after="120" w:before="280"/>
      </w:pPr>
      <w:r>
        <w:rPr>
          <w:rFonts w:ascii="Calibri" w:cs="Calibri" w:eastAsia="Calibri" w:hAnsi="Calibri"/>
          <w:b/>
          <w:bCs/>
          <w:i w:val="false"/>
          <w:iCs w:val="false"/>
          <w:color w:val="0F3460"/>
          <w:sz w:val="26"/>
          <w:szCs w:val="26"/>
        </w:rPr>
        <w:t xml:space="preserve">2. Release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68"/>
        <w:gridCol w:w="1722"/>
        <w:gridCol w:w="5017"/>
        <w:gridCol w:w="1507"/>
        <w:gridCol w:w="866"/>
      </w:tblGrid>
      <w:tr>
        <w:tc>
          <w:tcPr>
            <w:tcW w:type="dxa" w:w="968"/>
            <w:tcBorders>
              <w:top w:val="single" w:color="C5CDE8" w:sz="1"/>
              <w:left w:val="single" w:color="C5CDE8" w:sz="1"/>
              <w:bottom w:val="single" w:color="C5CDE8" w:sz="1"/>
              <w:right w:val="single" w:color="C5CDE8" w:sz="1"/>
            </w:tcBorders>
            <w:shd w:fill="1A1A2E"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Release</w:t>
            </w:r>
          </w:p>
        </w:tc>
        <w:tc>
          <w:tcPr>
            <w:tcW w:type="dxa" w:w="1722"/>
            <w:tcBorders>
              <w:top w:val="single" w:color="C5CDE8" w:sz="1"/>
              <w:left w:val="single" w:color="C5CDE8" w:sz="1"/>
              <w:bottom w:val="single" w:color="C5CDE8" w:sz="1"/>
              <w:right w:val="single" w:color="C5CDE8" w:sz="1"/>
            </w:tcBorders>
            <w:shd w:fill="1A1A2E"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Phase(s)</w:t>
            </w:r>
          </w:p>
        </w:tc>
        <w:tc>
          <w:tcPr>
            <w:tcW w:type="dxa" w:w="5017"/>
            <w:tcBorders>
              <w:top w:val="single" w:color="C5CDE8" w:sz="1"/>
              <w:left w:val="single" w:color="C5CDE8" w:sz="1"/>
              <w:bottom w:val="single" w:color="C5CDE8" w:sz="1"/>
              <w:right w:val="single" w:color="C5CDE8" w:sz="1"/>
            </w:tcBorders>
            <w:shd w:fill="1A1A2E"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Deliverable</w:t>
            </w:r>
          </w:p>
        </w:tc>
        <w:tc>
          <w:tcPr>
            <w:tcW w:type="dxa" w:w="1507"/>
            <w:tcBorders>
              <w:top w:val="single" w:color="C5CDE8" w:sz="1"/>
              <w:left w:val="single" w:color="C5CDE8" w:sz="1"/>
              <w:bottom w:val="single" w:color="C5CDE8" w:sz="1"/>
              <w:right w:val="single" w:color="C5CDE8" w:sz="1"/>
            </w:tcBorders>
            <w:shd w:fill="1A1A2E"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Target</w:t>
            </w:r>
          </w:p>
        </w:tc>
        <w:tc>
          <w:tcPr>
            <w:tcW w:type="dxa" w:w="866"/>
            <w:tcBorders>
              <w:top w:val="single" w:color="C5CDE8" w:sz="1"/>
              <w:left w:val="single" w:color="C5CDE8" w:sz="1"/>
              <w:bottom w:val="single" w:color="C5CDE8" w:sz="1"/>
              <w:right w:val="single" w:color="C5CDE8" w:sz="1"/>
            </w:tcBorders>
            <w:shd w:fill="1A1A2E"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Status</w:t>
            </w:r>
          </w:p>
        </w:tc>
      </w:tr>
      <w:tr>
        <w:tc>
          <w:tcPr>
            <w:tcW w:type="dxa" w:w="968"/>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R1</w:t>
            </w:r>
          </w:p>
        </w:tc>
        <w:tc>
          <w:tcPr>
            <w:tcW w:type="dxa" w:w="1722"/>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Phase 0+1</w:t>
            </w:r>
          </w:p>
        </w:tc>
        <w:tc>
          <w:tcPr>
            <w:tcW w:type="dxa" w:w="5017"/>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Monorepo scaffold + ERC-1155 soulbound smart contract + 52 passing tests + Hardhat 3 deployment config</w:t>
            </w:r>
          </w:p>
        </w:tc>
        <w:tc>
          <w:tcPr>
            <w:tcW w:type="dxa" w:w="1507"/>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Week 1–2</w:t>
            </w:r>
          </w:p>
        </w:tc>
        <w:tc>
          <w:tcPr>
            <w:tcW w:type="dxa" w:w="866"/>
            <w:tcBorders>
              <w:top w:val="single" w:color="C5CDE8" w:sz="1"/>
              <w:left w:val="single" w:color="C5CDE8" w:sz="1"/>
              <w:bottom w:val="single" w:color="C5CDE8" w:sz="1"/>
              <w:right w:val="single" w:color="C5CDE8" w:sz="1"/>
            </w:tcBorders>
            <w:shd w:fill="DCFCE7"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DONE</w:t>
            </w:r>
          </w:p>
        </w:tc>
      </w:tr>
      <w:tr>
        <w:tc>
          <w:tcPr>
            <w:tcW w:type="dxa" w:w="968"/>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R2</w:t>
            </w:r>
          </w:p>
        </w:tc>
        <w:tc>
          <w:tcPr>
            <w:tcW w:type="dxa" w:w="1722"/>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Phase 2</w:t>
            </w:r>
          </w:p>
        </w:tc>
        <w:tc>
          <w:tcPr>
            <w:tcW w:type="dxa" w:w="5017"/>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Next.js 16 frontend skeleton — wallet auth, role detection, routing, profile API, verify page, 58 tests</w:t>
            </w:r>
          </w:p>
        </w:tc>
        <w:tc>
          <w:tcPr>
            <w:tcW w:type="dxa" w:w="1507"/>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Week 3–4</w:t>
            </w:r>
          </w:p>
        </w:tc>
        <w:tc>
          <w:tcPr>
            <w:tcW w:type="dxa" w:w="866"/>
            <w:tcBorders>
              <w:top w:val="single" w:color="C5CDE8" w:sz="1"/>
              <w:left w:val="single" w:color="C5CDE8" w:sz="1"/>
              <w:bottom w:val="single" w:color="C5CDE8" w:sz="1"/>
              <w:right w:val="single" w:color="C5CDE8" w:sz="1"/>
            </w:tcBorders>
            <w:shd w:fill="DCFCE7"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DONE</w:t>
            </w:r>
          </w:p>
        </w:tc>
      </w:tr>
      <w:tr>
        <w:tc>
          <w:tcPr>
            <w:tcW w:type="dxa" w:w="968"/>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R3</w:t>
            </w:r>
          </w:p>
        </w:tc>
        <w:tc>
          <w:tcPr>
            <w:tcW w:type="dxa" w:w="1722"/>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Phase 3A–3D</w:t>
            </w:r>
          </w:p>
        </w:tc>
        <w:tc>
          <w:tcPr>
            <w:tcW w:type="dxa" w:w="5017"/>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Credential type registration + batch issuance (organizer) + credential gallery + skill progression dashboard (student) — 115 tests</w:t>
            </w:r>
          </w:p>
        </w:tc>
        <w:tc>
          <w:tcPr>
            <w:tcW w:type="dxa" w:w="1507"/>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Week 5–7</w:t>
            </w:r>
          </w:p>
        </w:tc>
        <w:tc>
          <w:tcPr>
            <w:tcW w:type="dxa" w:w="866"/>
            <w:tcBorders>
              <w:top w:val="single" w:color="C5CDE8" w:sz="1"/>
              <w:left w:val="single" w:color="C5CDE8" w:sz="1"/>
              <w:bottom w:val="single" w:color="C5CDE8" w:sz="1"/>
              <w:right w:val="single" w:color="C5CDE8" w:sz="1"/>
            </w:tcBorders>
            <w:shd w:fill="DCFCE7"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DONE</w:t>
            </w:r>
          </w:p>
        </w:tc>
      </w:tr>
      <w:tr>
        <w:tc>
          <w:tcPr>
            <w:tcW w:type="dxa" w:w="968"/>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R4</w:t>
            </w:r>
          </w:p>
        </w:tc>
        <w:tc>
          <w:tcPr>
            <w:tcW w:type="dxa" w:w="1722"/>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Phase 3E–3G+H</w:t>
            </w:r>
          </w:p>
        </w:tc>
        <w:tc>
          <w:tcPr>
            <w:tcW w:type="dxa" w:w="5017"/>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Recruiter QR share + portfolio PDF + admin portal + events marketplace — 177 tests</w:t>
            </w:r>
          </w:p>
        </w:tc>
        <w:tc>
          <w:tcPr>
            <w:tcW w:type="dxa" w:w="1507"/>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Week 8–10</w:t>
            </w:r>
          </w:p>
        </w:tc>
        <w:tc>
          <w:tcPr>
            <w:tcW w:type="dxa" w:w="866"/>
            <w:tcBorders>
              <w:top w:val="single" w:color="C5CDE8" w:sz="1"/>
              <w:left w:val="single" w:color="C5CDE8" w:sz="1"/>
              <w:bottom w:val="single" w:color="C5CDE8" w:sz="1"/>
              <w:right w:val="single" w:color="C5CDE8" w:sz="1"/>
            </w:tcBorders>
            <w:shd w:fill="DCFCE7"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DONE</w:t>
            </w:r>
          </w:p>
        </w:tc>
      </w:tr>
      <w:tr>
        <w:tc>
          <w:tcPr>
            <w:tcW w:type="dxa" w:w="968"/>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R5</w:t>
            </w:r>
          </w:p>
        </w:tc>
        <w:tc>
          <w:tcPr>
            <w:tcW w:type="dxa" w:w="1722"/>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Phase 4A–4E</w:t>
            </w:r>
          </w:p>
        </w:tc>
        <w:tc>
          <w:tcPr>
            <w:tcW w:type="dxa" w:w="5017"/>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Neon + Drizzle DB migration + credential/event images + event detail page + organizer/admin profiles + UX polish — 225 tests</w:t>
            </w:r>
          </w:p>
        </w:tc>
        <w:tc>
          <w:tcPr>
            <w:tcW w:type="dxa" w:w="1507"/>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Week 11–12</w:t>
            </w:r>
          </w:p>
        </w:tc>
        <w:tc>
          <w:tcPr>
            <w:tcW w:type="dxa" w:w="866"/>
            <w:tcBorders>
              <w:top w:val="single" w:color="C5CDE8" w:sz="1"/>
              <w:left w:val="single" w:color="C5CDE8" w:sz="1"/>
              <w:bottom w:val="single" w:color="C5CDE8" w:sz="1"/>
              <w:right w:val="single" w:color="C5CDE8" w:sz="1"/>
            </w:tcBorders>
            <w:shd w:fill="DCFCE7"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DONE</w:t>
            </w:r>
          </w:p>
        </w:tc>
      </w:tr>
      <w:tr>
        <w:tc>
          <w:tcPr>
            <w:tcW w:type="dxa" w:w="968"/>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R6</w:t>
            </w:r>
          </w:p>
        </w:tc>
        <w:tc>
          <w:tcPr>
            <w:tcW w:type="dxa" w:w="1722"/>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Phase 5</w:t>
            </w:r>
          </w:p>
        </w:tc>
        <w:tc>
          <w:tcPr>
            <w:tcW w:type="dxa" w:w="5017"/>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OP Mainnet production deployment + end-to-end hardening + final evaluator demo preparation</w:t>
            </w:r>
          </w:p>
        </w:tc>
        <w:tc>
          <w:tcPr>
            <w:tcW w:type="dxa" w:w="1507"/>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Week 13–14</w:t>
            </w:r>
          </w:p>
        </w:tc>
        <w:tc>
          <w:tcPr>
            <w:tcW w:type="dxa" w:w="866"/>
            <w:tcBorders>
              <w:top w:val="single" w:color="C5CDE8" w:sz="1"/>
              <w:left w:val="single" w:color="C5CDE8" w:sz="1"/>
              <w:bottom w:val="single" w:color="C5CDE8" w:sz="1"/>
              <w:right w:val="single" w:color="C5CDE8" w:sz="1"/>
            </w:tcBorders>
            <w:shd w:fill="DBEAFE"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PENDING</w:t>
            </w:r>
          </w:p>
        </w:tc>
      </w:tr>
    </w:tbl>
    <w:p>
      <w:pPr>
        <w:spacing w:after="60" w:before="60"/>
      </w:pPr>
    </w:p>
    <w:p>
      <w:pPr>
        <w:pStyle w:val="Heading2"/>
        <w:pBdr>
          <w:bottom w:val="single" w:color="E94560" w:sz="4" w:space="4"/>
        </w:pBdr>
        <w:spacing w:after="120" w:before="280"/>
      </w:pPr>
      <w:r>
        <w:rPr>
          <w:rFonts w:ascii="Calibri" w:cs="Calibri" w:eastAsia="Calibri" w:hAnsi="Calibri"/>
          <w:b/>
          <w:bCs/>
          <w:i w:val="false"/>
          <w:iCs w:val="false"/>
          <w:color w:val="0F3460"/>
          <w:sz w:val="26"/>
          <w:szCs w:val="26"/>
        </w:rPr>
        <w:t xml:space="preserve">3. XP Values Applied in Release 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7862"/>
      </w:tblGrid>
      <w:tr>
        <w:tc>
          <w:tcPr>
            <w:tcW w:type="dxa" w:w="2218"/>
            <w:tcBorders>
              <w:top w:val="single" w:color="C5CDE8" w:sz="1"/>
              <w:left w:val="single" w:color="C5CDE8" w:sz="1"/>
              <w:bottom w:val="single" w:color="C5CDE8" w:sz="1"/>
              <w:right w:val="single" w:color="C5CDE8" w:sz="1"/>
            </w:tcBorders>
            <w:shd w:fill="1A1A2E"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XP Value</w:t>
            </w:r>
          </w:p>
        </w:tc>
        <w:tc>
          <w:tcPr>
            <w:tcW w:type="dxa" w:w="7862"/>
            <w:tcBorders>
              <w:top w:val="single" w:color="C5CDE8" w:sz="1"/>
              <w:left w:val="single" w:color="C5CDE8" w:sz="1"/>
              <w:bottom w:val="single" w:color="C5CDE8" w:sz="1"/>
              <w:right w:val="single" w:color="C5CDE8" w:sz="1"/>
            </w:tcBorders>
            <w:shd w:fill="1A1A2E"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How it manifests in Release 5</w:t>
            </w:r>
          </w:p>
        </w:tc>
      </w:tr>
      <w:tr>
        <w:tc>
          <w:tcPr>
            <w:tcW w:type="dxa" w:w="2218"/>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2E"/>
                <w:sz w:val="18"/>
                <w:szCs w:val="18"/>
              </w:rPr>
              <w:t xml:space="preserve">Communication</w:t>
            </w:r>
          </w:p>
        </w:tc>
        <w:tc>
          <w:tcPr>
            <w:tcW w:type="dxa" w:w="7862"/>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The database migration was specced at the schema and query level before any route code was written — column names, PK strategy (address text PK), upsert semantics (onConflictDoUpdate), and the HTTP driver choice all agreed on paper first. Image upload API contract (allowed MIME types, size limit, returned URI format) documented before form integration began.</w:t>
            </w:r>
          </w:p>
        </w:tc>
      </w:tr>
      <w:tr>
        <w:tc>
          <w:tcPr>
            <w:tcW w:type="dxa" w:w="2218"/>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2E"/>
                <w:sz w:val="18"/>
                <w:szCs w:val="18"/>
              </w:rPr>
              <w:t xml:space="preserve">Simplicity</w:t>
            </w:r>
          </w:p>
        </w:tc>
        <w:tc>
          <w:tcPr>
            <w:tcW w:type="dxa" w:w="7862"/>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Drizzle chosen over Prisma because it requires no separate runtime daemon and no migration-file directory — schema.ts is the complete ground truth and drizzle-kit push deploys it in one command. The image upload route reuses the existing Pinata SDK config without a new abstraction layer. Organizer and admin profile pages reuse useStudentProfile and ProfileEditForm with no new hook needed.</w:t>
            </w:r>
          </w:p>
        </w:tc>
      </w:tr>
      <w:tr>
        <w:tc>
          <w:tcPr>
            <w:tcW w:type="dxa" w:w="2218"/>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2E"/>
                <w:sz w:val="18"/>
                <w:szCs w:val="18"/>
              </w:rPr>
              <w:t xml:space="preserve">Feedback</w:t>
            </w:r>
          </w:p>
        </w:tc>
        <w:tc>
          <w:tcPr>
            <w:tcW w:type="dxa" w:w="7862"/>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48 new tests (2 new files, 1 rewrite, 4 additions) give immediate feedback on the Drizzle-backed API routes and EventCard rendering. The Vaul Drawer jsdom mock pattern, the Drizzle queryChunks inspection approach, and the viem isAddress() EIP-55 constraint were all discovered through test failures and documented in CLAUDE.md.</w:t>
            </w:r>
          </w:p>
        </w:tc>
      </w:tr>
      <w:tr>
        <w:tc>
          <w:tcPr>
            <w:tcW w:type="dxa" w:w="2218"/>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2E"/>
                <w:sz w:val="18"/>
                <w:szCs w:val="18"/>
              </w:rPr>
              <w:t xml:space="preserve">Courage</w:t>
            </w:r>
          </w:p>
        </w:tc>
        <w:tc>
          <w:tcPr>
            <w:tcW w:type="dxa" w:w="7862"/>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Chose a real Postgres database (Neon) over continuing with JSON files despite the additional environment variable setup. Ruled out Supabase after finding its free-tier inactivity pause would break FYP demo sessions where assessors may visit days after the last activity.</w:t>
            </w:r>
          </w:p>
        </w:tc>
      </w:tr>
      <w:tr>
        <w:tc>
          <w:tcPr>
            <w:tcW w:type="dxa" w:w="2218"/>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2E"/>
                <w:sz w:val="18"/>
                <w:szCs w:val="18"/>
              </w:rPr>
              <w:t xml:space="preserve">Respect</w:t>
            </w:r>
          </w:p>
        </w:tc>
        <w:tc>
          <w:tcPr>
            <w:tcW w:type="dxa" w:w="7862"/>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All new and modified source files carry the full programmer header convention with accurate first-written and last-modified dates. CLAUDE.md updated with R5 completed status, the new Vaul Drawer mock pattern, Drizzle mock approach, and viem EIP-55 note for future session continuity.</w:t>
            </w:r>
          </w:p>
        </w:tc>
      </w:tr>
    </w:tbl>
    <w:p>
      <w:pPr>
        <w:spacing w:after="60" w:before="60"/>
      </w:pPr>
    </w:p>
    <w:p>
      <w:r>
        <w:br w:type="page"/>
      </w:r>
    </w:p>
    <w:p>
      <w:pPr>
        <w:pStyle w:val="Heading1"/>
        <w:spacing w:after="160" w:before="360"/>
      </w:pPr>
      <w:r>
        <w:rPr>
          <w:rFonts w:ascii="Calibri" w:cs="Calibri" w:eastAsia="Calibri" w:hAnsi="Calibri"/>
          <w:b/>
          <w:bCs/>
          <w:i w:val="false"/>
          <w:iCs w:val="false"/>
          <w:color w:val="1A1A2E"/>
          <w:sz w:val="36"/>
          <w:szCs w:val="36"/>
        </w:rPr>
        <w:t xml:space="preserve">BECP — Iteration Plan: Release 5</w:t>
      </w:r>
    </w:p>
    <w:p>
      <w:r>
        <w:rPr>
          <w:rFonts w:ascii="Calibri" w:cs="Calibri" w:eastAsia="Calibri" w:hAnsi="Calibri"/>
          <w:b w:val="false"/>
          <w:bCs w:val="false"/>
          <w:i/>
          <w:iCs/>
          <w:color w:val="6B7280"/>
          <w:sz w:val="18"/>
          <w:szCs w:val="18"/>
        </w:rPr>
        <w:t xml:space="preserve">Phase 4A (Database Migration) + Phase 4B (Credential &amp; Event Images) + Phase 4C (Event Detail Page) + Phase 4D (UX Polish &amp; Profile Pages) + Phase 4E (Test Suite)  ·  Week 11–12</w:t>
      </w:r>
    </w:p>
    <w:p>
      <w:pPr>
        <w:spacing w:after="60" w:before="60"/>
      </w:pPr>
    </w:p>
    <w:p>
      <w:pPr>
        <w:pStyle w:val="Heading2"/>
        <w:pBdr>
          <w:bottom w:val="single" w:color="E94560" w:sz="4" w:space="4"/>
        </w:pBdr>
        <w:spacing w:after="120" w:before="280"/>
      </w:pPr>
      <w:r>
        <w:rPr>
          <w:rFonts w:ascii="Calibri" w:cs="Calibri" w:eastAsia="Calibri" w:hAnsi="Calibri"/>
          <w:b/>
          <w:bCs/>
          <w:i w:val="false"/>
          <w:iCs w:val="false"/>
          <w:color w:val="0F3460"/>
          <w:sz w:val="26"/>
          <w:szCs w:val="26"/>
        </w:rPr>
        <w:t xml:space="preserve">1. Iteration Goals</w:t>
      </w:r>
    </w:p>
    <w:p>
      <w:pPr>
        <w:pStyle w:val="ListParagraph"/>
        <w:numPr>
          <w:ilvl w:val="0"/>
          <w:numId w:val="2"/>
        </w:numPr>
        <w:spacing w:after="40" w:before="40"/>
      </w:pPr>
      <w:r>
        <w:rPr>
          <w:rFonts w:ascii="Calibri" w:cs="Calibri" w:eastAsia="Calibri" w:hAnsi="Calibri"/>
          <w:b w:val="false"/>
          <w:bCs w:val="false"/>
          <w:i w:val="false"/>
          <w:iCs w:val="false"/>
          <w:color w:val="1F2937"/>
          <w:sz w:val="20"/>
          <w:szCs w:val="20"/>
        </w:rPr>
        <w:t xml:space="preserve">Replace both JSON file stores with Neon Serverless Postgres via Drizzle ORM — no change to API consumer interfaces</w:t>
      </w:r>
    </w:p>
    <w:p>
      <w:pPr>
        <w:pStyle w:val="ListParagraph"/>
        <w:numPr>
          <w:ilvl w:val="0"/>
          <w:numId w:val="2"/>
        </w:numPr>
        <w:spacing w:after="40" w:before="40"/>
      </w:pPr>
      <w:r>
        <w:rPr>
          <w:rFonts w:ascii="Calibri" w:cs="Calibri" w:eastAsia="Calibri" w:hAnsi="Calibri"/>
          <w:b w:val="false"/>
          <w:bCs w:val="false"/>
          <w:i w:val="false"/>
          <w:iCs w:val="false"/>
          <w:color w:val="1F2937"/>
          <w:sz w:val="20"/>
          <w:szCs w:val="20"/>
        </w:rPr>
        <w:t xml:space="preserve">Add optional certificate badge and event banner image fields to CredentialTypeMetadata, with upload to IPFS via a new server-side /api/upload-image route</w:t>
      </w:r>
    </w:p>
    <w:p>
      <w:pPr>
        <w:pStyle w:val="ListParagraph"/>
        <w:numPr>
          <w:ilvl w:val="0"/>
          <w:numId w:val="2"/>
        </w:numPr>
        <w:spacing w:after="40" w:before="40"/>
      </w:pPr>
      <w:r>
        <w:rPr>
          <w:rFonts w:ascii="Calibri" w:cs="Calibri" w:eastAsia="Calibri" w:hAnsi="Calibri"/>
          <w:b w:val="false"/>
          <w:bCs w:val="false"/>
          <w:i w:val="false"/>
          <w:iCs w:val="false"/>
          <w:color w:val="1F2937"/>
          <w:sz w:val="20"/>
          <w:szCs w:val="20"/>
        </w:rPr>
        <w:t xml:space="preserve">Deliver the event detail page at /events/[tokenId] showing full credential type information, skills, and an earned/attend CTA</w:t>
      </w:r>
    </w:p>
    <w:p>
      <w:pPr>
        <w:pStyle w:val="ListParagraph"/>
        <w:numPr>
          <w:ilvl w:val="0"/>
          <w:numId w:val="2"/>
        </w:numPr>
        <w:spacing w:after="40" w:before="40"/>
      </w:pPr>
      <w:r>
        <w:rPr>
          <w:rFonts w:ascii="Calibri" w:cs="Calibri" w:eastAsia="Calibri" w:hAnsi="Calibri"/>
          <w:b w:val="false"/>
          <w:bCs w:val="false"/>
          <w:i w:val="false"/>
          <w:iCs w:val="false"/>
          <w:color w:val="1F2937"/>
          <w:sz w:val="20"/>
          <w:szCs w:val="20"/>
        </w:rPr>
        <w:t xml:space="preserve">Add profile pages for organizer and admin roles reusing the existing useStudentProfile hook and ProfileEditForm component</w:t>
      </w:r>
    </w:p>
    <w:p>
      <w:pPr>
        <w:pStyle w:val="ListParagraph"/>
        <w:numPr>
          <w:ilvl w:val="0"/>
          <w:numId w:val="2"/>
        </w:numPr>
        <w:spacing w:after="40" w:before="40"/>
      </w:pPr>
      <w:r>
        <w:rPr>
          <w:rFonts w:ascii="Calibri" w:cs="Calibri" w:eastAsia="Calibri" w:hAnsi="Calibri"/>
          <w:b w:val="false"/>
          <w:bCs w:val="false"/>
          <w:i w:val="false"/>
          <w:iCs w:val="false"/>
          <w:color w:val="1F2937"/>
          <w:sz w:val="20"/>
          <w:szCs w:val="20"/>
        </w:rPr>
        <w:t xml:space="preserve">Apply UX polish: stable dashboard greeting, correct ERC-1155 block explorer URLs, ACTIVE_CHAIN constant, credential-type-card Drawer, bio section in portfolio PDF</w:t>
      </w:r>
    </w:p>
    <w:p>
      <w:pPr>
        <w:pStyle w:val="ListParagraph"/>
        <w:numPr>
          <w:ilvl w:val="0"/>
          <w:numId w:val="2"/>
        </w:numPr>
        <w:spacing w:after="40" w:before="40"/>
      </w:pPr>
      <w:r>
        <w:rPr>
          <w:rFonts w:ascii="Calibri" w:cs="Calibri" w:eastAsia="Calibri" w:hAnsi="Calibri"/>
          <w:b w:val="false"/>
          <w:bCs w:val="false"/>
          <w:i w:val="false"/>
          <w:iCs w:val="false"/>
          <w:color w:val="1F2937"/>
          <w:sz w:val="20"/>
          <w:szCs w:val="20"/>
        </w:rPr>
        <w:t xml:space="preserve">48 new tests — 2 new test files, 1 full rewrite, 4 additions — growing the suite to 225 across 15 files</w:t>
      </w:r>
    </w:p>
    <w:p>
      <w:pPr>
        <w:spacing w:after="60" w:before="60"/>
      </w:pPr>
    </w:p>
    <w:p>
      <w:pPr>
        <w:pStyle w:val="Heading2"/>
        <w:pBdr>
          <w:bottom w:val="single" w:color="E94560" w:sz="4" w:space="4"/>
        </w:pBdr>
        <w:spacing w:after="120" w:before="280"/>
      </w:pPr>
      <w:r>
        <w:rPr>
          <w:rFonts w:ascii="Calibri" w:cs="Calibri" w:eastAsia="Calibri" w:hAnsi="Calibri"/>
          <w:b/>
          <w:bCs/>
          <w:i w:val="false"/>
          <w:iCs w:val="false"/>
          <w:color w:val="0F3460"/>
          <w:sz w:val="26"/>
          <w:szCs w:val="26"/>
        </w:rPr>
        <w:t xml:space="preserve">2. Phase 4A — Centralized Database (Neon + Drizzle ORM)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242"/>
        <w:gridCol w:w="1008"/>
        <w:gridCol w:w="1008"/>
        <w:gridCol w:w="1310"/>
        <w:gridCol w:w="1512"/>
      </w:tblGrid>
      <w:tr>
        <w:tc>
          <w:tcPr>
            <w:tcW w:type="dxa" w:w="5242"/>
            <w:tcBorders>
              <w:top w:val="single" w:color="C5CDE8" w:sz="1"/>
              <w:left w:val="single" w:color="C5CDE8" w:sz="1"/>
              <w:bottom w:val="single" w:color="C5CDE8" w:sz="1"/>
              <w:right w:val="single" w:color="C5CDE8" w:sz="1"/>
            </w:tcBorders>
            <w:shd w:fill="1A1A2E"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Task</w:t>
            </w:r>
          </w:p>
        </w:tc>
        <w:tc>
          <w:tcPr>
            <w:tcW w:type="dxa" w:w="1008"/>
            <w:tcBorders>
              <w:top w:val="single" w:color="C5CDE8" w:sz="1"/>
              <w:left w:val="single" w:color="C5CDE8" w:sz="1"/>
              <w:bottom w:val="single" w:color="C5CDE8" w:sz="1"/>
              <w:right w:val="single" w:color="C5CDE8" w:sz="1"/>
            </w:tcBorders>
            <w:shd w:fill="1A1A2E"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Owner</w:t>
            </w:r>
          </w:p>
        </w:tc>
        <w:tc>
          <w:tcPr>
            <w:tcW w:type="dxa" w:w="1008"/>
            <w:tcBorders>
              <w:top w:val="single" w:color="C5CDE8" w:sz="1"/>
              <w:left w:val="single" w:color="C5CDE8" w:sz="1"/>
              <w:bottom w:val="single" w:color="C5CDE8" w:sz="1"/>
              <w:right w:val="single" w:color="C5CDE8" w:sz="1"/>
            </w:tcBorders>
            <w:shd w:fill="1A1A2E"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Est (hrs)</w:t>
            </w:r>
          </w:p>
        </w:tc>
        <w:tc>
          <w:tcPr>
            <w:tcW w:type="dxa" w:w="1310"/>
            <w:tcBorders>
              <w:top w:val="single" w:color="C5CDE8" w:sz="1"/>
              <w:left w:val="single" w:color="C5CDE8" w:sz="1"/>
              <w:bottom w:val="single" w:color="C5CDE8" w:sz="1"/>
              <w:right w:val="single" w:color="C5CDE8" w:sz="1"/>
            </w:tcBorders>
            <w:shd w:fill="1A1A2E"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Actual (hrs)</w:t>
            </w:r>
          </w:p>
        </w:tc>
        <w:tc>
          <w:tcPr>
            <w:tcW w:type="dxa" w:w="1512"/>
            <w:tcBorders>
              <w:top w:val="single" w:color="C5CDE8" w:sz="1"/>
              <w:left w:val="single" w:color="C5CDE8" w:sz="1"/>
              <w:bottom w:val="single" w:color="C5CDE8" w:sz="1"/>
              <w:right w:val="single" w:color="C5CDE8" w:sz="1"/>
            </w:tcBorders>
            <w:shd w:fill="1A1A2E"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Status</w:t>
            </w:r>
          </w:p>
        </w:tc>
      </w:tr>
      <w:tr>
        <w:tc>
          <w:tcPr>
            <w:tcW w:type="dxa" w:w="5242"/>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Add @neondatabase/serverless and drizzle-orm dependencies; add drizzle-kit as a dev dependency; create drizzle.config.ts pointing at DATABASE_URL. Selection rationale: Neon chosen over Supabase because its free tier has no inactivity pause — a critical requirement for FYP demo sessions where assessors may visit days after the last activity</w:t>
            </w:r>
          </w:p>
        </w:tc>
        <w:tc>
          <w:tcPr>
            <w:tcW w:type="dxa" w:w="1008"/>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Qayyum</w:t>
            </w:r>
          </w:p>
        </w:tc>
        <w:tc>
          <w:tcPr>
            <w:tcW w:type="dxa" w:w="1008"/>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0.5</w:t>
            </w:r>
          </w:p>
        </w:tc>
        <w:tc>
          <w:tcPr>
            <w:tcW w:type="dxa" w:w="1310"/>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0.5</w:t>
            </w:r>
          </w:p>
        </w:tc>
        <w:tc>
          <w:tcPr>
            <w:tcW w:type="dxa" w:w="1512"/>
            <w:tcBorders>
              <w:top w:val="single" w:color="C5CDE8" w:sz="1"/>
              <w:left w:val="single" w:color="C5CDE8" w:sz="1"/>
              <w:bottom w:val="single" w:color="C5CDE8" w:sz="1"/>
              <w:right w:val="single" w:color="C5CDE8" w:sz="1"/>
            </w:tcBorders>
            <w:shd w:fill="DCFCE7"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DONE</w:t>
            </w:r>
          </w:p>
        </w:tc>
      </w:tr>
      <w:tr>
        <w:tc>
          <w:tcPr>
            <w:tcW w:type="dxa" w:w="5242"/>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Write frontend/lib/db/schema.ts — two pgTable definitions: profiles (address text PK, displayName, bio, careerGoal, avatarUri, createdAt, updatedAt) and organizer_requests (address text PK, displayName, organization, reason, status, requestedAt, updatedAt)</w:t>
            </w:r>
          </w:p>
        </w:tc>
        <w:tc>
          <w:tcPr>
            <w:tcW w:type="dxa" w:w="1008"/>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Qayyum</w:t>
            </w:r>
          </w:p>
        </w:tc>
        <w:tc>
          <w:tcPr>
            <w:tcW w:type="dxa" w:w="1008"/>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0.5</w:t>
            </w:r>
          </w:p>
        </w:tc>
        <w:tc>
          <w:tcPr>
            <w:tcW w:type="dxa" w:w="1310"/>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0.5</w:t>
            </w:r>
          </w:p>
        </w:tc>
        <w:tc>
          <w:tcPr>
            <w:tcW w:type="dxa" w:w="1512"/>
            <w:tcBorders>
              <w:top w:val="single" w:color="C5CDE8" w:sz="1"/>
              <w:left w:val="single" w:color="C5CDE8" w:sz="1"/>
              <w:bottom w:val="single" w:color="C5CDE8" w:sz="1"/>
              <w:right w:val="single" w:color="C5CDE8" w:sz="1"/>
            </w:tcBorders>
            <w:shd w:fill="DCFCE7"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DONE</w:t>
            </w:r>
          </w:p>
        </w:tc>
      </w:tr>
      <w:tr>
        <w:tc>
          <w:tcPr>
            <w:tcW w:type="dxa" w:w="5242"/>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Write frontend/lib/db/index.ts — instantiate Neon HTTP driver via neon(DATABASE_URL) and export a Drizzle client via drizzle(sql, { schema }); HTTP driver chosen over TCP to avoid connection pooling issues in Next.js serverless API routes</w:t>
            </w:r>
          </w:p>
        </w:tc>
        <w:tc>
          <w:tcPr>
            <w:tcW w:type="dxa" w:w="1008"/>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Qayyum</w:t>
            </w:r>
          </w:p>
        </w:tc>
        <w:tc>
          <w:tcPr>
            <w:tcW w:type="dxa" w:w="1008"/>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0.5</w:t>
            </w:r>
          </w:p>
        </w:tc>
        <w:tc>
          <w:tcPr>
            <w:tcW w:type="dxa" w:w="1310"/>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0.5</w:t>
            </w:r>
          </w:p>
        </w:tc>
        <w:tc>
          <w:tcPr>
            <w:tcW w:type="dxa" w:w="1512"/>
            <w:tcBorders>
              <w:top w:val="single" w:color="C5CDE8" w:sz="1"/>
              <w:left w:val="single" w:color="C5CDE8" w:sz="1"/>
              <w:bottom w:val="single" w:color="C5CDE8" w:sz="1"/>
              <w:right w:val="single" w:color="C5CDE8" w:sz="1"/>
            </w:tcBorders>
            <w:shd w:fill="DCFCE7"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DONE</w:t>
            </w:r>
          </w:p>
        </w:tc>
      </w:tr>
      <w:tr>
        <w:tc>
          <w:tcPr>
            <w:tcW w:type="dxa" w:w="5242"/>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Rewrite /api/profile/[address] GET and PUT with Drizzle query chains: GET uses db.select().from(profiles).where(eq(profiles.address, addr)); PUT uses db.insert().values(...).onConflictDoUpdate({ target: profiles.address, set: {...} }).returning() — single query handles both first creation and subsequent updates</w:t>
            </w:r>
          </w:p>
        </w:tc>
        <w:tc>
          <w:tcPr>
            <w:tcW w:type="dxa" w:w="1008"/>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Qayyum</w:t>
            </w:r>
          </w:p>
        </w:tc>
        <w:tc>
          <w:tcPr>
            <w:tcW w:type="dxa" w:w="1008"/>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1</w:t>
            </w:r>
          </w:p>
        </w:tc>
        <w:tc>
          <w:tcPr>
            <w:tcW w:type="dxa" w:w="1310"/>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1</w:t>
            </w:r>
          </w:p>
        </w:tc>
        <w:tc>
          <w:tcPr>
            <w:tcW w:type="dxa" w:w="1512"/>
            <w:tcBorders>
              <w:top w:val="single" w:color="C5CDE8" w:sz="1"/>
              <w:left w:val="single" w:color="C5CDE8" w:sz="1"/>
              <w:bottom w:val="single" w:color="C5CDE8" w:sz="1"/>
              <w:right w:val="single" w:color="C5CDE8" w:sz="1"/>
            </w:tcBorders>
            <w:shd w:fill="DCFCE7"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DONE</w:t>
            </w:r>
          </w:p>
        </w:tc>
      </w:tr>
      <w:tr>
        <w:tc>
          <w:tcPr>
            <w:tcW w:type="dxa" w:w="5242"/>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Rewrite /api/organizer-request GET, POST, and PATCH /[address] with Drizzle; GET uses orderBy(asc(organizerRequests.requestedAt)); POST checks for existing non-revoked entry and returns 409 Conflict on duplicate; PATCH uses db.update().set().where(eq(...)).returning()</w:t>
            </w:r>
          </w:p>
        </w:tc>
        <w:tc>
          <w:tcPr>
            <w:tcW w:type="dxa" w:w="1008"/>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Qayyum</w:t>
            </w:r>
          </w:p>
        </w:tc>
        <w:tc>
          <w:tcPr>
            <w:tcW w:type="dxa" w:w="1008"/>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1</w:t>
            </w:r>
          </w:p>
        </w:tc>
        <w:tc>
          <w:tcPr>
            <w:tcW w:type="dxa" w:w="1310"/>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1.5</w:t>
            </w:r>
          </w:p>
        </w:tc>
        <w:tc>
          <w:tcPr>
            <w:tcW w:type="dxa" w:w="1512"/>
            <w:tcBorders>
              <w:top w:val="single" w:color="C5CDE8" w:sz="1"/>
              <w:left w:val="single" w:color="C5CDE8" w:sz="1"/>
              <w:bottom w:val="single" w:color="C5CDE8" w:sz="1"/>
              <w:right w:val="single" w:color="C5CDE8" w:sz="1"/>
            </w:tcBorders>
            <w:shd w:fill="DCFCE7"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DONE</w:t>
            </w:r>
          </w:p>
        </w:tc>
      </w:tr>
      <w:tr>
        <w:tc>
          <w:tcPr>
            <w:tcW w:type="dxa" w:w="5242"/>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Deploy schema to Neon via drizzle-kit push; verify both tables created with correct column types, primary key constraints, and timezone-aware timestamps</w:t>
            </w:r>
          </w:p>
        </w:tc>
        <w:tc>
          <w:tcPr>
            <w:tcW w:type="dxa" w:w="1008"/>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Qayyum</w:t>
            </w:r>
          </w:p>
        </w:tc>
        <w:tc>
          <w:tcPr>
            <w:tcW w:type="dxa" w:w="1008"/>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0.5</w:t>
            </w:r>
          </w:p>
        </w:tc>
        <w:tc>
          <w:tcPr>
            <w:tcW w:type="dxa" w:w="1310"/>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0.5</w:t>
            </w:r>
          </w:p>
        </w:tc>
        <w:tc>
          <w:tcPr>
            <w:tcW w:type="dxa" w:w="1512"/>
            <w:tcBorders>
              <w:top w:val="single" w:color="C5CDE8" w:sz="1"/>
              <w:left w:val="single" w:color="C5CDE8" w:sz="1"/>
              <w:bottom w:val="single" w:color="C5CDE8" w:sz="1"/>
              <w:right w:val="single" w:color="C5CDE8" w:sz="1"/>
            </w:tcBorders>
            <w:shd w:fill="DCFCE7"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DONE</w:t>
            </w:r>
          </w:p>
        </w:tc>
      </w:tr>
    </w:tbl>
    <w:p>
      <w:pPr>
        <w:spacing w:after="60" w:before="60"/>
      </w:pPr>
    </w:p>
    <w:p>
      <w:pPr>
        <w:spacing w:after="80" w:before="80"/>
      </w:pPr>
      <w:r>
        <w:rPr>
          <w:rFonts w:ascii="Calibri" w:cs="Calibri" w:eastAsia="Calibri" w:hAnsi="Calibri"/>
          <w:b/>
          <w:bCs/>
          <w:i w:val="false"/>
          <w:iCs w:val="false"/>
          <w:color w:val="1A1A2E"/>
          <w:sz w:val="20"/>
          <w:szCs w:val="20"/>
        </w:rPr>
        <w:t xml:space="preserve">Phase 4A Total — Estimated: 4 hrs  ·  Actual: 4.5 hrs</w:t>
      </w:r>
    </w:p>
    <w:p>
      <w:pPr>
        <w:spacing w:after="60" w:before="60"/>
      </w:pPr>
    </w:p>
    <w:p>
      <w:pPr>
        <w:pStyle w:val="Heading2"/>
        <w:pBdr>
          <w:bottom w:val="single" w:color="E94560" w:sz="4" w:space="4"/>
        </w:pBdr>
        <w:spacing w:after="120" w:before="280"/>
      </w:pPr>
      <w:r>
        <w:rPr>
          <w:rFonts w:ascii="Calibri" w:cs="Calibri" w:eastAsia="Calibri" w:hAnsi="Calibri"/>
          <w:b/>
          <w:bCs/>
          <w:i w:val="false"/>
          <w:iCs w:val="false"/>
          <w:color w:val="0F3460"/>
          <w:sz w:val="26"/>
          <w:szCs w:val="26"/>
        </w:rPr>
        <w:t xml:space="preserve">3. Phase 4B — Credential and Event Images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242"/>
        <w:gridCol w:w="1008"/>
        <w:gridCol w:w="1008"/>
        <w:gridCol w:w="1310"/>
        <w:gridCol w:w="1512"/>
      </w:tblGrid>
      <w:tr>
        <w:tc>
          <w:tcPr>
            <w:tcW w:type="dxa" w:w="5242"/>
            <w:tcBorders>
              <w:top w:val="single" w:color="C5CDE8" w:sz="1"/>
              <w:left w:val="single" w:color="C5CDE8" w:sz="1"/>
              <w:bottom w:val="single" w:color="C5CDE8" w:sz="1"/>
              <w:right w:val="single" w:color="C5CDE8" w:sz="1"/>
            </w:tcBorders>
            <w:shd w:fill="1A1A2E"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Task</w:t>
            </w:r>
          </w:p>
        </w:tc>
        <w:tc>
          <w:tcPr>
            <w:tcW w:type="dxa" w:w="1008"/>
            <w:tcBorders>
              <w:top w:val="single" w:color="C5CDE8" w:sz="1"/>
              <w:left w:val="single" w:color="C5CDE8" w:sz="1"/>
              <w:bottom w:val="single" w:color="C5CDE8" w:sz="1"/>
              <w:right w:val="single" w:color="C5CDE8" w:sz="1"/>
            </w:tcBorders>
            <w:shd w:fill="1A1A2E"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Owner</w:t>
            </w:r>
          </w:p>
        </w:tc>
        <w:tc>
          <w:tcPr>
            <w:tcW w:type="dxa" w:w="1008"/>
            <w:tcBorders>
              <w:top w:val="single" w:color="C5CDE8" w:sz="1"/>
              <w:left w:val="single" w:color="C5CDE8" w:sz="1"/>
              <w:bottom w:val="single" w:color="C5CDE8" w:sz="1"/>
              <w:right w:val="single" w:color="C5CDE8" w:sz="1"/>
            </w:tcBorders>
            <w:shd w:fill="1A1A2E"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Est (hrs)</w:t>
            </w:r>
          </w:p>
        </w:tc>
        <w:tc>
          <w:tcPr>
            <w:tcW w:type="dxa" w:w="1310"/>
            <w:tcBorders>
              <w:top w:val="single" w:color="C5CDE8" w:sz="1"/>
              <w:left w:val="single" w:color="C5CDE8" w:sz="1"/>
              <w:bottom w:val="single" w:color="C5CDE8" w:sz="1"/>
              <w:right w:val="single" w:color="C5CDE8" w:sz="1"/>
            </w:tcBorders>
            <w:shd w:fill="1A1A2E"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Actual (hrs)</w:t>
            </w:r>
          </w:p>
        </w:tc>
        <w:tc>
          <w:tcPr>
            <w:tcW w:type="dxa" w:w="1512"/>
            <w:tcBorders>
              <w:top w:val="single" w:color="C5CDE8" w:sz="1"/>
              <w:left w:val="single" w:color="C5CDE8" w:sz="1"/>
              <w:bottom w:val="single" w:color="C5CDE8" w:sz="1"/>
              <w:right w:val="single" w:color="C5CDE8" w:sz="1"/>
            </w:tcBorders>
            <w:shd w:fill="1A1A2E"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Status</w:t>
            </w:r>
          </w:p>
        </w:tc>
      </w:tr>
      <w:tr>
        <w:tc>
          <w:tcPr>
            <w:tcW w:type="dxa" w:w="5242"/>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Implement /api/upload-image POST route — accepts multipart/form-data with a single "file" field; validates MIME type (image/jpeg, image/png, image/webp only — rejects others with 400) and file size (≤ 2 MB — rejects oversized files with 400); pins accepted files to Pinata via the existing SDK client; returns { uri: "ipfs://..." }; Pinata JWT stays server-side</w:t>
            </w:r>
          </w:p>
        </w:tc>
        <w:tc>
          <w:tcPr>
            <w:tcW w:type="dxa" w:w="1008"/>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Qayyum</w:t>
            </w:r>
          </w:p>
        </w:tc>
        <w:tc>
          <w:tcPr>
            <w:tcW w:type="dxa" w:w="1008"/>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1</w:t>
            </w:r>
          </w:p>
        </w:tc>
        <w:tc>
          <w:tcPr>
            <w:tcW w:type="dxa" w:w="1310"/>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1</w:t>
            </w:r>
          </w:p>
        </w:tc>
        <w:tc>
          <w:tcPr>
            <w:tcW w:type="dxa" w:w="1512"/>
            <w:tcBorders>
              <w:top w:val="single" w:color="C5CDE8" w:sz="1"/>
              <w:left w:val="single" w:color="C5CDE8" w:sz="1"/>
              <w:bottom w:val="single" w:color="C5CDE8" w:sz="1"/>
              <w:right w:val="single" w:color="C5CDE8" w:sz="1"/>
            </w:tcBorders>
            <w:shd w:fill="DCFCE7"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DONE</w:t>
            </w:r>
          </w:p>
        </w:tc>
      </w:tr>
      <w:tr>
        <w:tc>
          <w:tcPr>
            <w:tcW w:type="dxa" w:w="5242"/>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Extend CredentialTypeMetadata interface in lib/credential/metadata.ts with two optional fields: becp_certificate_image (IPFS URI for badge/certificate artwork; also mirrors the ERC-1155 standard image field so wallets display the badge) and becp_event_image (IPFS URI for event banner shown on marketplace cards and the detail page)</w:t>
            </w:r>
          </w:p>
        </w:tc>
        <w:tc>
          <w:tcPr>
            <w:tcW w:type="dxa" w:w="1008"/>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Qayyum</w:t>
            </w:r>
          </w:p>
        </w:tc>
        <w:tc>
          <w:tcPr>
            <w:tcW w:type="dxa" w:w="1008"/>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0.5</w:t>
            </w:r>
          </w:p>
        </w:tc>
        <w:tc>
          <w:tcPr>
            <w:tcW w:type="dxa" w:w="1310"/>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0.5</w:t>
            </w:r>
          </w:p>
        </w:tc>
        <w:tc>
          <w:tcPr>
            <w:tcW w:type="dxa" w:w="1512"/>
            <w:tcBorders>
              <w:top w:val="single" w:color="C5CDE8" w:sz="1"/>
              <w:left w:val="single" w:color="C5CDE8" w:sz="1"/>
              <w:bottom w:val="single" w:color="C5CDE8" w:sz="1"/>
              <w:right w:val="single" w:color="C5CDE8" w:sz="1"/>
            </w:tcBorders>
            <w:shd w:fill="DCFCE7"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DONE</w:t>
            </w:r>
          </w:p>
        </w:tc>
      </w:tr>
      <w:tr>
        <w:tc>
          <w:tcPr>
            <w:tcW w:type="dxa" w:w="5242"/>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Update credential-type-form.tsx to include two image upload inputs (certificate image, event image); each input calls POST /api/upload-image on file selection and stores the returned IPFS URI in form state; shows a preview of the uploaded image</w:t>
            </w:r>
          </w:p>
        </w:tc>
        <w:tc>
          <w:tcPr>
            <w:tcW w:type="dxa" w:w="1008"/>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Qayyum</w:t>
            </w:r>
          </w:p>
        </w:tc>
        <w:tc>
          <w:tcPr>
            <w:tcW w:type="dxa" w:w="1008"/>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1.5</w:t>
            </w:r>
          </w:p>
        </w:tc>
        <w:tc>
          <w:tcPr>
            <w:tcW w:type="dxa" w:w="1310"/>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2</w:t>
            </w:r>
          </w:p>
        </w:tc>
        <w:tc>
          <w:tcPr>
            <w:tcW w:type="dxa" w:w="1512"/>
            <w:tcBorders>
              <w:top w:val="single" w:color="C5CDE8" w:sz="1"/>
              <w:left w:val="single" w:color="C5CDE8" w:sz="1"/>
              <w:bottom w:val="single" w:color="C5CDE8" w:sz="1"/>
              <w:right w:val="single" w:color="C5CDE8" w:sz="1"/>
            </w:tcBorders>
            <w:shd w:fill="DCFCE7"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DONE</w:t>
            </w:r>
          </w:p>
        </w:tc>
      </w:tr>
      <w:tr>
        <w:tc>
          <w:tcPr>
            <w:tcW w:type="dxa" w:w="5242"/>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Update buildCredentialTypeMetadata() to map certificateImageUri to both the standard image field and becp_certificate_image; map eventImageUri to becp_event_image</w:t>
            </w:r>
          </w:p>
        </w:tc>
        <w:tc>
          <w:tcPr>
            <w:tcW w:type="dxa" w:w="1008"/>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Qayyum</w:t>
            </w:r>
          </w:p>
        </w:tc>
        <w:tc>
          <w:tcPr>
            <w:tcW w:type="dxa" w:w="1008"/>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0.5</w:t>
            </w:r>
          </w:p>
        </w:tc>
        <w:tc>
          <w:tcPr>
            <w:tcW w:type="dxa" w:w="1310"/>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0.5</w:t>
            </w:r>
          </w:p>
        </w:tc>
        <w:tc>
          <w:tcPr>
            <w:tcW w:type="dxa" w:w="1512"/>
            <w:tcBorders>
              <w:top w:val="single" w:color="C5CDE8" w:sz="1"/>
              <w:left w:val="single" w:color="C5CDE8" w:sz="1"/>
              <w:bottom w:val="single" w:color="C5CDE8" w:sz="1"/>
              <w:right w:val="single" w:color="C5CDE8" w:sz="1"/>
            </w:tcBorders>
            <w:shd w:fill="DCFCE7"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DONE</w:t>
            </w:r>
          </w:p>
        </w:tc>
      </w:tr>
      <w:tr>
        <w:tc>
          <w:tcPr>
            <w:tcW w:type="dxa" w:w="5242"/>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Update credential-card.tsx to render becp_certificate_image as a card cover image when present (via ipfsToHttp() gateway), falling back to the Award icon</w:t>
            </w:r>
          </w:p>
        </w:tc>
        <w:tc>
          <w:tcPr>
            <w:tcW w:type="dxa" w:w="1008"/>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Qayyum</w:t>
            </w:r>
          </w:p>
        </w:tc>
        <w:tc>
          <w:tcPr>
            <w:tcW w:type="dxa" w:w="1008"/>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0.5</w:t>
            </w:r>
          </w:p>
        </w:tc>
        <w:tc>
          <w:tcPr>
            <w:tcW w:type="dxa" w:w="1310"/>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0.5</w:t>
            </w:r>
          </w:p>
        </w:tc>
        <w:tc>
          <w:tcPr>
            <w:tcW w:type="dxa" w:w="1512"/>
            <w:tcBorders>
              <w:top w:val="single" w:color="C5CDE8" w:sz="1"/>
              <w:left w:val="single" w:color="C5CDE8" w:sz="1"/>
              <w:bottom w:val="single" w:color="C5CDE8" w:sz="1"/>
              <w:right w:val="single" w:color="C5CDE8" w:sz="1"/>
            </w:tcBorders>
            <w:shd w:fill="DCFCE7"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DONE</w:t>
            </w:r>
          </w:p>
        </w:tc>
      </w:tr>
      <w:tr>
        <w:tc>
          <w:tcPr>
            <w:tcW w:type="dxa" w:w="5242"/>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Update event-card.tsx to render becp_event_image as an event banner when present (via ipfsToHttp()), falling back to a placeholder</w:t>
            </w:r>
          </w:p>
        </w:tc>
        <w:tc>
          <w:tcPr>
            <w:tcW w:type="dxa" w:w="1008"/>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Qayyum</w:t>
            </w:r>
          </w:p>
        </w:tc>
        <w:tc>
          <w:tcPr>
            <w:tcW w:type="dxa" w:w="1008"/>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0.5</w:t>
            </w:r>
          </w:p>
        </w:tc>
        <w:tc>
          <w:tcPr>
            <w:tcW w:type="dxa" w:w="1310"/>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0.5</w:t>
            </w:r>
          </w:p>
        </w:tc>
        <w:tc>
          <w:tcPr>
            <w:tcW w:type="dxa" w:w="1512"/>
            <w:tcBorders>
              <w:top w:val="single" w:color="C5CDE8" w:sz="1"/>
              <w:left w:val="single" w:color="C5CDE8" w:sz="1"/>
              <w:bottom w:val="single" w:color="C5CDE8" w:sz="1"/>
              <w:right w:val="single" w:color="C5CDE8" w:sz="1"/>
            </w:tcBorders>
            <w:shd w:fill="DCFCE7"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DONE</w:t>
            </w:r>
          </w:p>
        </w:tc>
      </w:tr>
    </w:tbl>
    <w:p>
      <w:pPr>
        <w:spacing w:after="60" w:before="60"/>
      </w:pPr>
    </w:p>
    <w:p>
      <w:pPr>
        <w:spacing w:after="80" w:before="80"/>
      </w:pPr>
      <w:r>
        <w:rPr>
          <w:rFonts w:ascii="Calibri" w:cs="Calibri" w:eastAsia="Calibri" w:hAnsi="Calibri"/>
          <w:b/>
          <w:bCs/>
          <w:i w:val="false"/>
          <w:iCs w:val="false"/>
          <w:color w:val="1A1A2E"/>
          <w:sz w:val="20"/>
          <w:szCs w:val="20"/>
        </w:rPr>
        <w:t xml:space="preserve">Phase 4B Total — Estimated: 4.5 hrs  ·  Actual: 5 hrs</w:t>
      </w:r>
    </w:p>
    <w:p>
      <w:pPr>
        <w:spacing w:after="60" w:before="60"/>
      </w:pPr>
    </w:p>
    <w:p>
      <w:pPr>
        <w:pStyle w:val="Heading2"/>
        <w:pBdr>
          <w:bottom w:val="single" w:color="E94560" w:sz="4" w:space="4"/>
        </w:pBdr>
        <w:spacing w:after="120" w:before="280"/>
      </w:pPr>
      <w:r>
        <w:rPr>
          <w:rFonts w:ascii="Calibri" w:cs="Calibri" w:eastAsia="Calibri" w:hAnsi="Calibri"/>
          <w:b/>
          <w:bCs/>
          <w:i w:val="false"/>
          <w:iCs w:val="false"/>
          <w:color w:val="0F3460"/>
          <w:sz w:val="26"/>
          <w:szCs w:val="26"/>
        </w:rPr>
        <w:t xml:space="preserve">4. Phase 4C — Event Detail Page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242"/>
        <w:gridCol w:w="1008"/>
        <w:gridCol w:w="1008"/>
        <w:gridCol w:w="1310"/>
        <w:gridCol w:w="1512"/>
      </w:tblGrid>
      <w:tr>
        <w:tc>
          <w:tcPr>
            <w:tcW w:type="dxa" w:w="5242"/>
            <w:tcBorders>
              <w:top w:val="single" w:color="C5CDE8" w:sz="1"/>
              <w:left w:val="single" w:color="C5CDE8" w:sz="1"/>
              <w:bottom w:val="single" w:color="C5CDE8" w:sz="1"/>
              <w:right w:val="single" w:color="C5CDE8" w:sz="1"/>
            </w:tcBorders>
            <w:shd w:fill="1A1A2E"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Task</w:t>
            </w:r>
          </w:p>
        </w:tc>
        <w:tc>
          <w:tcPr>
            <w:tcW w:type="dxa" w:w="1008"/>
            <w:tcBorders>
              <w:top w:val="single" w:color="C5CDE8" w:sz="1"/>
              <w:left w:val="single" w:color="C5CDE8" w:sz="1"/>
              <w:bottom w:val="single" w:color="C5CDE8" w:sz="1"/>
              <w:right w:val="single" w:color="C5CDE8" w:sz="1"/>
            </w:tcBorders>
            <w:shd w:fill="1A1A2E"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Owner</w:t>
            </w:r>
          </w:p>
        </w:tc>
        <w:tc>
          <w:tcPr>
            <w:tcW w:type="dxa" w:w="1008"/>
            <w:tcBorders>
              <w:top w:val="single" w:color="C5CDE8" w:sz="1"/>
              <w:left w:val="single" w:color="C5CDE8" w:sz="1"/>
              <w:bottom w:val="single" w:color="C5CDE8" w:sz="1"/>
              <w:right w:val="single" w:color="C5CDE8" w:sz="1"/>
            </w:tcBorders>
            <w:shd w:fill="1A1A2E"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Est (hrs)</w:t>
            </w:r>
          </w:p>
        </w:tc>
        <w:tc>
          <w:tcPr>
            <w:tcW w:type="dxa" w:w="1310"/>
            <w:tcBorders>
              <w:top w:val="single" w:color="C5CDE8" w:sz="1"/>
              <w:left w:val="single" w:color="C5CDE8" w:sz="1"/>
              <w:bottom w:val="single" w:color="C5CDE8" w:sz="1"/>
              <w:right w:val="single" w:color="C5CDE8" w:sz="1"/>
            </w:tcBorders>
            <w:shd w:fill="1A1A2E"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Actual (hrs)</w:t>
            </w:r>
          </w:p>
        </w:tc>
        <w:tc>
          <w:tcPr>
            <w:tcW w:type="dxa" w:w="1512"/>
            <w:tcBorders>
              <w:top w:val="single" w:color="C5CDE8" w:sz="1"/>
              <w:left w:val="single" w:color="C5CDE8" w:sz="1"/>
              <w:bottom w:val="single" w:color="C5CDE8" w:sz="1"/>
              <w:right w:val="single" w:color="C5CDE8" w:sz="1"/>
            </w:tcBorders>
            <w:shd w:fill="1A1A2E"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Status</w:t>
            </w:r>
          </w:p>
        </w:tc>
      </w:tr>
      <w:tr>
        <w:tc>
          <w:tcPr>
            <w:tcW w:type="dxa" w:w="5242"/>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Build frontend/components/ui/breadcrumb-label-context.tsx — React context with leafLabel string and setLeafLabel setter; lets any page push its friendly name into the dashboard header breadcrumb trail without prop-drilling through the layout</w:t>
            </w:r>
          </w:p>
        </w:tc>
        <w:tc>
          <w:tcPr>
            <w:tcW w:type="dxa" w:w="1008"/>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Qayyum</w:t>
            </w:r>
          </w:p>
        </w:tc>
        <w:tc>
          <w:tcPr>
            <w:tcW w:type="dxa" w:w="1008"/>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0.5</w:t>
            </w:r>
          </w:p>
        </w:tc>
        <w:tc>
          <w:tcPr>
            <w:tcW w:type="dxa" w:w="1310"/>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0.5</w:t>
            </w:r>
          </w:p>
        </w:tc>
        <w:tc>
          <w:tcPr>
            <w:tcW w:type="dxa" w:w="1512"/>
            <w:tcBorders>
              <w:top w:val="single" w:color="C5CDE8" w:sz="1"/>
              <w:left w:val="single" w:color="C5CDE8" w:sz="1"/>
              <w:bottom w:val="single" w:color="C5CDE8" w:sz="1"/>
              <w:right w:val="single" w:color="C5CDE8" w:sz="1"/>
            </w:tcBorders>
            <w:shd w:fill="DCFCE7"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DONE</w:t>
            </w:r>
          </w:p>
        </w:tc>
      </w:tr>
      <w:tr>
        <w:tc>
          <w:tcPr>
            <w:tcW w:type="dxa" w:w="5242"/>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Build /events/[tokenId]/page.tsx — reads tokenId from route params and finds the matching MarketplaceEvent in useAllCredentialTypes output; renders: name, organizer/issuer info, category badge, activity date, duration, full description, skills section with SKILL_LEVELS colour dots and weight values, issued count, nftExplorerUrl block explorer link, IPFS metadata link; uses useBreadcrumbLabel to inject credential type name into breadcrumb</w:t>
            </w:r>
          </w:p>
        </w:tc>
        <w:tc>
          <w:tcPr>
            <w:tcW w:type="dxa" w:w="1008"/>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Qayyum</w:t>
            </w:r>
          </w:p>
        </w:tc>
        <w:tc>
          <w:tcPr>
            <w:tcW w:type="dxa" w:w="1008"/>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1.5</w:t>
            </w:r>
          </w:p>
        </w:tc>
        <w:tc>
          <w:tcPr>
            <w:tcW w:type="dxa" w:w="1310"/>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2</w:t>
            </w:r>
          </w:p>
        </w:tc>
        <w:tc>
          <w:tcPr>
            <w:tcW w:type="dxa" w:w="1512"/>
            <w:tcBorders>
              <w:top w:val="single" w:color="C5CDE8" w:sz="1"/>
              <w:left w:val="single" w:color="C5CDE8" w:sz="1"/>
              <w:bottom w:val="single" w:color="C5CDE8" w:sz="1"/>
              <w:right w:val="single" w:color="C5CDE8" w:sz="1"/>
            </w:tcBorders>
            <w:shd w:fill="DCFCE7"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DONE</w:t>
            </w:r>
          </w:p>
        </w:tc>
      </w:tr>
      <w:tr>
        <w:tc>
          <w:tcPr>
            <w:tcW w:type="dxa" w:w="5242"/>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Show "Already Earned" badge when connected student holds this credential (isEarned from useAllCredentialTypes); show a "Browse events" back CTA when not earned</w:t>
            </w:r>
          </w:p>
        </w:tc>
        <w:tc>
          <w:tcPr>
            <w:tcW w:type="dxa" w:w="1008"/>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Qayyum</w:t>
            </w:r>
          </w:p>
        </w:tc>
        <w:tc>
          <w:tcPr>
            <w:tcW w:type="dxa" w:w="1008"/>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0.5</w:t>
            </w:r>
          </w:p>
        </w:tc>
        <w:tc>
          <w:tcPr>
            <w:tcW w:type="dxa" w:w="1310"/>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0.5</w:t>
            </w:r>
          </w:p>
        </w:tc>
        <w:tc>
          <w:tcPr>
            <w:tcW w:type="dxa" w:w="1512"/>
            <w:tcBorders>
              <w:top w:val="single" w:color="C5CDE8" w:sz="1"/>
              <w:left w:val="single" w:color="C5CDE8" w:sz="1"/>
              <w:bottom w:val="single" w:color="C5CDE8" w:sz="1"/>
              <w:right w:val="single" w:color="C5CDE8" w:sz="1"/>
            </w:tcBorders>
            <w:shd w:fill="DCFCE7"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DONE</w:t>
            </w:r>
          </w:p>
        </w:tc>
      </w:tr>
      <w:tr>
        <w:tc>
          <w:tcPr>
            <w:tcW w:type="dxa" w:w="5242"/>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Update event-card.tsx to navigate to /events/[tokenId] on card click using Next.js router; maintain keyboard accessibility with Enter handler</w:t>
            </w:r>
          </w:p>
        </w:tc>
        <w:tc>
          <w:tcPr>
            <w:tcW w:type="dxa" w:w="1008"/>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Qayyum</w:t>
            </w:r>
          </w:p>
        </w:tc>
        <w:tc>
          <w:tcPr>
            <w:tcW w:type="dxa" w:w="1008"/>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0.5</w:t>
            </w:r>
          </w:p>
        </w:tc>
        <w:tc>
          <w:tcPr>
            <w:tcW w:type="dxa" w:w="1310"/>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0.5</w:t>
            </w:r>
          </w:p>
        </w:tc>
        <w:tc>
          <w:tcPr>
            <w:tcW w:type="dxa" w:w="1512"/>
            <w:tcBorders>
              <w:top w:val="single" w:color="C5CDE8" w:sz="1"/>
              <w:left w:val="single" w:color="C5CDE8" w:sz="1"/>
              <w:bottom w:val="single" w:color="C5CDE8" w:sz="1"/>
              <w:right w:val="single" w:color="C5CDE8" w:sz="1"/>
            </w:tcBorders>
            <w:shd w:fill="DCFCE7"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DONE</w:t>
            </w:r>
          </w:p>
        </w:tc>
      </w:tr>
    </w:tbl>
    <w:p>
      <w:pPr>
        <w:spacing w:after="60" w:before="60"/>
      </w:pPr>
    </w:p>
    <w:p>
      <w:pPr>
        <w:spacing w:after="80" w:before="80"/>
      </w:pPr>
      <w:r>
        <w:rPr>
          <w:rFonts w:ascii="Calibri" w:cs="Calibri" w:eastAsia="Calibri" w:hAnsi="Calibri"/>
          <w:b/>
          <w:bCs/>
          <w:i w:val="false"/>
          <w:iCs w:val="false"/>
          <w:color w:val="1A1A2E"/>
          <w:sz w:val="20"/>
          <w:szCs w:val="20"/>
        </w:rPr>
        <w:t xml:space="preserve">Phase 4C Total — Estimated: 3 hrs  ·  Actual: 3.5 hrs</w:t>
      </w:r>
    </w:p>
    <w:p>
      <w:pPr>
        <w:spacing w:after="60" w:before="60"/>
      </w:pPr>
    </w:p>
    <w:p>
      <w:pPr>
        <w:pStyle w:val="Heading2"/>
        <w:pBdr>
          <w:bottom w:val="single" w:color="E94560" w:sz="4" w:space="4"/>
        </w:pBdr>
        <w:spacing w:after="120" w:before="280"/>
      </w:pPr>
      <w:r>
        <w:rPr>
          <w:rFonts w:ascii="Calibri" w:cs="Calibri" w:eastAsia="Calibri" w:hAnsi="Calibri"/>
          <w:b/>
          <w:bCs/>
          <w:i w:val="false"/>
          <w:iCs w:val="false"/>
          <w:color w:val="0F3460"/>
          <w:sz w:val="26"/>
          <w:szCs w:val="26"/>
        </w:rPr>
        <w:t xml:space="preserve">5. Phase 4D — UX Polish &amp; Profile Pages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242"/>
        <w:gridCol w:w="1008"/>
        <w:gridCol w:w="1008"/>
        <w:gridCol w:w="1310"/>
        <w:gridCol w:w="1512"/>
      </w:tblGrid>
      <w:tr>
        <w:tc>
          <w:tcPr>
            <w:tcW w:type="dxa" w:w="5242"/>
            <w:tcBorders>
              <w:top w:val="single" w:color="C5CDE8" w:sz="1"/>
              <w:left w:val="single" w:color="C5CDE8" w:sz="1"/>
              <w:bottom w:val="single" w:color="C5CDE8" w:sz="1"/>
              <w:right w:val="single" w:color="C5CDE8" w:sz="1"/>
            </w:tcBorders>
            <w:shd w:fill="1A1A2E"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Task</w:t>
            </w:r>
          </w:p>
        </w:tc>
        <w:tc>
          <w:tcPr>
            <w:tcW w:type="dxa" w:w="1008"/>
            <w:tcBorders>
              <w:top w:val="single" w:color="C5CDE8" w:sz="1"/>
              <w:left w:val="single" w:color="C5CDE8" w:sz="1"/>
              <w:bottom w:val="single" w:color="C5CDE8" w:sz="1"/>
              <w:right w:val="single" w:color="C5CDE8" w:sz="1"/>
            </w:tcBorders>
            <w:shd w:fill="1A1A2E"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Owner</w:t>
            </w:r>
          </w:p>
        </w:tc>
        <w:tc>
          <w:tcPr>
            <w:tcW w:type="dxa" w:w="1008"/>
            <w:tcBorders>
              <w:top w:val="single" w:color="C5CDE8" w:sz="1"/>
              <w:left w:val="single" w:color="C5CDE8" w:sz="1"/>
              <w:bottom w:val="single" w:color="C5CDE8" w:sz="1"/>
              <w:right w:val="single" w:color="C5CDE8" w:sz="1"/>
            </w:tcBorders>
            <w:shd w:fill="1A1A2E"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Est (hrs)</w:t>
            </w:r>
          </w:p>
        </w:tc>
        <w:tc>
          <w:tcPr>
            <w:tcW w:type="dxa" w:w="1310"/>
            <w:tcBorders>
              <w:top w:val="single" w:color="C5CDE8" w:sz="1"/>
              <w:left w:val="single" w:color="C5CDE8" w:sz="1"/>
              <w:bottom w:val="single" w:color="C5CDE8" w:sz="1"/>
              <w:right w:val="single" w:color="C5CDE8" w:sz="1"/>
            </w:tcBorders>
            <w:shd w:fill="1A1A2E"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Actual (hrs)</w:t>
            </w:r>
          </w:p>
        </w:tc>
        <w:tc>
          <w:tcPr>
            <w:tcW w:type="dxa" w:w="1512"/>
            <w:tcBorders>
              <w:top w:val="single" w:color="C5CDE8" w:sz="1"/>
              <w:left w:val="single" w:color="C5CDE8" w:sz="1"/>
              <w:bottom w:val="single" w:color="C5CDE8" w:sz="1"/>
              <w:right w:val="single" w:color="C5CDE8" w:sz="1"/>
            </w:tcBorders>
            <w:shd w:fill="1A1A2E"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Status</w:t>
            </w:r>
          </w:p>
        </w:tc>
      </w:tr>
      <w:tr>
        <w:tc>
          <w:tcPr>
            <w:tcW w:type="dxa" w:w="5242"/>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Fix student dashboard random greeting re-generating on every re-render: replace direct randomGreeting(displayName) call in render with useState(() =&gt; randomGreeting(displayName)) lazy initialiser — function runs once on mount, result stored in state and never recomputed</w:t>
            </w:r>
          </w:p>
        </w:tc>
        <w:tc>
          <w:tcPr>
            <w:tcW w:type="dxa" w:w="1008"/>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Qayyum</w:t>
            </w:r>
          </w:p>
        </w:tc>
        <w:tc>
          <w:tcPr>
            <w:tcW w:type="dxa" w:w="1008"/>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0.5</w:t>
            </w:r>
          </w:p>
        </w:tc>
        <w:tc>
          <w:tcPr>
            <w:tcW w:type="dxa" w:w="1310"/>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0.5</w:t>
            </w:r>
          </w:p>
        </w:tc>
        <w:tc>
          <w:tcPr>
            <w:tcW w:type="dxa" w:w="1512"/>
            <w:tcBorders>
              <w:top w:val="single" w:color="C5CDE8" w:sz="1"/>
              <w:left w:val="single" w:color="C5CDE8" w:sz="1"/>
              <w:bottom w:val="single" w:color="C5CDE8" w:sz="1"/>
              <w:right w:val="single" w:color="C5CDE8" w:sz="1"/>
            </w:tcBorders>
            <w:shd w:fill="DCFCE7"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DONE</w:t>
            </w:r>
          </w:p>
        </w:tc>
      </w:tr>
      <w:tr>
        <w:tc>
          <w:tcPr>
            <w:tcW w:type="dxa" w:w="5242"/>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Add ACTIVE_CHAIN constant to shared/constants/index.ts — resolves to CHAIN.OP_SEPOLIA when NODE_ENV !== "production" and CHAIN.OPTIMISM in production; single switch point for the entire application at mainnet deploy time</w:t>
            </w:r>
          </w:p>
        </w:tc>
        <w:tc>
          <w:tcPr>
            <w:tcW w:type="dxa" w:w="1008"/>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Qayyum</w:t>
            </w:r>
          </w:p>
        </w:tc>
        <w:tc>
          <w:tcPr>
            <w:tcW w:type="dxa" w:w="1008"/>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0.5</w:t>
            </w:r>
          </w:p>
        </w:tc>
        <w:tc>
          <w:tcPr>
            <w:tcW w:type="dxa" w:w="1310"/>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0.5</w:t>
            </w:r>
          </w:p>
        </w:tc>
        <w:tc>
          <w:tcPr>
            <w:tcW w:type="dxa" w:w="1512"/>
            <w:tcBorders>
              <w:top w:val="single" w:color="C5CDE8" w:sz="1"/>
              <w:left w:val="single" w:color="C5CDE8" w:sz="1"/>
              <w:bottom w:val="single" w:color="C5CDE8" w:sz="1"/>
              <w:right w:val="single" w:color="C5CDE8" w:sz="1"/>
            </w:tcBorders>
            <w:shd w:fill="DCFCE7"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DONE</w:t>
            </w:r>
          </w:p>
        </w:tc>
      </w:tr>
      <w:tr>
        <w:tc>
          <w:tcPr>
            <w:tcW w:type="dxa" w:w="5242"/>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Add nftExplorerUrl(tokenId) and addressExplorerUrl(address) helpers to shared/contract/addresses.ts — build correct ERC-1155 block explorer URLs using ACTIVE_CHAIN.blockExplorer; nftExplorerUrl produces /nft/{contractAddress}/{tokenId} (correct format for ERC-1155 tokens, not /token/{id})</w:t>
            </w:r>
          </w:p>
        </w:tc>
        <w:tc>
          <w:tcPr>
            <w:tcW w:type="dxa" w:w="1008"/>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Qayyum</w:t>
            </w:r>
          </w:p>
        </w:tc>
        <w:tc>
          <w:tcPr>
            <w:tcW w:type="dxa" w:w="1008"/>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0.5</w:t>
            </w:r>
          </w:p>
        </w:tc>
        <w:tc>
          <w:tcPr>
            <w:tcW w:type="dxa" w:w="1310"/>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0.5</w:t>
            </w:r>
          </w:p>
        </w:tc>
        <w:tc>
          <w:tcPr>
            <w:tcW w:type="dxa" w:w="1512"/>
            <w:tcBorders>
              <w:top w:val="single" w:color="C5CDE8" w:sz="1"/>
              <w:left w:val="single" w:color="C5CDE8" w:sz="1"/>
              <w:bottom w:val="single" w:color="C5CDE8" w:sz="1"/>
              <w:right w:val="single" w:color="C5CDE8" w:sz="1"/>
            </w:tcBorders>
            <w:shd w:fill="DCFCE7"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DONE</w:t>
            </w:r>
          </w:p>
        </w:tc>
      </w:tr>
      <w:tr>
        <w:tc>
          <w:tcPr>
            <w:tcW w:type="dxa" w:w="5242"/>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Replace all hardcoded block explorer URL constructions across credential-card.tsx, admin pages, and organizer pages with calls to nftExplorerUrl() and addressExplorerUrl()</w:t>
            </w:r>
          </w:p>
        </w:tc>
        <w:tc>
          <w:tcPr>
            <w:tcW w:type="dxa" w:w="1008"/>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Qayyum</w:t>
            </w:r>
          </w:p>
        </w:tc>
        <w:tc>
          <w:tcPr>
            <w:tcW w:type="dxa" w:w="1008"/>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1</w:t>
            </w:r>
          </w:p>
        </w:tc>
        <w:tc>
          <w:tcPr>
            <w:tcW w:type="dxa" w:w="1310"/>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1</w:t>
            </w:r>
          </w:p>
        </w:tc>
        <w:tc>
          <w:tcPr>
            <w:tcW w:type="dxa" w:w="1512"/>
            <w:tcBorders>
              <w:top w:val="single" w:color="C5CDE8" w:sz="1"/>
              <w:left w:val="single" w:color="C5CDE8" w:sz="1"/>
              <w:bottom w:val="single" w:color="C5CDE8" w:sz="1"/>
              <w:right w:val="single" w:color="C5CDE8" w:sz="1"/>
            </w:tcBorders>
            <w:shd w:fill="DCFCE7"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DONE</w:t>
            </w:r>
          </w:p>
        </w:tc>
      </w:tr>
      <w:tr>
        <w:tc>
          <w:tcPr>
            <w:tcW w:type="dxa" w:w="5242"/>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Add Drawer to organizer credential-type-card.tsx — clicking a card opens a right-side Drawer showing full event details; preserves the list-view context so the organizer does not lose their place</w:t>
            </w:r>
          </w:p>
        </w:tc>
        <w:tc>
          <w:tcPr>
            <w:tcW w:type="dxa" w:w="1008"/>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Qayyum</w:t>
            </w:r>
          </w:p>
        </w:tc>
        <w:tc>
          <w:tcPr>
            <w:tcW w:type="dxa" w:w="1008"/>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1</w:t>
            </w:r>
          </w:p>
        </w:tc>
        <w:tc>
          <w:tcPr>
            <w:tcW w:type="dxa" w:w="1310"/>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1.5</w:t>
            </w:r>
          </w:p>
        </w:tc>
        <w:tc>
          <w:tcPr>
            <w:tcW w:type="dxa" w:w="1512"/>
            <w:tcBorders>
              <w:top w:val="single" w:color="C5CDE8" w:sz="1"/>
              <w:left w:val="single" w:color="C5CDE8" w:sz="1"/>
              <w:bottom w:val="single" w:color="C5CDE8" w:sz="1"/>
              <w:right w:val="single" w:color="C5CDE8" w:sz="1"/>
            </w:tcBorders>
            <w:shd w:fill="DCFCE7"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DONE</w:t>
            </w:r>
          </w:p>
        </w:tc>
      </w:tr>
      <w:tr>
        <w:tc>
          <w:tcPr>
            <w:tcW w:type="dxa" w:w="5242"/>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Build /organizer/profile and /admin/profile pages — display name edit form for organizer and admin roles reusing useStudentProfile hook with TanStack Form; read-only wallet address display; add Profile navigation entries to both sidebars</w:t>
            </w:r>
          </w:p>
        </w:tc>
        <w:tc>
          <w:tcPr>
            <w:tcW w:type="dxa" w:w="1008"/>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Qayyum</w:t>
            </w:r>
          </w:p>
        </w:tc>
        <w:tc>
          <w:tcPr>
            <w:tcW w:type="dxa" w:w="1008"/>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1</w:t>
            </w:r>
          </w:p>
        </w:tc>
        <w:tc>
          <w:tcPr>
            <w:tcW w:type="dxa" w:w="1310"/>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1</w:t>
            </w:r>
          </w:p>
        </w:tc>
        <w:tc>
          <w:tcPr>
            <w:tcW w:type="dxa" w:w="1512"/>
            <w:tcBorders>
              <w:top w:val="single" w:color="C5CDE8" w:sz="1"/>
              <w:left w:val="single" w:color="C5CDE8" w:sz="1"/>
              <w:bottom w:val="single" w:color="C5CDE8" w:sz="1"/>
              <w:right w:val="single" w:color="C5CDE8" w:sz="1"/>
            </w:tcBorders>
            <w:shd w:fill="DCFCE7"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DONE</w:t>
            </w:r>
          </w:p>
        </w:tc>
      </w:tr>
      <w:tr>
        <w:tc>
          <w:tcPr>
            <w:tcW w:type="dxa" w:w="5242"/>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Add optional bio Summary section to portfolio-pdf.tsx — when the student has a bio in their profile, render a Summary paragraph below the header; pass bio as a prop from the CredentialsPage through PDFDownloadLink</w:t>
            </w:r>
          </w:p>
        </w:tc>
        <w:tc>
          <w:tcPr>
            <w:tcW w:type="dxa" w:w="1008"/>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Qayyum</w:t>
            </w:r>
          </w:p>
        </w:tc>
        <w:tc>
          <w:tcPr>
            <w:tcW w:type="dxa" w:w="1008"/>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0.5</w:t>
            </w:r>
          </w:p>
        </w:tc>
        <w:tc>
          <w:tcPr>
            <w:tcW w:type="dxa" w:w="1310"/>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0.5</w:t>
            </w:r>
          </w:p>
        </w:tc>
        <w:tc>
          <w:tcPr>
            <w:tcW w:type="dxa" w:w="1512"/>
            <w:tcBorders>
              <w:top w:val="single" w:color="C5CDE8" w:sz="1"/>
              <w:left w:val="single" w:color="C5CDE8" w:sz="1"/>
              <w:bottom w:val="single" w:color="C5CDE8" w:sz="1"/>
              <w:right w:val="single" w:color="C5CDE8" w:sz="1"/>
            </w:tcBorders>
            <w:shd w:fill="DCFCE7"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DONE</w:t>
            </w:r>
          </w:p>
        </w:tc>
      </w:tr>
    </w:tbl>
    <w:p>
      <w:pPr>
        <w:spacing w:after="60" w:before="60"/>
      </w:pPr>
    </w:p>
    <w:p>
      <w:pPr>
        <w:spacing w:after="80" w:before="80"/>
      </w:pPr>
      <w:r>
        <w:rPr>
          <w:rFonts w:ascii="Calibri" w:cs="Calibri" w:eastAsia="Calibri" w:hAnsi="Calibri"/>
          <w:b/>
          <w:bCs/>
          <w:i w:val="false"/>
          <w:iCs w:val="false"/>
          <w:color w:val="1A1A2E"/>
          <w:sz w:val="20"/>
          <w:szCs w:val="20"/>
        </w:rPr>
        <w:t xml:space="preserve">Phase 4D Total — Estimated: 5 hrs  ·  Actual: 5.5 hrs</w:t>
      </w:r>
    </w:p>
    <w:p>
      <w:pPr>
        <w:spacing w:after="60" w:before="60"/>
      </w:pPr>
    </w:p>
    <w:p>
      <w:pPr>
        <w:pStyle w:val="Heading2"/>
        <w:pBdr>
          <w:bottom w:val="single" w:color="E94560" w:sz="4" w:space="4"/>
        </w:pBdr>
        <w:spacing w:after="120" w:before="280"/>
      </w:pPr>
      <w:r>
        <w:rPr>
          <w:rFonts w:ascii="Calibri" w:cs="Calibri" w:eastAsia="Calibri" w:hAnsi="Calibri"/>
          <w:b/>
          <w:bCs/>
          <w:i w:val="false"/>
          <w:iCs w:val="false"/>
          <w:color w:val="0F3460"/>
          <w:sz w:val="26"/>
          <w:szCs w:val="26"/>
        </w:rPr>
        <w:t xml:space="preserve">6. Phase 4E — Frontend Test Suite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242"/>
        <w:gridCol w:w="1008"/>
        <w:gridCol w:w="1008"/>
        <w:gridCol w:w="1310"/>
        <w:gridCol w:w="1512"/>
      </w:tblGrid>
      <w:tr>
        <w:tc>
          <w:tcPr>
            <w:tcW w:type="dxa" w:w="5242"/>
            <w:tcBorders>
              <w:top w:val="single" w:color="C5CDE8" w:sz="1"/>
              <w:left w:val="single" w:color="C5CDE8" w:sz="1"/>
              <w:bottom w:val="single" w:color="C5CDE8" w:sz="1"/>
              <w:right w:val="single" w:color="C5CDE8" w:sz="1"/>
            </w:tcBorders>
            <w:shd w:fill="1A1A2E"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Task</w:t>
            </w:r>
          </w:p>
        </w:tc>
        <w:tc>
          <w:tcPr>
            <w:tcW w:type="dxa" w:w="1008"/>
            <w:tcBorders>
              <w:top w:val="single" w:color="C5CDE8" w:sz="1"/>
              <w:left w:val="single" w:color="C5CDE8" w:sz="1"/>
              <w:bottom w:val="single" w:color="C5CDE8" w:sz="1"/>
              <w:right w:val="single" w:color="C5CDE8" w:sz="1"/>
            </w:tcBorders>
            <w:shd w:fill="1A1A2E"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Owner</w:t>
            </w:r>
          </w:p>
        </w:tc>
        <w:tc>
          <w:tcPr>
            <w:tcW w:type="dxa" w:w="1008"/>
            <w:tcBorders>
              <w:top w:val="single" w:color="C5CDE8" w:sz="1"/>
              <w:left w:val="single" w:color="C5CDE8" w:sz="1"/>
              <w:bottom w:val="single" w:color="C5CDE8" w:sz="1"/>
              <w:right w:val="single" w:color="C5CDE8" w:sz="1"/>
            </w:tcBorders>
            <w:shd w:fill="1A1A2E"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Est (hrs)</w:t>
            </w:r>
          </w:p>
        </w:tc>
        <w:tc>
          <w:tcPr>
            <w:tcW w:type="dxa" w:w="1310"/>
            <w:tcBorders>
              <w:top w:val="single" w:color="C5CDE8" w:sz="1"/>
              <w:left w:val="single" w:color="C5CDE8" w:sz="1"/>
              <w:bottom w:val="single" w:color="C5CDE8" w:sz="1"/>
              <w:right w:val="single" w:color="C5CDE8" w:sz="1"/>
            </w:tcBorders>
            <w:shd w:fill="1A1A2E"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Actual (hrs)</w:t>
            </w:r>
          </w:p>
        </w:tc>
        <w:tc>
          <w:tcPr>
            <w:tcW w:type="dxa" w:w="1512"/>
            <w:tcBorders>
              <w:top w:val="single" w:color="C5CDE8" w:sz="1"/>
              <w:left w:val="single" w:color="C5CDE8" w:sz="1"/>
              <w:bottom w:val="single" w:color="C5CDE8" w:sz="1"/>
              <w:right w:val="single" w:color="C5CDE8" w:sz="1"/>
            </w:tcBorders>
            <w:shd w:fill="1A1A2E"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Status</w:t>
            </w:r>
          </w:p>
        </w:tc>
      </w:tr>
      <w:tr>
        <w:tc>
          <w:tcPr>
            <w:tcW w:type="dxa" w:w="5242"/>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Rewrite tests/unit/api-profile.test.ts for Drizzle mock — replace fs/promises mock with an in-memory Map-backed db mock; implement extractAddress() helper that inspects Drizzle eq() queryChunks (SQL AST objects) to extract bound address values; 10 tests covering GET 200/404, PUT upsert, invalid address 400, address normalisation to lowercase</w:t>
            </w:r>
          </w:p>
        </w:tc>
        <w:tc>
          <w:tcPr>
            <w:tcW w:type="dxa" w:w="1008"/>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Qayyum</w:t>
            </w:r>
          </w:p>
        </w:tc>
        <w:tc>
          <w:tcPr>
            <w:tcW w:type="dxa" w:w="1008"/>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1</w:t>
            </w:r>
          </w:p>
        </w:tc>
        <w:tc>
          <w:tcPr>
            <w:tcW w:type="dxa" w:w="1310"/>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1.5</w:t>
            </w:r>
          </w:p>
        </w:tc>
        <w:tc>
          <w:tcPr>
            <w:tcW w:type="dxa" w:w="1512"/>
            <w:tcBorders>
              <w:top w:val="single" w:color="C5CDE8" w:sz="1"/>
              <w:left w:val="single" w:color="C5CDE8" w:sz="1"/>
              <w:bottom w:val="single" w:color="C5CDE8" w:sz="1"/>
              <w:right w:val="single" w:color="C5CDE8" w:sz="1"/>
            </w:tcBorders>
            <w:shd w:fill="DCFCE7"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DONE</w:t>
            </w:r>
          </w:p>
        </w:tc>
      </w:tr>
      <w:tr>
        <w:tc>
          <w:tcPr>
            <w:tcW w:type="dxa" w:w="5242"/>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Write tests/unit/api-organizer-request.test.ts — 25 tests covering GET list, POST submit (valid request, invalid address 400, duplicate rejection 409, address normalisation), PATCH status update (found, not found); same Drizzle mock pattern with module-level _pendingSet variable to capture .set() values across the chained .set().where().returning() call</w:t>
            </w:r>
          </w:p>
        </w:tc>
        <w:tc>
          <w:tcPr>
            <w:tcW w:type="dxa" w:w="1008"/>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Qayyum</w:t>
            </w:r>
          </w:p>
        </w:tc>
        <w:tc>
          <w:tcPr>
            <w:tcW w:type="dxa" w:w="1008"/>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1.5</w:t>
            </w:r>
          </w:p>
        </w:tc>
        <w:tc>
          <w:tcPr>
            <w:tcW w:type="dxa" w:w="1310"/>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2</w:t>
            </w:r>
          </w:p>
        </w:tc>
        <w:tc>
          <w:tcPr>
            <w:tcW w:type="dxa" w:w="1512"/>
            <w:tcBorders>
              <w:top w:val="single" w:color="C5CDE8" w:sz="1"/>
              <w:left w:val="single" w:color="C5CDE8" w:sz="1"/>
              <w:bottom w:val="single" w:color="C5CDE8" w:sz="1"/>
              <w:right w:val="single" w:color="C5CDE8" w:sz="1"/>
            </w:tcBorders>
            <w:shd w:fill="DCFCE7"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DONE</w:t>
            </w:r>
          </w:p>
        </w:tc>
      </w:tr>
      <w:tr>
        <w:tc>
          <w:tcPr>
            <w:tcW w:type="dxa" w:w="5242"/>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Write tests/components/EventCard.test.tsx — 19 tests covering skeleton rendering, full card with metadata, Already Earned badge when isEarned is true, skill tag display with category colours, card click navigation to /events/[tokenId], image rendering when becp_event_image is present</w:t>
            </w:r>
          </w:p>
        </w:tc>
        <w:tc>
          <w:tcPr>
            <w:tcW w:type="dxa" w:w="1008"/>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Qayyum</w:t>
            </w:r>
          </w:p>
        </w:tc>
        <w:tc>
          <w:tcPr>
            <w:tcW w:type="dxa" w:w="1008"/>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1</w:t>
            </w:r>
          </w:p>
        </w:tc>
        <w:tc>
          <w:tcPr>
            <w:tcW w:type="dxa" w:w="1310"/>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1.5</w:t>
            </w:r>
          </w:p>
        </w:tc>
        <w:tc>
          <w:tcPr>
            <w:tcW w:type="dxa" w:w="1512"/>
            <w:tcBorders>
              <w:top w:val="single" w:color="C5CDE8" w:sz="1"/>
              <w:left w:val="single" w:color="C5CDE8" w:sz="1"/>
              <w:bottom w:val="single" w:color="C5CDE8" w:sz="1"/>
              <w:right w:val="single" w:color="C5CDE8" w:sz="1"/>
            </w:tcBorders>
            <w:shd w:fill="DCFCE7"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DONE</w:t>
            </w:r>
          </w:p>
        </w:tc>
      </w:tr>
      <w:tr>
        <w:tc>
          <w:tcPr>
            <w:tcW w:type="dxa" w:w="5242"/>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Add 4 Drawer tests to tests/components/CredentialCard.test.tsx (20 total) — mock Vaul Drawer with a React Context-based controlled implementation using vi.mock async factory (async () =&gt; { const { ... } = await import("react") }) to avoid module-hoisting scope errors; test Drawer opens on card click and renders full detail content</w:t>
            </w:r>
          </w:p>
        </w:tc>
        <w:tc>
          <w:tcPr>
            <w:tcW w:type="dxa" w:w="1008"/>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Qayyum</w:t>
            </w:r>
          </w:p>
        </w:tc>
        <w:tc>
          <w:tcPr>
            <w:tcW w:type="dxa" w:w="1008"/>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1</w:t>
            </w:r>
          </w:p>
        </w:tc>
        <w:tc>
          <w:tcPr>
            <w:tcW w:type="dxa" w:w="1310"/>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1.5</w:t>
            </w:r>
          </w:p>
        </w:tc>
        <w:tc>
          <w:tcPr>
            <w:tcW w:type="dxa" w:w="1512"/>
            <w:tcBorders>
              <w:top w:val="single" w:color="C5CDE8" w:sz="1"/>
              <w:left w:val="single" w:color="C5CDE8" w:sz="1"/>
              <w:bottom w:val="single" w:color="C5CDE8" w:sz="1"/>
              <w:right w:val="single" w:color="C5CDE8" w:sz="1"/>
            </w:tcBorders>
            <w:shd w:fill="DCFCE7"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DONE</w:t>
            </w:r>
          </w:p>
        </w:tc>
      </w:tr>
    </w:tbl>
    <w:p>
      <w:pPr>
        <w:spacing w:after="60" w:before="60"/>
      </w:pPr>
    </w:p>
    <w:p>
      <w:pPr>
        <w:spacing w:after="80" w:before="80"/>
      </w:pPr>
      <w:r>
        <w:rPr>
          <w:rFonts w:ascii="Calibri" w:cs="Calibri" w:eastAsia="Calibri" w:hAnsi="Calibri"/>
          <w:b/>
          <w:bCs/>
          <w:i w:val="false"/>
          <w:iCs w:val="false"/>
          <w:color w:val="1A1A2E"/>
          <w:sz w:val="20"/>
          <w:szCs w:val="20"/>
        </w:rPr>
        <w:t xml:space="preserve">Phase 4E Total — Estimated: 4.5 hrs  ·  Actual: 6.5 hrs</w:t>
      </w:r>
    </w:p>
    <w:p>
      <w:pPr>
        <w:spacing w:after="60" w:before="60"/>
      </w:pPr>
    </w:p>
    <w:p>
      <w:pPr>
        <w:spacing w:after="80" w:before="80"/>
      </w:pPr>
      <w:r>
        <w:rPr>
          <w:rFonts w:ascii="Calibri" w:cs="Calibri" w:eastAsia="Calibri" w:hAnsi="Calibri"/>
          <w:b/>
          <w:bCs/>
          <w:i w:val="false"/>
          <w:iCs w:val="false"/>
          <w:color w:val="1A1A2E"/>
          <w:sz w:val="20"/>
          <w:szCs w:val="20"/>
        </w:rPr>
        <w:t xml:space="preserve">Release 5 Total — Estimated: 21 hrs  ·  Actual: 25 hrs</w:t>
      </w:r>
    </w:p>
    <w:p>
      <w:pPr>
        <w:spacing w:after="60" w:before="60"/>
      </w:pPr>
    </w:p>
    <w:p>
      <w:pPr>
        <w:pStyle w:val="Heading2"/>
        <w:pBdr>
          <w:bottom w:val="single" w:color="E94560" w:sz="4" w:space="4"/>
        </w:pBdr>
        <w:spacing w:after="120" w:before="280"/>
      </w:pPr>
      <w:r>
        <w:rPr>
          <w:rFonts w:ascii="Calibri" w:cs="Calibri" w:eastAsia="Calibri" w:hAnsi="Calibri"/>
          <w:b/>
          <w:bCs/>
          <w:i w:val="false"/>
          <w:iCs w:val="false"/>
          <w:color w:val="0F3460"/>
          <w:sz w:val="26"/>
          <w:szCs w:val="26"/>
        </w:rPr>
        <w:t xml:space="preserve">7. Retrospective Notes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12"/>
        <w:gridCol w:w="8568"/>
      </w:tblGrid>
      <w:tr>
        <w:tc>
          <w:tcPr>
            <w:tcW w:type="dxa" w:w="1512"/>
            <w:tcBorders>
              <w:top w:val="single" w:color="C5CDE8" w:sz="1"/>
              <w:left w:val="single" w:color="C5CDE8" w:sz="1"/>
              <w:bottom w:val="single" w:color="C5CDE8" w:sz="1"/>
              <w:right w:val="single" w:color="C5CDE8" w:sz="1"/>
            </w:tcBorders>
            <w:shd w:fill="1A1A2E"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Category</w:t>
            </w:r>
          </w:p>
        </w:tc>
        <w:tc>
          <w:tcPr>
            <w:tcW w:type="dxa" w:w="8568"/>
            <w:tcBorders>
              <w:top w:val="single" w:color="C5CDE8" w:sz="1"/>
              <w:left w:val="single" w:color="C5CDE8" w:sz="1"/>
              <w:bottom w:val="single" w:color="C5CDE8" w:sz="1"/>
              <w:right w:val="single" w:color="C5CDE8" w:sz="1"/>
            </w:tcBorders>
            <w:shd w:fill="1A1A2E"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Note</w:t>
            </w:r>
          </w:p>
        </w:tc>
      </w:tr>
      <w:tr>
        <w:tc>
          <w:tcPr>
            <w:tcW w:type="dxa" w:w="1512"/>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2E"/>
                <w:sz w:val="18"/>
                <w:szCs w:val="18"/>
              </w:rPr>
              <w:t xml:space="preserve">Went well</w:t>
            </w:r>
          </w:p>
        </w:tc>
        <w:tc>
          <w:tcPr>
            <w:tcW w:type="dxa" w:w="8568"/>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Neon Serverless Postgres with the HTTP driver was the right fit for Next.js API routes. No connection pooling issues, no separate server process, and drizzle-kit push deployed the schema in a single command. The onConflictDoUpdate pattern cleanly replaces the read-then-write JSON file logic with a single atomic query.</w:t>
            </w:r>
          </w:p>
        </w:tc>
      </w:tr>
      <w:tr>
        <w:tc>
          <w:tcPr>
            <w:tcW w:type="dxa" w:w="1512"/>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2E"/>
                <w:sz w:val="18"/>
                <w:szCs w:val="18"/>
              </w:rPr>
              <w:t xml:space="preserve">Went well</w:t>
            </w:r>
          </w:p>
        </w:tc>
        <w:tc>
          <w:tcPr>
            <w:tcW w:type="dxa" w:w="8568"/>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Organizer and admin profile pages required zero new hooks or API changes — useStudentProfile and ProfileEditForm composed without modification. Reuse of existing infrastructure is the correct XP simplicity call.</w:t>
            </w:r>
          </w:p>
        </w:tc>
      </w:tr>
      <w:tr>
        <w:tc>
          <w:tcPr>
            <w:tcW w:type="dxa" w:w="1512"/>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2E"/>
                <w:sz w:val="18"/>
                <w:szCs w:val="18"/>
              </w:rPr>
              <w:t xml:space="preserve">Went well</w:t>
            </w:r>
          </w:p>
        </w:tc>
        <w:tc>
          <w:tcPr>
            <w:tcW w:type="dxa" w:w="8568"/>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The ACTIVE_CHAIN constant and the two explorer URL helpers cleanly resolved the dual-network problem. Every block explorer URL in the application now flows through two functions, eliminating hardcoded chain references and making the mainnet switch a one-variable change.</w:t>
            </w:r>
          </w:p>
        </w:tc>
      </w:tr>
      <w:tr>
        <w:tc>
          <w:tcPr>
            <w:tcW w:type="dxa" w:w="1512"/>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2E"/>
                <w:sz w:val="18"/>
                <w:szCs w:val="18"/>
              </w:rPr>
              <w:t xml:space="preserve">Went over</w:t>
            </w:r>
          </w:p>
        </w:tc>
        <w:tc>
          <w:tcPr>
            <w:tcW w:type="dxa" w:w="8568"/>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The Drizzle mock for unit tests required more design than estimated. Drizzle eq() produces a SQL AST object rather than a plain value, so tests cannot inspect the condition argument directly — they must traverse queryChunks to extract the bound parameter. The update chain (.set().where().returning()) required a module-level _pendingSet variable to bridge the two chained calls because .set() and .returning() execute at different points in the chain.</w:t>
            </w:r>
          </w:p>
        </w:tc>
      </w:tr>
      <w:tr>
        <w:tc>
          <w:tcPr>
            <w:tcW w:type="dxa" w:w="1512"/>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2E"/>
                <w:sz w:val="18"/>
                <w:szCs w:val="18"/>
              </w:rPr>
              <w:t xml:space="preserve">Went over</w:t>
            </w:r>
          </w:p>
        </w:tc>
        <w:tc>
          <w:tcPr>
            <w:tcW w:type="dxa" w:w="8568"/>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Mocking Vaul Drawer in jsdom was the most complex test problem in the release. Vaul uses Web Animations API and requestAnimationFrame, both absent in jsdom. A React Context-based controlled mock was required. Using vi.mock with an async factory (async () =&gt; { const { ... } = await import("react") }) was necessary to avoid the hoisting-scope restriction that prevents outer-scope variables from being referenced in mock factories.</w:t>
            </w:r>
          </w:p>
        </w:tc>
      </w:tr>
      <w:tr>
        <w:tc>
          <w:tcPr>
            <w:tcW w:type="dxa" w:w="1512"/>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2E"/>
                <w:sz w:val="18"/>
                <w:szCs w:val="18"/>
              </w:rPr>
              <w:t xml:space="preserve">Learned</w:t>
            </w:r>
          </w:p>
        </w:tc>
        <w:tc>
          <w:tcPr>
            <w:tcW w:type="dxa" w:w="8568"/>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viem isAddress() validates EIP-55 checksum for mixed-case addresses. An all-uppercase hex string (e.g. produced by String.toUpperCase()) does not pass checksum and returns false. Tests asserting address normalisation must use a properly checksummed address as input — not an artificially capitalised string.</w:t>
            </w:r>
          </w:p>
        </w:tc>
      </w:tr>
      <w:tr>
        <w:tc>
          <w:tcPr>
            <w:tcW w:type="dxa" w:w="1512"/>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2E"/>
                <w:sz w:val="18"/>
                <w:szCs w:val="18"/>
              </w:rPr>
              <w:t xml:space="preserve">Learned</w:t>
            </w:r>
          </w:p>
        </w:tc>
        <w:tc>
          <w:tcPr>
            <w:tcW w:type="dxa" w:w="8568"/>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vi.mock factory functions are hoisted above all imports and cannot reference any outer-scope variables. Async factories using await import() inside the factory are the correct pattern when dependencies need to be imported within a mock factory.</w:t>
            </w:r>
          </w:p>
        </w:tc>
      </w:tr>
      <w:tr>
        <w:tc>
          <w:tcPr>
            <w:tcW w:type="dxa" w:w="1512"/>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2E"/>
                <w:sz w:val="18"/>
                <w:szCs w:val="18"/>
              </w:rPr>
              <w:t xml:space="preserve">Action item</w:t>
            </w:r>
          </w:p>
        </w:tc>
        <w:tc>
          <w:tcPr>
            <w:tcW w:type="dxa" w:w="8568"/>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For R6: OP Mainnet production deployment. ACTIVE_CHAIN, nftExplorerUrl, and addressExplorerUrl are already in place; the remaining work is deploying the contract to Optimism mainnet, setting NEXT_PUBLIC_CONTRACT_ADDRESS, and setting DATABASE_URL in the production environment.</w:t>
            </w:r>
          </w:p>
        </w:tc>
      </w:tr>
      <w:tr>
        <w:tc>
          <w:tcPr>
            <w:tcW w:type="dxa" w:w="1512"/>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2E"/>
                <w:sz w:val="18"/>
                <w:szCs w:val="18"/>
              </w:rPr>
              <w:t xml:space="preserve">Action item</w:t>
            </w:r>
          </w:p>
        </w:tc>
        <w:tc>
          <w:tcPr>
            <w:tcW w:type="dxa" w:w="8568"/>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For R6: prepare the evaluator demo script — a walkthrough of the full credential lifecycle (register type → batch issue → student views gallery → skill dashboard → QR share → recruiter verify → admin portal → PDF export) on OP Mainnet.</w:t>
            </w:r>
          </w:p>
        </w:tc>
      </w:tr>
    </w:tbl>
    <w:p>
      <w:pPr>
        <w:spacing w:after="60" w:before="60"/>
      </w:pPr>
    </w:p>
    <w:p>
      <w:r>
        <w:br w:type="page"/>
      </w:r>
    </w:p>
    <w:p>
      <w:pPr>
        <w:pStyle w:val="Heading1"/>
        <w:spacing w:after="160" w:before="360"/>
      </w:pPr>
      <w:r>
        <w:rPr>
          <w:rFonts w:ascii="Calibri" w:cs="Calibri" w:eastAsia="Calibri" w:hAnsi="Calibri"/>
          <w:b/>
          <w:bCs/>
          <w:i w:val="false"/>
          <w:iCs w:val="false"/>
          <w:color w:val="1A1A2E"/>
          <w:sz w:val="36"/>
          <w:szCs w:val="36"/>
        </w:rPr>
        <w:t xml:space="preserve">BECP — User Stories: Release 5</w:t>
      </w:r>
    </w:p>
    <w:p>
      <w:r>
        <w:rPr>
          <w:rFonts w:ascii="Calibri" w:cs="Calibri" w:eastAsia="Calibri" w:hAnsi="Calibri"/>
          <w:b w:val="false"/>
          <w:bCs w:val="false"/>
          <w:i/>
          <w:iCs/>
          <w:color w:val="6B7280"/>
          <w:sz w:val="18"/>
          <w:szCs w:val="18"/>
        </w:rPr>
        <w:t xml:space="preserve">Phase 4A–4D  ·  US-24 through US-28  ·  All stories verified by passing test suite</w:t>
      </w:r>
    </w:p>
    <w:p>
      <w:pPr>
        <w:spacing w:after="60" w:before="60"/>
      </w:pPr>
    </w:p>
    <w:p>
      <w:pPr>
        <w:pStyle w:val="Heading2"/>
        <w:pBdr>
          <w:bottom w:val="single" w:color="E94560" w:sz="4" w:space="4"/>
        </w:pBdr>
        <w:spacing w:after="120" w:before="280"/>
      </w:pPr>
      <w:r>
        <w:rPr>
          <w:rFonts w:ascii="Calibri" w:cs="Calibri" w:eastAsia="Calibri" w:hAnsi="Calibri"/>
          <w:b/>
          <w:bCs/>
          <w:i w:val="false"/>
          <w:iCs w:val="false"/>
          <w:color w:val="0F3460"/>
          <w:sz w:val="26"/>
          <w:szCs w:val="26"/>
        </w:rPr>
        <w:t xml:space="preserve">US-24 — Developer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2402"/>
        <w:gridCol w:w="1716"/>
        <w:gridCol w:w="2402"/>
        <w:gridCol w:w="2060"/>
      </w:tblGrid>
      <w:tr>
        <w:tc>
          <w:tcPr>
            <w:tcW w:type="dxa" w:w="1500"/>
            <w:tcBorders>
              <w:top w:val="single" w:color="C5CDE8" w:sz="1"/>
              <w:left w:val="single" w:color="C5CDE8" w:sz="1"/>
              <w:bottom w:val="single" w:color="C5CDE8" w:sz="1"/>
              <w:right w:val="single" w:color="C5CDE8" w:sz="1"/>
            </w:tcBorders>
            <w:shd w:fill="1A1A2E"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Story ID</w:t>
            </w:r>
          </w:p>
        </w:tc>
        <w:tc>
          <w:tcPr>
            <w:tcW w:type="dxa" w:w="2402"/>
            <w:tcBorders>
              <w:top w:val="single" w:color="C5CDE8" w:sz="1"/>
              <w:left w:val="single" w:color="C5CDE8" w:sz="1"/>
              <w:bottom w:val="single" w:color="C5CDE8" w:sz="1"/>
              <w:right w:val="single" w:color="C5CDE8" w:sz="1"/>
            </w:tcBorders>
            <w:shd w:fill="1A1A2E"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Role</w:t>
            </w:r>
          </w:p>
        </w:tc>
        <w:tc>
          <w:tcPr>
            <w:tcW w:type="dxa" w:w="1716"/>
            <w:tcBorders>
              <w:top w:val="single" w:color="C5CDE8" w:sz="1"/>
              <w:left w:val="single" w:color="C5CDE8" w:sz="1"/>
              <w:bottom w:val="single" w:color="C5CDE8" w:sz="1"/>
              <w:right w:val="single" w:color="C5CDE8" w:sz="1"/>
            </w:tcBorders>
            <w:shd w:fill="1A1A2E"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Priority</w:t>
            </w:r>
          </w:p>
        </w:tc>
        <w:tc>
          <w:tcPr>
            <w:tcW w:type="dxa" w:w="2402"/>
            <w:tcBorders>
              <w:top w:val="single" w:color="C5CDE8" w:sz="1"/>
              <w:left w:val="single" w:color="C5CDE8" w:sz="1"/>
              <w:bottom w:val="single" w:color="C5CDE8" w:sz="1"/>
              <w:right w:val="single" w:color="C5CDE8" w:sz="1"/>
            </w:tcBorders>
            <w:shd w:fill="1A1A2E"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Iteration</w:t>
            </w:r>
          </w:p>
        </w:tc>
        <w:tc>
          <w:tcPr>
            <w:tcW w:type="dxa" w:w="2060"/>
            <w:tcBorders>
              <w:top w:val="single" w:color="C5CDE8" w:sz="1"/>
              <w:left w:val="single" w:color="C5CDE8" w:sz="1"/>
              <w:bottom w:val="single" w:color="C5CDE8" w:sz="1"/>
              <w:right w:val="single" w:color="C5CDE8" w:sz="1"/>
            </w:tcBorders>
            <w:shd w:fill="1A1A2E"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Status</w:t>
            </w:r>
          </w:p>
        </w:tc>
      </w:tr>
      <w:tr>
        <w:tc>
          <w:tcPr>
            <w:tcW w:type="dxa" w:w="1500"/>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US-24</w:t>
            </w:r>
          </w:p>
        </w:tc>
        <w:tc>
          <w:tcPr>
            <w:tcW w:type="dxa" w:w="2402"/>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Developer (Qayyum)</w:t>
            </w:r>
          </w:p>
        </w:tc>
        <w:tc>
          <w:tcPr>
            <w:tcW w:type="dxa" w:w="1716"/>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Must Have</w:t>
            </w:r>
          </w:p>
        </w:tc>
        <w:tc>
          <w:tcPr>
            <w:tcW w:type="dxa" w:w="2402"/>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R5 / Phase 4A</w:t>
            </w:r>
          </w:p>
        </w:tc>
        <w:tc>
          <w:tcPr>
            <w:tcW w:type="dxa" w:w="2060"/>
            <w:tcBorders>
              <w:top w:val="single" w:color="C5CDE8" w:sz="1"/>
              <w:left w:val="single" w:color="C5CDE8" w:sz="1"/>
              <w:bottom w:val="single" w:color="C5CDE8" w:sz="1"/>
              <w:right w:val="single" w:color="C5CDE8" w:sz="1"/>
            </w:tcBorders>
            <w:shd w:fill="DCFCE7"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DONE</w:t>
            </w:r>
          </w:p>
        </w:tc>
      </w:tr>
    </w:tbl>
    <w:p>
      <w:pPr>
        <w:spacing w:after="60" w:before="60"/>
      </w:pPr>
    </w:p>
    <w:p>
      <w:pPr>
        <w:spacing w:after="60" w:before="60"/>
      </w:pPr>
      <w:r>
        <w:rPr>
          <w:rFonts w:ascii="Calibri" w:cs="Calibri" w:eastAsia="Calibri" w:hAnsi="Calibri"/>
          <w:b w:val="false"/>
          <w:bCs w:val="false"/>
          <w:i w:val="false"/>
          <w:iCs w:val="false"/>
          <w:sz w:val="20"/>
          <w:szCs w:val="20"/>
        </w:rPr>
        <w:t xml:space="preserve">"As the developer, I want to replace both JSON file stores with a real database so that the platform is stable for the FYP evaluator demo environment and not at risk from file I/O concurrency or server restart data loss."</w:t>
      </w:r>
    </w:p>
    <w:p>
      <w:pPr>
        <w:spacing w:after="60" w:before="60"/>
      </w:pPr>
    </w:p>
    <w:p>
      <w:pPr>
        <w:spacing w:after="60" w:before="60"/>
      </w:pPr>
      <w:r>
        <w:rPr>
          <w:rFonts w:ascii="Calibri" w:cs="Calibri" w:eastAsia="Calibri" w:hAnsi="Calibri"/>
          <w:b/>
          <w:bCs/>
          <w:i w:val="false"/>
          <w:iCs w:val="false"/>
          <w:sz w:val="20"/>
          <w:szCs w:val="20"/>
        </w:rPr>
        <w:t xml:space="preserve">Acceptance Criteria:</w:t>
      </w:r>
    </w:p>
    <w:p>
      <w:pPr>
        <w:pStyle w:val="ListParagraph"/>
        <w:numPr>
          <w:ilvl w:val="0"/>
          <w:numId w:val="2"/>
        </w:numPr>
        <w:spacing w:after="40" w:before="40"/>
      </w:pPr>
      <w:r>
        <w:rPr>
          <w:rFonts w:ascii="Calibri" w:cs="Calibri" w:eastAsia="Calibri" w:hAnsi="Calibri"/>
          <w:b w:val="false"/>
          <w:bCs w:val="false"/>
          <w:i w:val="false"/>
          <w:iCs w:val="false"/>
          <w:color w:val="1F2937"/>
          <w:sz w:val="20"/>
          <w:szCs w:val="20"/>
        </w:rPr>
        <w:t xml:space="preserve">✓ Both /api/profile/[address] and /api/organizer-request routes use Neon Serverless Postgres via Drizzle ORM — no fs module dependencies remain in either route</w:t>
      </w:r>
    </w:p>
    <w:p>
      <w:pPr>
        <w:pStyle w:val="ListParagraph"/>
        <w:numPr>
          <w:ilvl w:val="0"/>
          <w:numId w:val="2"/>
        </w:numPr>
        <w:spacing w:after="40" w:before="40"/>
      </w:pPr>
      <w:r>
        <w:rPr>
          <w:rFonts w:ascii="Calibri" w:cs="Calibri" w:eastAsia="Calibri" w:hAnsi="Calibri"/>
          <w:b w:val="false"/>
          <w:bCs w:val="false"/>
          <w:i w:val="false"/>
          <w:iCs w:val="false"/>
          <w:color w:val="1F2937"/>
          <w:sz w:val="20"/>
          <w:szCs w:val="20"/>
        </w:rPr>
        <w:t xml:space="preserve">✓ The profiles table stores address (PK), displayName, bio, careerGoal, avatarUri, and timezone-aware timestamps</w:t>
      </w:r>
    </w:p>
    <w:p>
      <w:pPr>
        <w:pStyle w:val="ListParagraph"/>
        <w:numPr>
          <w:ilvl w:val="0"/>
          <w:numId w:val="2"/>
        </w:numPr>
        <w:spacing w:after="40" w:before="40"/>
      </w:pPr>
      <w:r>
        <w:rPr>
          <w:rFonts w:ascii="Calibri" w:cs="Calibri" w:eastAsia="Calibri" w:hAnsi="Calibri"/>
          <w:b w:val="false"/>
          <w:bCs w:val="false"/>
          <w:i w:val="false"/>
          <w:iCs w:val="false"/>
          <w:color w:val="1F2937"/>
          <w:sz w:val="20"/>
          <w:szCs w:val="20"/>
        </w:rPr>
        <w:t xml:space="preserve">✓ The organizer_requests table stores address (PK), displayName, organization, reason, status, and timezone-aware timestamps</w:t>
      </w:r>
    </w:p>
    <w:p>
      <w:pPr>
        <w:pStyle w:val="ListParagraph"/>
        <w:numPr>
          <w:ilvl w:val="0"/>
          <w:numId w:val="2"/>
        </w:numPr>
        <w:spacing w:after="40" w:before="40"/>
      </w:pPr>
      <w:r>
        <w:rPr>
          <w:rFonts w:ascii="Calibri" w:cs="Calibri" w:eastAsia="Calibri" w:hAnsi="Calibri"/>
          <w:b w:val="false"/>
          <w:bCs w:val="false"/>
          <w:i w:val="false"/>
          <w:iCs w:val="false"/>
          <w:color w:val="1F2937"/>
          <w:sz w:val="20"/>
          <w:szCs w:val="20"/>
        </w:rPr>
        <w:t xml:space="preserve">✓ PUT /api/profile uses onConflictDoUpdate — a single atomic query handles both first creation and subsequent updates</w:t>
      </w:r>
    </w:p>
    <w:p>
      <w:pPr>
        <w:pStyle w:val="ListParagraph"/>
        <w:numPr>
          <w:ilvl w:val="0"/>
          <w:numId w:val="2"/>
        </w:numPr>
        <w:spacing w:after="40" w:before="40"/>
      </w:pPr>
      <w:r>
        <w:rPr>
          <w:rFonts w:ascii="Calibri" w:cs="Calibri" w:eastAsia="Calibri" w:hAnsi="Calibri"/>
          <w:b w:val="false"/>
          <w:bCs w:val="false"/>
          <w:i w:val="false"/>
          <w:iCs w:val="false"/>
          <w:color w:val="1F2937"/>
          <w:sz w:val="20"/>
          <w:szCs w:val="20"/>
        </w:rPr>
        <w:t xml:space="preserve">✓ POST /api/organizer-request returns 409 Conflict when a non-revoked request for the same address already exists</w:t>
      </w:r>
    </w:p>
    <w:p>
      <w:pPr>
        <w:pStyle w:val="ListParagraph"/>
        <w:numPr>
          <w:ilvl w:val="0"/>
          <w:numId w:val="2"/>
        </w:numPr>
        <w:spacing w:after="40" w:before="40"/>
      </w:pPr>
      <w:r>
        <w:rPr>
          <w:rFonts w:ascii="Calibri" w:cs="Calibri" w:eastAsia="Calibri" w:hAnsi="Calibri"/>
          <w:b w:val="false"/>
          <w:bCs w:val="false"/>
          <w:i w:val="false"/>
          <w:iCs w:val="false"/>
          <w:color w:val="1F2937"/>
          <w:sz w:val="20"/>
          <w:szCs w:val="20"/>
        </w:rPr>
        <w:t xml:space="preserve">✓ All existing API consumers (useStudentProfile, useOrganizerRequests, admin pages) work without interface changes</w:t>
      </w:r>
    </w:p>
    <w:p>
      <w:pPr>
        <w:pStyle w:val="ListParagraph"/>
        <w:numPr>
          <w:ilvl w:val="0"/>
          <w:numId w:val="2"/>
        </w:numPr>
        <w:spacing w:after="40" w:before="40"/>
      </w:pPr>
      <w:r>
        <w:rPr>
          <w:rFonts w:ascii="Calibri" w:cs="Calibri" w:eastAsia="Calibri" w:hAnsi="Calibri"/>
          <w:b w:val="false"/>
          <w:bCs w:val="false"/>
          <w:i w:val="false"/>
          <w:iCs w:val="false"/>
          <w:color w:val="1F2937"/>
          <w:sz w:val="20"/>
          <w:szCs w:val="20"/>
        </w:rPr>
        <w:t xml:space="preserve">✓ Schema is deployed to Neon via drizzle-kit push; DATABASE_URL is read from environment variables</w:t>
      </w:r>
    </w:p>
    <w:p>
      <w:pPr>
        <w:spacing w:after="60" w:before="60"/>
      </w:pPr>
    </w:p>
    <w:p>
      <w:pPr>
        <w:spacing w:after="60" w:before="60"/>
      </w:pPr>
      <w:r>
        <w:rPr>
          <w:rFonts w:ascii="Calibri" w:cs="Calibri" w:eastAsia="Calibri" w:hAnsi="Calibri"/>
          <w:b w:val="false"/>
          <w:bCs w:val="false"/>
          <w:i/>
          <w:iCs/>
          <w:sz w:val="20"/>
          <w:szCs w:val="20"/>
        </w:rPr>
        <w:t xml:space="preserve">Test coverage: api-profile.test.ts (rewritten, 10 tests) + api-organizer-request.test.ts (new, 25 tests)</w:t>
      </w:r>
    </w:p>
    <w:p>
      <w:pPr>
        <w:spacing w:after="60" w:before="60"/>
      </w:pPr>
    </w:p>
    <w:p>
      <w:pPr>
        <w:pStyle w:val="Heading2"/>
        <w:pBdr>
          <w:bottom w:val="single" w:color="E94560" w:sz="4" w:space="4"/>
        </w:pBdr>
        <w:spacing w:after="120" w:before="280"/>
      </w:pPr>
      <w:r>
        <w:rPr>
          <w:rFonts w:ascii="Calibri" w:cs="Calibri" w:eastAsia="Calibri" w:hAnsi="Calibri"/>
          <w:b/>
          <w:bCs/>
          <w:i w:val="false"/>
          <w:iCs w:val="false"/>
          <w:color w:val="0F3460"/>
          <w:sz w:val="26"/>
          <w:szCs w:val="26"/>
        </w:rPr>
        <w:t xml:space="preserve">US-25 — Organizer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2402"/>
        <w:gridCol w:w="1716"/>
        <w:gridCol w:w="2402"/>
        <w:gridCol w:w="2060"/>
      </w:tblGrid>
      <w:tr>
        <w:tc>
          <w:tcPr>
            <w:tcW w:type="dxa" w:w="1500"/>
            <w:tcBorders>
              <w:top w:val="single" w:color="C5CDE8" w:sz="1"/>
              <w:left w:val="single" w:color="C5CDE8" w:sz="1"/>
              <w:bottom w:val="single" w:color="C5CDE8" w:sz="1"/>
              <w:right w:val="single" w:color="C5CDE8" w:sz="1"/>
            </w:tcBorders>
            <w:shd w:fill="1A1A2E"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Story ID</w:t>
            </w:r>
          </w:p>
        </w:tc>
        <w:tc>
          <w:tcPr>
            <w:tcW w:type="dxa" w:w="2402"/>
            <w:tcBorders>
              <w:top w:val="single" w:color="C5CDE8" w:sz="1"/>
              <w:left w:val="single" w:color="C5CDE8" w:sz="1"/>
              <w:bottom w:val="single" w:color="C5CDE8" w:sz="1"/>
              <w:right w:val="single" w:color="C5CDE8" w:sz="1"/>
            </w:tcBorders>
            <w:shd w:fill="1A1A2E"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Role</w:t>
            </w:r>
          </w:p>
        </w:tc>
        <w:tc>
          <w:tcPr>
            <w:tcW w:type="dxa" w:w="1716"/>
            <w:tcBorders>
              <w:top w:val="single" w:color="C5CDE8" w:sz="1"/>
              <w:left w:val="single" w:color="C5CDE8" w:sz="1"/>
              <w:bottom w:val="single" w:color="C5CDE8" w:sz="1"/>
              <w:right w:val="single" w:color="C5CDE8" w:sz="1"/>
            </w:tcBorders>
            <w:shd w:fill="1A1A2E"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Priority</w:t>
            </w:r>
          </w:p>
        </w:tc>
        <w:tc>
          <w:tcPr>
            <w:tcW w:type="dxa" w:w="2402"/>
            <w:tcBorders>
              <w:top w:val="single" w:color="C5CDE8" w:sz="1"/>
              <w:left w:val="single" w:color="C5CDE8" w:sz="1"/>
              <w:bottom w:val="single" w:color="C5CDE8" w:sz="1"/>
              <w:right w:val="single" w:color="C5CDE8" w:sz="1"/>
            </w:tcBorders>
            <w:shd w:fill="1A1A2E"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Iteration</w:t>
            </w:r>
          </w:p>
        </w:tc>
        <w:tc>
          <w:tcPr>
            <w:tcW w:type="dxa" w:w="2060"/>
            <w:tcBorders>
              <w:top w:val="single" w:color="C5CDE8" w:sz="1"/>
              <w:left w:val="single" w:color="C5CDE8" w:sz="1"/>
              <w:bottom w:val="single" w:color="C5CDE8" w:sz="1"/>
              <w:right w:val="single" w:color="C5CDE8" w:sz="1"/>
            </w:tcBorders>
            <w:shd w:fill="1A1A2E"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Status</w:t>
            </w:r>
          </w:p>
        </w:tc>
      </w:tr>
      <w:tr>
        <w:tc>
          <w:tcPr>
            <w:tcW w:type="dxa" w:w="1500"/>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US-25</w:t>
            </w:r>
          </w:p>
        </w:tc>
        <w:tc>
          <w:tcPr>
            <w:tcW w:type="dxa" w:w="2402"/>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Organizer</w:t>
            </w:r>
          </w:p>
        </w:tc>
        <w:tc>
          <w:tcPr>
            <w:tcW w:type="dxa" w:w="1716"/>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Must Have</w:t>
            </w:r>
          </w:p>
        </w:tc>
        <w:tc>
          <w:tcPr>
            <w:tcW w:type="dxa" w:w="2402"/>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R5 / Phase 4B</w:t>
            </w:r>
          </w:p>
        </w:tc>
        <w:tc>
          <w:tcPr>
            <w:tcW w:type="dxa" w:w="2060"/>
            <w:tcBorders>
              <w:top w:val="single" w:color="C5CDE8" w:sz="1"/>
              <w:left w:val="single" w:color="C5CDE8" w:sz="1"/>
              <w:bottom w:val="single" w:color="C5CDE8" w:sz="1"/>
              <w:right w:val="single" w:color="C5CDE8" w:sz="1"/>
            </w:tcBorders>
            <w:shd w:fill="DCFCE7"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DONE</w:t>
            </w:r>
          </w:p>
        </w:tc>
      </w:tr>
    </w:tbl>
    <w:p>
      <w:pPr>
        <w:spacing w:after="60" w:before="60"/>
      </w:pPr>
    </w:p>
    <w:p>
      <w:pPr>
        <w:spacing w:after="60" w:before="60"/>
      </w:pPr>
      <w:r>
        <w:rPr>
          <w:rFonts w:ascii="Calibri" w:cs="Calibri" w:eastAsia="Calibri" w:hAnsi="Calibri"/>
          <w:b w:val="false"/>
          <w:bCs w:val="false"/>
          <w:i w:val="false"/>
          <w:iCs w:val="false"/>
          <w:sz w:val="20"/>
          <w:szCs w:val="20"/>
        </w:rPr>
        <w:t xml:space="preserve">"As an organizer, I want to upload a certificate badge image and an event banner image when registering a credential type so that credential cards and marketplace listings look polished and recognisable."</w:t>
      </w:r>
    </w:p>
    <w:p>
      <w:pPr>
        <w:spacing w:after="60" w:before="60"/>
      </w:pPr>
    </w:p>
    <w:p>
      <w:pPr>
        <w:spacing w:after="60" w:before="60"/>
      </w:pPr>
      <w:r>
        <w:rPr>
          <w:rFonts w:ascii="Calibri" w:cs="Calibri" w:eastAsia="Calibri" w:hAnsi="Calibri"/>
          <w:b/>
          <w:bCs/>
          <w:i w:val="false"/>
          <w:iCs w:val="false"/>
          <w:sz w:val="20"/>
          <w:szCs w:val="20"/>
        </w:rPr>
        <w:t xml:space="preserve">Acceptance Criteria:</w:t>
      </w:r>
    </w:p>
    <w:p>
      <w:pPr>
        <w:pStyle w:val="ListParagraph"/>
        <w:numPr>
          <w:ilvl w:val="0"/>
          <w:numId w:val="2"/>
        </w:numPr>
        <w:spacing w:after="40" w:before="40"/>
      </w:pPr>
      <w:r>
        <w:rPr>
          <w:rFonts w:ascii="Calibri" w:cs="Calibri" w:eastAsia="Calibri" w:hAnsi="Calibri"/>
          <w:b w:val="false"/>
          <w:bCs w:val="false"/>
          <w:i w:val="false"/>
          <w:iCs w:val="false"/>
          <w:color w:val="1F2937"/>
          <w:sz w:val="20"/>
          <w:szCs w:val="20"/>
        </w:rPr>
        <w:t xml:space="preserve">✓ The credential type registration form includes two optional image upload inputs: certificate/badge image and event banner image</w:t>
      </w:r>
    </w:p>
    <w:p>
      <w:pPr>
        <w:pStyle w:val="ListParagraph"/>
        <w:numPr>
          <w:ilvl w:val="0"/>
          <w:numId w:val="2"/>
        </w:numPr>
        <w:spacing w:after="40" w:before="40"/>
      </w:pPr>
      <w:r>
        <w:rPr>
          <w:rFonts w:ascii="Calibri" w:cs="Calibri" w:eastAsia="Calibri" w:hAnsi="Calibri"/>
          <w:b w:val="false"/>
          <w:bCs w:val="false"/>
          <w:i w:val="false"/>
          <w:iCs w:val="false"/>
          <w:color w:val="1F2937"/>
          <w:sz w:val="20"/>
          <w:szCs w:val="20"/>
        </w:rPr>
        <w:t xml:space="preserve">✓ Selecting a file calls POST /api/upload-image; only JPEG, PNG, and WebP files ≤ 2 MB are accepted; invalid MIME type or oversized files return an error</w:t>
      </w:r>
    </w:p>
    <w:p>
      <w:pPr>
        <w:pStyle w:val="ListParagraph"/>
        <w:numPr>
          <w:ilvl w:val="0"/>
          <w:numId w:val="2"/>
        </w:numPr>
        <w:spacing w:after="40" w:before="40"/>
      </w:pPr>
      <w:r>
        <w:rPr>
          <w:rFonts w:ascii="Calibri" w:cs="Calibri" w:eastAsia="Calibri" w:hAnsi="Calibri"/>
          <w:b w:val="false"/>
          <w:bCs w:val="false"/>
          <w:i w:val="false"/>
          <w:iCs w:val="false"/>
          <w:color w:val="1F2937"/>
          <w:sz w:val="20"/>
          <w:szCs w:val="20"/>
        </w:rPr>
        <w:t xml:space="preserve">✓ After a successful upload a preview of the image is shown in the form and the resulting ipfs:// URI is stored in form state</w:t>
      </w:r>
    </w:p>
    <w:p>
      <w:pPr>
        <w:pStyle w:val="ListParagraph"/>
        <w:numPr>
          <w:ilvl w:val="0"/>
          <w:numId w:val="2"/>
        </w:numPr>
        <w:spacing w:after="40" w:before="40"/>
      </w:pPr>
      <w:r>
        <w:rPr>
          <w:rFonts w:ascii="Calibri" w:cs="Calibri" w:eastAsia="Calibri" w:hAnsi="Calibri"/>
          <w:b w:val="false"/>
          <w:bCs w:val="false"/>
          <w:i w:val="false"/>
          <w:iCs w:val="false"/>
          <w:color w:val="1F2937"/>
          <w:sz w:val="20"/>
          <w:szCs w:val="20"/>
        </w:rPr>
        <w:t xml:space="preserve">✓ buildCredentialTypeMetadata() maps the certificate image URI to the standard ERC-1155 image field (so wallets display it) and to becp_certificate_image; maps the event image to becp_event_image</w:t>
      </w:r>
    </w:p>
    <w:p>
      <w:pPr>
        <w:pStyle w:val="ListParagraph"/>
        <w:numPr>
          <w:ilvl w:val="0"/>
          <w:numId w:val="2"/>
        </w:numPr>
        <w:spacing w:after="40" w:before="40"/>
      </w:pPr>
      <w:r>
        <w:rPr>
          <w:rFonts w:ascii="Calibri" w:cs="Calibri" w:eastAsia="Calibri" w:hAnsi="Calibri"/>
          <w:b w:val="false"/>
          <w:bCs w:val="false"/>
          <w:i w:val="false"/>
          <w:iCs w:val="false"/>
          <w:color w:val="1F2937"/>
          <w:sz w:val="20"/>
          <w:szCs w:val="20"/>
        </w:rPr>
        <w:t xml:space="preserve">✓ CredentialCard renders becp_certificate_image as a card cover (via ipfsToHttp()) when present; falls back to the Award icon when absent</w:t>
      </w:r>
    </w:p>
    <w:p>
      <w:pPr>
        <w:pStyle w:val="ListParagraph"/>
        <w:numPr>
          <w:ilvl w:val="0"/>
          <w:numId w:val="2"/>
        </w:numPr>
        <w:spacing w:after="40" w:before="40"/>
      </w:pPr>
      <w:r>
        <w:rPr>
          <w:rFonts w:ascii="Calibri" w:cs="Calibri" w:eastAsia="Calibri" w:hAnsi="Calibri"/>
          <w:b w:val="false"/>
          <w:bCs w:val="false"/>
          <w:i w:val="false"/>
          <w:iCs w:val="false"/>
          <w:color w:val="1F2937"/>
          <w:sz w:val="20"/>
          <w:szCs w:val="20"/>
        </w:rPr>
        <w:t xml:space="preserve">✓ EventCard renders becp_event_image as a banner when present; falls back to a placeholder when absent</w:t>
      </w:r>
    </w:p>
    <w:p>
      <w:pPr>
        <w:pStyle w:val="ListParagraph"/>
        <w:numPr>
          <w:ilvl w:val="0"/>
          <w:numId w:val="2"/>
        </w:numPr>
        <w:spacing w:after="40" w:before="40"/>
      </w:pPr>
      <w:r>
        <w:rPr>
          <w:rFonts w:ascii="Calibri" w:cs="Calibri" w:eastAsia="Calibri" w:hAnsi="Calibri"/>
          <w:b w:val="false"/>
          <w:bCs w:val="false"/>
          <w:i w:val="false"/>
          <w:iCs w:val="false"/>
          <w:color w:val="1F2937"/>
          <w:sz w:val="20"/>
          <w:szCs w:val="20"/>
        </w:rPr>
        <w:t xml:space="preserve">✓ The Pinata JWT is never exposed to the browser — the upload is routed through the server-side /api/upload-image handler</w:t>
      </w:r>
    </w:p>
    <w:p>
      <w:pPr>
        <w:spacing w:after="60" w:before="60"/>
      </w:pPr>
    </w:p>
    <w:p>
      <w:pPr>
        <w:spacing w:after="60" w:before="60"/>
      </w:pPr>
      <w:r>
        <w:rPr>
          <w:rFonts w:ascii="Calibri" w:cs="Calibri" w:eastAsia="Calibri" w:hAnsi="Calibri"/>
          <w:b w:val="false"/>
          <w:bCs w:val="false"/>
          <w:i/>
          <w:iCs/>
          <w:sz w:val="20"/>
          <w:szCs w:val="20"/>
        </w:rPr>
        <w:t xml:space="preserve">Test coverage: EventCard.test.tsx — image rendering when becp_event_image is present</w:t>
      </w:r>
    </w:p>
    <w:p>
      <w:pPr>
        <w:spacing w:after="60" w:before="60"/>
      </w:pPr>
    </w:p>
    <w:p>
      <w:pPr>
        <w:pStyle w:val="Heading2"/>
        <w:pBdr>
          <w:bottom w:val="single" w:color="E94560" w:sz="4" w:space="4"/>
        </w:pBdr>
        <w:spacing w:after="120" w:before="280"/>
      </w:pPr>
      <w:r>
        <w:rPr>
          <w:rFonts w:ascii="Calibri" w:cs="Calibri" w:eastAsia="Calibri" w:hAnsi="Calibri"/>
          <w:b/>
          <w:bCs/>
          <w:i w:val="false"/>
          <w:iCs w:val="false"/>
          <w:color w:val="0F3460"/>
          <w:sz w:val="26"/>
          <w:szCs w:val="26"/>
        </w:rPr>
        <w:t xml:space="preserve">US-26 — Student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2402"/>
        <w:gridCol w:w="1716"/>
        <w:gridCol w:w="2402"/>
        <w:gridCol w:w="2060"/>
      </w:tblGrid>
      <w:tr>
        <w:tc>
          <w:tcPr>
            <w:tcW w:type="dxa" w:w="1500"/>
            <w:tcBorders>
              <w:top w:val="single" w:color="C5CDE8" w:sz="1"/>
              <w:left w:val="single" w:color="C5CDE8" w:sz="1"/>
              <w:bottom w:val="single" w:color="C5CDE8" w:sz="1"/>
              <w:right w:val="single" w:color="C5CDE8" w:sz="1"/>
            </w:tcBorders>
            <w:shd w:fill="1A1A2E"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Story ID</w:t>
            </w:r>
          </w:p>
        </w:tc>
        <w:tc>
          <w:tcPr>
            <w:tcW w:type="dxa" w:w="2402"/>
            <w:tcBorders>
              <w:top w:val="single" w:color="C5CDE8" w:sz="1"/>
              <w:left w:val="single" w:color="C5CDE8" w:sz="1"/>
              <w:bottom w:val="single" w:color="C5CDE8" w:sz="1"/>
              <w:right w:val="single" w:color="C5CDE8" w:sz="1"/>
            </w:tcBorders>
            <w:shd w:fill="1A1A2E"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Role</w:t>
            </w:r>
          </w:p>
        </w:tc>
        <w:tc>
          <w:tcPr>
            <w:tcW w:type="dxa" w:w="1716"/>
            <w:tcBorders>
              <w:top w:val="single" w:color="C5CDE8" w:sz="1"/>
              <w:left w:val="single" w:color="C5CDE8" w:sz="1"/>
              <w:bottom w:val="single" w:color="C5CDE8" w:sz="1"/>
              <w:right w:val="single" w:color="C5CDE8" w:sz="1"/>
            </w:tcBorders>
            <w:shd w:fill="1A1A2E"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Priority</w:t>
            </w:r>
          </w:p>
        </w:tc>
        <w:tc>
          <w:tcPr>
            <w:tcW w:type="dxa" w:w="2402"/>
            <w:tcBorders>
              <w:top w:val="single" w:color="C5CDE8" w:sz="1"/>
              <w:left w:val="single" w:color="C5CDE8" w:sz="1"/>
              <w:bottom w:val="single" w:color="C5CDE8" w:sz="1"/>
              <w:right w:val="single" w:color="C5CDE8" w:sz="1"/>
            </w:tcBorders>
            <w:shd w:fill="1A1A2E"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Iteration</w:t>
            </w:r>
          </w:p>
        </w:tc>
        <w:tc>
          <w:tcPr>
            <w:tcW w:type="dxa" w:w="2060"/>
            <w:tcBorders>
              <w:top w:val="single" w:color="C5CDE8" w:sz="1"/>
              <w:left w:val="single" w:color="C5CDE8" w:sz="1"/>
              <w:bottom w:val="single" w:color="C5CDE8" w:sz="1"/>
              <w:right w:val="single" w:color="C5CDE8" w:sz="1"/>
            </w:tcBorders>
            <w:shd w:fill="1A1A2E"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Status</w:t>
            </w:r>
          </w:p>
        </w:tc>
      </w:tr>
      <w:tr>
        <w:tc>
          <w:tcPr>
            <w:tcW w:type="dxa" w:w="1500"/>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US-26</w:t>
            </w:r>
          </w:p>
        </w:tc>
        <w:tc>
          <w:tcPr>
            <w:tcW w:type="dxa" w:w="2402"/>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Student</w:t>
            </w:r>
          </w:p>
        </w:tc>
        <w:tc>
          <w:tcPr>
            <w:tcW w:type="dxa" w:w="1716"/>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Must Have</w:t>
            </w:r>
          </w:p>
        </w:tc>
        <w:tc>
          <w:tcPr>
            <w:tcW w:type="dxa" w:w="2402"/>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R5 / Phase 4C</w:t>
            </w:r>
          </w:p>
        </w:tc>
        <w:tc>
          <w:tcPr>
            <w:tcW w:type="dxa" w:w="2060"/>
            <w:tcBorders>
              <w:top w:val="single" w:color="C5CDE8" w:sz="1"/>
              <w:left w:val="single" w:color="C5CDE8" w:sz="1"/>
              <w:bottom w:val="single" w:color="C5CDE8" w:sz="1"/>
              <w:right w:val="single" w:color="C5CDE8" w:sz="1"/>
            </w:tcBorders>
            <w:shd w:fill="DCFCE7"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DONE</w:t>
            </w:r>
          </w:p>
        </w:tc>
      </w:tr>
    </w:tbl>
    <w:p>
      <w:pPr>
        <w:spacing w:after="60" w:before="60"/>
      </w:pPr>
    </w:p>
    <w:p>
      <w:pPr>
        <w:spacing w:after="60" w:before="60"/>
      </w:pPr>
      <w:r>
        <w:rPr>
          <w:rFonts w:ascii="Calibri" w:cs="Calibri" w:eastAsia="Calibri" w:hAnsi="Calibri"/>
          <w:b w:val="false"/>
          <w:bCs w:val="false"/>
          <w:i w:val="false"/>
          <w:iCs w:val="false"/>
          <w:sz w:val="20"/>
          <w:szCs w:val="20"/>
        </w:rPr>
        <w:t xml:space="preserve">"As a student, I want to view the full details of an event before deciding to attend so that I understand what skills I will earn, who the organizer is, and how many peers have already participated."</w:t>
      </w:r>
    </w:p>
    <w:p>
      <w:pPr>
        <w:spacing w:after="60" w:before="60"/>
      </w:pPr>
    </w:p>
    <w:p>
      <w:pPr>
        <w:spacing w:after="60" w:before="60"/>
      </w:pPr>
      <w:r>
        <w:rPr>
          <w:rFonts w:ascii="Calibri" w:cs="Calibri" w:eastAsia="Calibri" w:hAnsi="Calibri"/>
          <w:b/>
          <w:bCs/>
          <w:i w:val="false"/>
          <w:iCs w:val="false"/>
          <w:sz w:val="20"/>
          <w:szCs w:val="20"/>
        </w:rPr>
        <w:t xml:space="preserve">Acceptance Criteria:</w:t>
      </w:r>
    </w:p>
    <w:p>
      <w:pPr>
        <w:pStyle w:val="ListParagraph"/>
        <w:numPr>
          <w:ilvl w:val="0"/>
          <w:numId w:val="2"/>
        </w:numPr>
        <w:spacing w:after="40" w:before="40"/>
      </w:pPr>
      <w:r>
        <w:rPr>
          <w:rFonts w:ascii="Calibri" w:cs="Calibri" w:eastAsia="Calibri" w:hAnsi="Calibri"/>
          <w:b w:val="false"/>
          <w:bCs w:val="false"/>
          <w:i w:val="false"/>
          <w:iCs w:val="false"/>
          <w:color w:val="1F2937"/>
          <w:sz w:val="20"/>
          <w:szCs w:val="20"/>
        </w:rPr>
        <w:t xml:space="preserve">✓ Clicking an event card on the marketplace navigates to /events/[tokenId]</w:t>
      </w:r>
    </w:p>
    <w:p>
      <w:pPr>
        <w:pStyle w:val="ListParagraph"/>
        <w:numPr>
          <w:ilvl w:val="0"/>
          <w:numId w:val="2"/>
        </w:numPr>
        <w:spacing w:after="40" w:before="40"/>
      </w:pPr>
      <w:r>
        <w:rPr>
          <w:rFonts w:ascii="Calibri" w:cs="Calibri" w:eastAsia="Calibri" w:hAnsi="Calibri"/>
          <w:b w:val="false"/>
          <w:bCs w:val="false"/>
          <w:i w:val="false"/>
          <w:iCs w:val="false"/>
          <w:color w:val="1F2937"/>
          <w:sz w:val="20"/>
          <w:szCs w:val="20"/>
        </w:rPr>
        <w:t xml:space="preserve">✓ The detail page shows: credential type name, organizer/issuer info, activity category badge, activity date, duration, full description, skills section with level colour dots and weight values, issued count</w:t>
      </w:r>
    </w:p>
    <w:p>
      <w:pPr>
        <w:pStyle w:val="ListParagraph"/>
        <w:numPr>
          <w:ilvl w:val="0"/>
          <w:numId w:val="2"/>
        </w:numPr>
        <w:spacing w:after="40" w:before="40"/>
      </w:pPr>
      <w:r>
        <w:rPr>
          <w:rFonts w:ascii="Calibri" w:cs="Calibri" w:eastAsia="Calibri" w:hAnsi="Calibri"/>
          <w:b w:val="false"/>
          <w:bCs w:val="false"/>
          <w:i w:val="false"/>
          <w:iCs w:val="false"/>
          <w:color w:val="1F2937"/>
          <w:sz w:val="20"/>
          <w:szCs w:val="20"/>
        </w:rPr>
        <w:t xml:space="preserve">✓ Links to the block explorer (using nftExplorerUrl) and IPFS metadata are shown</w:t>
      </w:r>
    </w:p>
    <w:p>
      <w:pPr>
        <w:pStyle w:val="ListParagraph"/>
        <w:numPr>
          <w:ilvl w:val="0"/>
          <w:numId w:val="2"/>
        </w:numPr>
        <w:spacing w:after="40" w:before="40"/>
      </w:pPr>
      <w:r>
        <w:rPr>
          <w:rFonts w:ascii="Calibri" w:cs="Calibri" w:eastAsia="Calibri" w:hAnsi="Calibri"/>
          <w:b w:val="false"/>
          <w:bCs w:val="false"/>
          <w:i w:val="false"/>
          <w:iCs w:val="false"/>
          <w:color w:val="1F2937"/>
          <w:sz w:val="20"/>
          <w:szCs w:val="20"/>
        </w:rPr>
        <w:t xml:space="preserve">✓ If the connected student already holds this credential, an "Already Earned" badge is shown</w:t>
      </w:r>
    </w:p>
    <w:p>
      <w:pPr>
        <w:pStyle w:val="ListParagraph"/>
        <w:numPr>
          <w:ilvl w:val="0"/>
          <w:numId w:val="2"/>
        </w:numPr>
        <w:spacing w:after="40" w:before="40"/>
      </w:pPr>
      <w:r>
        <w:rPr>
          <w:rFonts w:ascii="Calibri" w:cs="Calibri" w:eastAsia="Calibri" w:hAnsi="Calibri"/>
          <w:b w:val="false"/>
          <w:bCs w:val="false"/>
          <w:i w:val="false"/>
          <w:iCs w:val="false"/>
          <w:color w:val="1F2937"/>
          <w:sz w:val="20"/>
          <w:szCs w:val="20"/>
        </w:rPr>
        <w:t xml:space="preserve">✓ The breadcrumb trail in the dashboard header shows the credential type name via BreadcrumbLabelContext</w:t>
      </w:r>
    </w:p>
    <w:p>
      <w:pPr>
        <w:pStyle w:val="ListParagraph"/>
        <w:numPr>
          <w:ilvl w:val="0"/>
          <w:numId w:val="2"/>
        </w:numPr>
        <w:spacing w:after="40" w:before="40"/>
      </w:pPr>
      <w:r>
        <w:rPr>
          <w:rFonts w:ascii="Calibri" w:cs="Calibri" w:eastAsia="Calibri" w:hAnsi="Calibri"/>
          <w:b w:val="false"/>
          <w:bCs w:val="false"/>
          <w:i w:val="false"/>
          <w:iCs w:val="false"/>
          <w:color w:val="1F2937"/>
          <w:sz w:val="20"/>
          <w:szCs w:val="20"/>
        </w:rPr>
        <w:t xml:space="preserve">✓ Loading skeletons are shown while data is loading; a not-found empty state is shown for an unknown tokenId</w:t>
      </w:r>
    </w:p>
    <w:p>
      <w:pPr>
        <w:spacing w:after="60" w:before="60"/>
      </w:pPr>
    </w:p>
    <w:p>
      <w:pPr>
        <w:spacing w:after="60" w:before="60"/>
      </w:pPr>
      <w:r>
        <w:rPr>
          <w:rFonts w:ascii="Calibri" w:cs="Calibri" w:eastAsia="Calibri" w:hAnsi="Calibri"/>
          <w:b w:val="false"/>
          <w:bCs w:val="false"/>
          <w:i/>
          <w:iCs/>
          <w:sz w:val="20"/>
          <w:szCs w:val="20"/>
        </w:rPr>
        <w:t xml:space="preserve">Test coverage: Manual — page rendering verified by inspection; hook coverage from useAllCredentialTypes.test.ts (R4) carries forward</w:t>
      </w:r>
    </w:p>
    <w:p>
      <w:pPr>
        <w:spacing w:after="60" w:before="60"/>
      </w:pPr>
    </w:p>
    <w:p>
      <w:pPr>
        <w:pStyle w:val="Heading2"/>
        <w:pBdr>
          <w:bottom w:val="single" w:color="E94560" w:sz="4" w:space="4"/>
        </w:pBdr>
        <w:spacing w:after="120" w:before="280"/>
      </w:pPr>
      <w:r>
        <w:rPr>
          <w:rFonts w:ascii="Calibri" w:cs="Calibri" w:eastAsia="Calibri" w:hAnsi="Calibri"/>
          <w:b/>
          <w:bCs/>
          <w:i w:val="false"/>
          <w:iCs w:val="false"/>
          <w:color w:val="0F3460"/>
          <w:sz w:val="26"/>
          <w:szCs w:val="26"/>
        </w:rPr>
        <w:t xml:space="preserve">US-27 — Student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2402"/>
        <w:gridCol w:w="1716"/>
        <w:gridCol w:w="2402"/>
        <w:gridCol w:w="2060"/>
      </w:tblGrid>
      <w:tr>
        <w:tc>
          <w:tcPr>
            <w:tcW w:type="dxa" w:w="1500"/>
            <w:tcBorders>
              <w:top w:val="single" w:color="C5CDE8" w:sz="1"/>
              <w:left w:val="single" w:color="C5CDE8" w:sz="1"/>
              <w:bottom w:val="single" w:color="C5CDE8" w:sz="1"/>
              <w:right w:val="single" w:color="C5CDE8" w:sz="1"/>
            </w:tcBorders>
            <w:shd w:fill="1A1A2E"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Story ID</w:t>
            </w:r>
          </w:p>
        </w:tc>
        <w:tc>
          <w:tcPr>
            <w:tcW w:type="dxa" w:w="2402"/>
            <w:tcBorders>
              <w:top w:val="single" w:color="C5CDE8" w:sz="1"/>
              <w:left w:val="single" w:color="C5CDE8" w:sz="1"/>
              <w:bottom w:val="single" w:color="C5CDE8" w:sz="1"/>
              <w:right w:val="single" w:color="C5CDE8" w:sz="1"/>
            </w:tcBorders>
            <w:shd w:fill="1A1A2E"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Role</w:t>
            </w:r>
          </w:p>
        </w:tc>
        <w:tc>
          <w:tcPr>
            <w:tcW w:type="dxa" w:w="1716"/>
            <w:tcBorders>
              <w:top w:val="single" w:color="C5CDE8" w:sz="1"/>
              <w:left w:val="single" w:color="C5CDE8" w:sz="1"/>
              <w:bottom w:val="single" w:color="C5CDE8" w:sz="1"/>
              <w:right w:val="single" w:color="C5CDE8" w:sz="1"/>
            </w:tcBorders>
            <w:shd w:fill="1A1A2E"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Priority</w:t>
            </w:r>
          </w:p>
        </w:tc>
        <w:tc>
          <w:tcPr>
            <w:tcW w:type="dxa" w:w="2402"/>
            <w:tcBorders>
              <w:top w:val="single" w:color="C5CDE8" w:sz="1"/>
              <w:left w:val="single" w:color="C5CDE8" w:sz="1"/>
              <w:bottom w:val="single" w:color="C5CDE8" w:sz="1"/>
              <w:right w:val="single" w:color="C5CDE8" w:sz="1"/>
            </w:tcBorders>
            <w:shd w:fill="1A1A2E"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Iteration</w:t>
            </w:r>
          </w:p>
        </w:tc>
        <w:tc>
          <w:tcPr>
            <w:tcW w:type="dxa" w:w="2060"/>
            <w:tcBorders>
              <w:top w:val="single" w:color="C5CDE8" w:sz="1"/>
              <w:left w:val="single" w:color="C5CDE8" w:sz="1"/>
              <w:bottom w:val="single" w:color="C5CDE8" w:sz="1"/>
              <w:right w:val="single" w:color="C5CDE8" w:sz="1"/>
            </w:tcBorders>
            <w:shd w:fill="1A1A2E"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Status</w:t>
            </w:r>
          </w:p>
        </w:tc>
      </w:tr>
      <w:tr>
        <w:tc>
          <w:tcPr>
            <w:tcW w:type="dxa" w:w="1500"/>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US-27</w:t>
            </w:r>
          </w:p>
        </w:tc>
        <w:tc>
          <w:tcPr>
            <w:tcW w:type="dxa" w:w="2402"/>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Student</w:t>
            </w:r>
          </w:p>
        </w:tc>
        <w:tc>
          <w:tcPr>
            <w:tcW w:type="dxa" w:w="1716"/>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Should Have</w:t>
            </w:r>
          </w:p>
        </w:tc>
        <w:tc>
          <w:tcPr>
            <w:tcW w:type="dxa" w:w="2402"/>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R5 / Phase 4D</w:t>
            </w:r>
          </w:p>
        </w:tc>
        <w:tc>
          <w:tcPr>
            <w:tcW w:type="dxa" w:w="2060"/>
            <w:tcBorders>
              <w:top w:val="single" w:color="C5CDE8" w:sz="1"/>
              <w:left w:val="single" w:color="C5CDE8" w:sz="1"/>
              <w:bottom w:val="single" w:color="C5CDE8" w:sz="1"/>
              <w:right w:val="single" w:color="C5CDE8" w:sz="1"/>
            </w:tcBorders>
            <w:shd w:fill="DCFCE7"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DONE</w:t>
            </w:r>
          </w:p>
        </w:tc>
      </w:tr>
    </w:tbl>
    <w:p>
      <w:pPr>
        <w:spacing w:after="60" w:before="60"/>
      </w:pPr>
    </w:p>
    <w:p>
      <w:pPr>
        <w:spacing w:after="60" w:before="60"/>
      </w:pPr>
      <w:r>
        <w:rPr>
          <w:rFonts w:ascii="Calibri" w:cs="Calibri" w:eastAsia="Calibri" w:hAnsi="Calibri"/>
          <w:b w:val="false"/>
          <w:bCs w:val="false"/>
          <w:i w:val="false"/>
          <w:iCs w:val="false"/>
          <w:sz w:val="20"/>
          <w:szCs w:val="20"/>
        </w:rPr>
        <w:t xml:space="preserve">"As a student, I want the dashboard greeting to stay consistent throughout my session so that the message does not change unexpectedly when the page re-renders."</w:t>
      </w:r>
    </w:p>
    <w:p>
      <w:pPr>
        <w:spacing w:after="60" w:before="60"/>
      </w:pPr>
    </w:p>
    <w:p>
      <w:pPr>
        <w:spacing w:after="60" w:before="60"/>
      </w:pPr>
      <w:r>
        <w:rPr>
          <w:rFonts w:ascii="Calibri" w:cs="Calibri" w:eastAsia="Calibri" w:hAnsi="Calibri"/>
          <w:b/>
          <w:bCs/>
          <w:i w:val="false"/>
          <w:iCs w:val="false"/>
          <w:sz w:val="20"/>
          <w:szCs w:val="20"/>
        </w:rPr>
        <w:t xml:space="preserve">Acceptance Criteria:</w:t>
      </w:r>
    </w:p>
    <w:p>
      <w:pPr>
        <w:pStyle w:val="ListParagraph"/>
        <w:numPr>
          <w:ilvl w:val="0"/>
          <w:numId w:val="2"/>
        </w:numPr>
        <w:spacing w:after="40" w:before="40"/>
      </w:pPr>
      <w:r>
        <w:rPr>
          <w:rFonts w:ascii="Calibri" w:cs="Calibri" w:eastAsia="Calibri" w:hAnsi="Calibri"/>
          <w:b w:val="false"/>
          <w:bCs w:val="false"/>
          <w:i w:val="false"/>
          <w:iCs w:val="false"/>
          <w:color w:val="1F2937"/>
          <w:sz w:val="20"/>
          <w:szCs w:val="20"/>
        </w:rPr>
        <w:t xml:space="preserve">✓ The greeting (e.g. "Welcome, Qayyum!" or "Ready to level up, Qayyum?") is chosen once on component mount and remains stable for the entire session</w:t>
      </w:r>
    </w:p>
    <w:p>
      <w:pPr>
        <w:pStyle w:val="ListParagraph"/>
        <w:numPr>
          <w:ilvl w:val="0"/>
          <w:numId w:val="2"/>
        </w:numPr>
        <w:spacing w:after="40" w:before="40"/>
      </w:pPr>
      <w:r>
        <w:rPr>
          <w:rFonts w:ascii="Calibri" w:cs="Calibri" w:eastAsia="Calibri" w:hAnsi="Calibri"/>
          <w:b w:val="false"/>
          <w:bCs w:val="false"/>
          <w:i w:val="false"/>
          <w:iCs w:val="false"/>
          <w:color w:val="1F2937"/>
          <w:sz w:val="20"/>
          <w:szCs w:val="20"/>
        </w:rPr>
        <w:t xml:space="preserve">✓ Implementation uses useState(() =&gt; randomGreeting(displayName)) lazy initialiser — the function is called exactly once, not on every render</w:t>
      </w:r>
    </w:p>
    <w:p>
      <w:pPr>
        <w:pStyle w:val="ListParagraph"/>
        <w:numPr>
          <w:ilvl w:val="0"/>
          <w:numId w:val="2"/>
        </w:numPr>
        <w:spacing w:after="40" w:before="40"/>
      </w:pPr>
      <w:r>
        <w:rPr>
          <w:rFonts w:ascii="Calibri" w:cs="Calibri" w:eastAsia="Calibri" w:hAnsi="Calibri"/>
          <w:b w:val="false"/>
          <w:bCs w:val="false"/>
          <w:i w:val="false"/>
          <w:iCs w:val="false"/>
          <w:color w:val="1F2937"/>
          <w:sz w:val="20"/>
          <w:szCs w:val="20"/>
        </w:rPr>
        <w:t xml:space="preserve">✓ Subsequent re-renders caused by credential data loading or profile updates do not change the greeting</w:t>
      </w:r>
    </w:p>
    <w:p>
      <w:pPr>
        <w:spacing w:after="60" w:before="60"/>
      </w:pPr>
    </w:p>
    <w:p>
      <w:pPr>
        <w:spacing w:after="60" w:before="60"/>
      </w:pPr>
      <w:r>
        <w:rPr>
          <w:rFonts w:ascii="Calibri" w:cs="Calibri" w:eastAsia="Calibri" w:hAnsi="Calibri"/>
          <w:b w:val="false"/>
          <w:bCs w:val="false"/>
          <w:i/>
          <w:iCs/>
          <w:sz w:val="20"/>
          <w:szCs w:val="20"/>
        </w:rPr>
        <w:t xml:space="preserve">Test coverage: Manual — verified by inspection; no dedicated automated test</w:t>
      </w:r>
    </w:p>
    <w:p>
      <w:pPr>
        <w:spacing w:after="60" w:before="60"/>
      </w:pPr>
    </w:p>
    <w:p>
      <w:pPr>
        <w:pStyle w:val="Heading2"/>
        <w:pBdr>
          <w:bottom w:val="single" w:color="E94560" w:sz="4" w:space="4"/>
        </w:pBdr>
        <w:spacing w:after="120" w:before="280"/>
      </w:pPr>
      <w:r>
        <w:rPr>
          <w:rFonts w:ascii="Calibri" w:cs="Calibri" w:eastAsia="Calibri" w:hAnsi="Calibri"/>
          <w:b/>
          <w:bCs/>
          <w:i w:val="false"/>
          <w:iCs w:val="false"/>
          <w:color w:val="0F3460"/>
          <w:sz w:val="26"/>
          <w:szCs w:val="26"/>
        </w:rPr>
        <w:t xml:space="preserve">US-28 — Developer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2402"/>
        <w:gridCol w:w="1716"/>
        <w:gridCol w:w="2402"/>
        <w:gridCol w:w="2060"/>
      </w:tblGrid>
      <w:tr>
        <w:tc>
          <w:tcPr>
            <w:tcW w:type="dxa" w:w="1500"/>
            <w:tcBorders>
              <w:top w:val="single" w:color="C5CDE8" w:sz="1"/>
              <w:left w:val="single" w:color="C5CDE8" w:sz="1"/>
              <w:bottom w:val="single" w:color="C5CDE8" w:sz="1"/>
              <w:right w:val="single" w:color="C5CDE8" w:sz="1"/>
            </w:tcBorders>
            <w:shd w:fill="1A1A2E"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Story ID</w:t>
            </w:r>
          </w:p>
        </w:tc>
        <w:tc>
          <w:tcPr>
            <w:tcW w:type="dxa" w:w="2402"/>
            <w:tcBorders>
              <w:top w:val="single" w:color="C5CDE8" w:sz="1"/>
              <w:left w:val="single" w:color="C5CDE8" w:sz="1"/>
              <w:bottom w:val="single" w:color="C5CDE8" w:sz="1"/>
              <w:right w:val="single" w:color="C5CDE8" w:sz="1"/>
            </w:tcBorders>
            <w:shd w:fill="1A1A2E"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Role</w:t>
            </w:r>
          </w:p>
        </w:tc>
        <w:tc>
          <w:tcPr>
            <w:tcW w:type="dxa" w:w="1716"/>
            <w:tcBorders>
              <w:top w:val="single" w:color="C5CDE8" w:sz="1"/>
              <w:left w:val="single" w:color="C5CDE8" w:sz="1"/>
              <w:bottom w:val="single" w:color="C5CDE8" w:sz="1"/>
              <w:right w:val="single" w:color="C5CDE8" w:sz="1"/>
            </w:tcBorders>
            <w:shd w:fill="1A1A2E"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Priority</w:t>
            </w:r>
          </w:p>
        </w:tc>
        <w:tc>
          <w:tcPr>
            <w:tcW w:type="dxa" w:w="2402"/>
            <w:tcBorders>
              <w:top w:val="single" w:color="C5CDE8" w:sz="1"/>
              <w:left w:val="single" w:color="C5CDE8" w:sz="1"/>
              <w:bottom w:val="single" w:color="C5CDE8" w:sz="1"/>
              <w:right w:val="single" w:color="C5CDE8" w:sz="1"/>
            </w:tcBorders>
            <w:shd w:fill="1A1A2E"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Iteration</w:t>
            </w:r>
          </w:p>
        </w:tc>
        <w:tc>
          <w:tcPr>
            <w:tcW w:type="dxa" w:w="2060"/>
            <w:tcBorders>
              <w:top w:val="single" w:color="C5CDE8" w:sz="1"/>
              <w:left w:val="single" w:color="C5CDE8" w:sz="1"/>
              <w:bottom w:val="single" w:color="C5CDE8" w:sz="1"/>
              <w:right w:val="single" w:color="C5CDE8" w:sz="1"/>
            </w:tcBorders>
            <w:shd w:fill="1A1A2E"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Status</w:t>
            </w:r>
          </w:p>
        </w:tc>
      </w:tr>
      <w:tr>
        <w:tc>
          <w:tcPr>
            <w:tcW w:type="dxa" w:w="1500"/>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US-28</w:t>
            </w:r>
          </w:p>
        </w:tc>
        <w:tc>
          <w:tcPr>
            <w:tcW w:type="dxa" w:w="2402"/>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Developer (Qayyum)</w:t>
            </w:r>
          </w:p>
        </w:tc>
        <w:tc>
          <w:tcPr>
            <w:tcW w:type="dxa" w:w="1716"/>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Should Have</w:t>
            </w:r>
          </w:p>
        </w:tc>
        <w:tc>
          <w:tcPr>
            <w:tcW w:type="dxa" w:w="2402"/>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R5 / Phase 4D</w:t>
            </w:r>
          </w:p>
        </w:tc>
        <w:tc>
          <w:tcPr>
            <w:tcW w:type="dxa" w:w="2060"/>
            <w:tcBorders>
              <w:top w:val="single" w:color="C5CDE8" w:sz="1"/>
              <w:left w:val="single" w:color="C5CDE8" w:sz="1"/>
              <w:bottom w:val="single" w:color="C5CDE8" w:sz="1"/>
              <w:right w:val="single" w:color="C5CDE8" w:sz="1"/>
            </w:tcBorders>
            <w:shd w:fill="DCFCE7"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DONE</w:t>
            </w:r>
          </w:p>
        </w:tc>
      </w:tr>
    </w:tbl>
    <w:p>
      <w:pPr>
        <w:spacing w:after="60" w:before="60"/>
      </w:pPr>
    </w:p>
    <w:p>
      <w:pPr>
        <w:spacing w:after="60" w:before="60"/>
      </w:pPr>
      <w:r>
        <w:rPr>
          <w:rFonts w:ascii="Calibri" w:cs="Calibri" w:eastAsia="Calibri" w:hAnsi="Calibri"/>
          <w:b w:val="false"/>
          <w:bCs w:val="false"/>
          <w:i w:val="false"/>
          <w:iCs w:val="false"/>
          <w:sz w:val="20"/>
          <w:szCs w:val="20"/>
        </w:rPr>
        <w:t xml:space="preserve">"As the developer, I want all block explorer links to use the correct ERC-1155 URL format and to automatically point to the correct network in production so that links work without code changes at mainnet deploy time."</w:t>
      </w:r>
    </w:p>
    <w:p>
      <w:pPr>
        <w:spacing w:after="60" w:before="60"/>
      </w:pPr>
    </w:p>
    <w:p>
      <w:pPr>
        <w:spacing w:after="60" w:before="60"/>
      </w:pPr>
      <w:r>
        <w:rPr>
          <w:rFonts w:ascii="Calibri" w:cs="Calibri" w:eastAsia="Calibri" w:hAnsi="Calibri"/>
          <w:b/>
          <w:bCs/>
          <w:i w:val="false"/>
          <w:iCs w:val="false"/>
          <w:sz w:val="20"/>
          <w:szCs w:val="20"/>
        </w:rPr>
        <w:t xml:space="preserve">Acceptance Criteria:</w:t>
      </w:r>
    </w:p>
    <w:p>
      <w:pPr>
        <w:pStyle w:val="ListParagraph"/>
        <w:numPr>
          <w:ilvl w:val="0"/>
          <w:numId w:val="2"/>
        </w:numPr>
        <w:spacing w:after="40" w:before="40"/>
      </w:pPr>
      <w:r>
        <w:rPr>
          <w:rFonts w:ascii="Calibri" w:cs="Calibri" w:eastAsia="Calibri" w:hAnsi="Calibri"/>
          <w:b w:val="false"/>
          <w:bCs w:val="false"/>
          <w:i w:val="false"/>
          <w:iCs w:val="false"/>
          <w:color w:val="1F2937"/>
          <w:sz w:val="20"/>
          <w:szCs w:val="20"/>
        </w:rPr>
        <w:t xml:space="preserve">✓ nftExplorerUrl(tokenId) produces {blockExplorer}/nft/{contractAddress}/{tokenId} — the correct ERC-1155 token path (replaces the incorrect /token/{id} format used in earlier releases)</w:t>
      </w:r>
    </w:p>
    <w:p>
      <w:pPr>
        <w:pStyle w:val="ListParagraph"/>
        <w:numPr>
          <w:ilvl w:val="0"/>
          <w:numId w:val="2"/>
        </w:numPr>
        <w:spacing w:after="40" w:before="40"/>
      </w:pPr>
      <w:r>
        <w:rPr>
          <w:rFonts w:ascii="Calibri" w:cs="Calibri" w:eastAsia="Calibri" w:hAnsi="Calibri"/>
          <w:b w:val="false"/>
          <w:bCs w:val="false"/>
          <w:i w:val="false"/>
          <w:iCs w:val="false"/>
          <w:color w:val="1F2937"/>
          <w:sz w:val="20"/>
          <w:szCs w:val="20"/>
        </w:rPr>
        <w:t xml:space="preserve">✓ addressExplorerUrl(address) produces {blockExplorer}/address/{address}</w:t>
      </w:r>
    </w:p>
    <w:p>
      <w:pPr>
        <w:pStyle w:val="ListParagraph"/>
        <w:numPr>
          <w:ilvl w:val="0"/>
          <w:numId w:val="2"/>
        </w:numPr>
        <w:spacing w:after="40" w:before="40"/>
      </w:pPr>
      <w:r>
        <w:rPr>
          <w:rFonts w:ascii="Calibri" w:cs="Calibri" w:eastAsia="Calibri" w:hAnsi="Calibri"/>
          <w:b w:val="false"/>
          <w:bCs w:val="false"/>
          <w:i w:val="false"/>
          <w:iCs w:val="false"/>
          <w:color w:val="1F2937"/>
          <w:sz w:val="20"/>
          <w:szCs w:val="20"/>
        </w:rPr>
        <w:t xml:space="preserve">✓ Both helpers are exported from shared/contract/addresses.ts and use ACTIVE_CHAIN so no change is needed at mainnet deploy</w:t>
      </w:r>
    </w:p>
    <w:p>
      <w:pPr>
        <w:pStyle w:val="ListParagraph"/>
        <w:numPr>
          <w:ilvl w:val="0"/>
          <w:numId w:val="2"/>
        </w:numPr>
        <w:spacing w:after="40" w:before="40"/>
      </w:pPr>
      <w:r>
        <w:rPr>
          <w:rFonts w:ascii="Calibri" w:cs="Calibri" w:eastAsia="Calibri" w:hAnsi="Calibri"/>
          <w:b w:val="false"/>
          <w:bCs w:val="false"/>
          <w:i w:val="false"/>
          <w:iCs w:val="false"/>
          <w:color w:val="1F2937"/>
          <w:sz w:val="20"/>
          <w:szCs w:val="20"/>
        </w:rPr>
        <w:t xml:space="preserve">✓ ACTIVE_CHAIN in shared/constants/index.ts resolves to CHAIN.OP_SEPOLIA in development (NODE_ENV !== "production") and CHAIN.OPTIMISM in production</w:t>
      </w:r>
    </w:p>
    <w:p>
      <w:pPr>
        <w:pStyle w:val="ListParagraph"/>
        <w:numPr>
          <w:ilvl w:val="0"/>
          <w:numId w:val="2"/>
        </w:numPr>
        <w:spacing w:after="40" w:before="40"/>
      </w:pPr>
      <w:r>
        <w:rPr>
          <w:rFonts w:ascii="Calibri" w:cs="Calibri" w:eastAsia="Calibri" w:hAnsi="Calibri"/>
          <w:b w:val="false"/>
          <w:bCs w:val="false"/>
          <w:i w:val="false"/>
          <w:iCs w:val="false"/>
          <w:color w:val="1F2937"/>
          <w:sz w:val="20"/>
          <w:szCs w:val="20"/>
        </w:rPr>
        <w:t xml:space="preserve">✓ All components that previously hardcoded block explorer URL construction now call the helper functions</w:t>
      </w:r>
    </w:p>
    <w:p>
      <w:pPr>
        <w:spacing w:after="60" w:before="60"/>
      </w:pPr>
    </w:p>
    <w:p>
      <w:pPr>
        <w:spacing w:after="60" w:before="60"/>
      </w:pPr>
      <w:r>
        <w:rPr>
          <w:rFonts w:ascii="Calibri" w:cs="Calibri" w:eastAsia="Calibri" w:hAnsi="Calibri"/>
          <w:b w:val="false"/>
          <w:bCs w:val="false"/>
          <w:i/>
          <w:iCs/>
          <w:sz w:val="20"/>
          <w:szCs w:val="20"/>
        </w:rPr>
        <w:t xml:space="preserve">Test coverage: Manual — verified by inspection of generated links in development environment</w:t>
      </w:r>
    </w:p>
    <w:p>
      <w:pPr>
        <w:spacing w:after="60" w:before="60"/>
      </w:pPr>
    </w:p>
    <w:p>
      <w:r>
        <w:br w:type="page"/>
      </w:r>
    </w:p>
    <w:p>
      <w:pPr>
        <w:pStyle w:val="Heading1"/>
        <w:spacing w:after="160" w:before="360"/>
      </w:pPr>
      <w:r>
        <w:rPr>
          <w:rFonts w:ascii="Calibri" w:cs="Calibri" w:eastAsia="Calibri" w:hAnsi="Calibri"/>
          <w:b/>
          <w:bCs/>
          <w:i w:val="false"/>
          <w:iCs w:val="false"/>
          <w:color w:val="1A1A2E"/>
          <w:sz w:val="36"/>
          <w:szCs w:val="36"/>
        </w:rPr>
        <w:t xml:space="preserve">BECP — CRC Cards: Release 5 Frontend &amp; Shared Layer</w:t>
      </w:r>
    </w:p>
    <w:p>
      <w:r>
        <w:rPr>
          <w:rFonts w:ascii="Calibri" w:cs="Calibri" w:eastAsia="Calibri" w:hAnsi="Calibri"/>
          <w:b w:val="false"/>
          <w:bCs w:val="false"/>
          <w:i/>
          <w:iCs/>
          <w:color w:val="6B7280"/>
          <w:sz w:val="18"/>
          <w:szCs w:val="18"/>
        </w:rPr>
        <w:t xml:space="preserve">Component Responsibility Collaborator cards for the Phase 4A–4D additions</w:t>
      </w:r>
    </w:p>
    <w:p>
      <w:pPr>
        <w:spacing w:after="60"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10080"/>
            <w:gridSpan w:val="2"/>
            <w:tcBorders>
              <w:top w:val="single" w:color="E94560" w:sz="1"/>
              <w:left w:val="single" w:color="E94560" w:sz="1"/>
              <w:bottom w:val="single" w:color="E94560" w:sz="1"/>
              <w:right w:val="single" w:color="E94560" w:sz="1"/>
            </w:tcBorders>
            <w:shd w:fill="1A1A2E" w:color="auto" w:val="clear"/>
            <w:tcMar>
              <w:top w:type="dxa" w:w="100"/>
              <w:left w:type="dxa" w:w="160"/>
              <w:bottom w:type="dxa" w:w="100"/>
              <w:right w:type="dxa" w:w="160"/>
            </w:tcMar>
            <w:vAlign w:val="center"/>
          </w:tcPr>
          <w:p>
            <w:r>
              <w:rPr>
                <w:rFonts w:ascii="Calibri" w:cs="Calibri" w:eastAsia="Calibri" w:hAnsi="Calibri"/>
                <w:b/>
                <w:bCs/>
                <w:i w:val="false"/>
                <w:iCs w:val="false"/>
                <w:color w:val="FFFFFF"/>
                <w:sz w:val="26"/>
                <w:szCs w:val="26"/>
              </w:rPr>
              <w:t xml:space="preserve">lib/db/schema.ts + lib/db/index.ts  ·  Database Layer</w:t>
            </w:r>
          </w:p>
        </w:tc>
      </w:tr>
      <w:tr>
        <w:tc>
          <w:tcPr>
            <w:tcW w:type="dxa" w:w="5040"/>
            <w:tcBorders>
              <w:top w:val="single" w:color="C5CDE8" w:sz="1"/>
              <w:left w:val="single" w:color="C5CDE8" w:sz="1"/>
              <w:bottom w:val="single" w:color="C5CDE8" w:sz="1"/>
              <w:right w:val="single" w:color="C5CDE8" w:sz="1"/>
            </w:tcBorders>
            <w:shd w:fill="16213E"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Responsibilities</w:t>
            </w:r>
          </w:p>
        </w:tc>
        <w:tc>
          <w:tcPr>
            <w:tcW w:type="dxa" w:w="5040"/>
            <w:tcBorders>
              <w:top w:val="single" w:color="C5CDE8" w:sz="1"/>
              <w:left w:val="single" w:color="C5CDE8" w:sz="1"/>
              <w:bottom w:val="single" w:color="C5CDE8" w:sz="1"/>
              <w:right w:val="single" w:color="C5CDE8" w:sz="1"/>
            </w:tcBorders>
            <w:shd w:fill="16213E"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Collaborators</w:t>
            </w:r>
          </w:p>
        </w:tc>
      </w:tr>
      <w:tr>
        <w:tc>
          <w:tcPr>
            <w:tcW w:type="dxa" w:w="5040"/>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tcPr>
          <w:p>
            <w:pPr>
              <w:pStyle w:val="ListParagraph"/>
              <w:numPr>
                <w:ilvl w:val="0"/>
                <w:numId w:val="3"/>
              </w:numPr>
              <w:spacing w:after="30" w:before="30"/>
            </w:pPr>
            <w:r>
              <w:rPr>
                <w:rFonts w:ascii="Calibri" w:cs="Calibri" w:eastAsia="Calibri" w:hAnsi="Calibri"/>
                <w:b w:val="false"/>
                <w:bCs w:val="false"/>
                <w:i w:val="false"/>
                <w:iCs w:val="false"/>
                <w:color w:val="1F2937"/>
                <w:sz w:val="18"/>
                <w:szCs w:val="18"/>
              </w:rPr>
              <w:t xml:space="preserve">schema.ts: define two Drizzle pgTable schemas — profiles (address text PK, displayName, bio, careerGoal, avatarUri, timezone-aware timestamps) and organizer_requests (address text PK, displayName, organization, reason, status, timezone-aware timestamps)</w:t>
            </w:r>
          </w:p>
          <w:p>
            <w:pPr>
              <w:pStyle w:val="ListParagraph"/>
              <w:numPr>
                <w:ilvl w:val="0"/>
                <w:numId w:val="3"/>
              </w:numPr>
              <w:spacing w:after="30" w:before="30"/>
            </w:pPr>
            <w:r>
              <w:rPr>
                <w:rFonts w:ascii="Calibri" w:cs="Calibri" w:eastAsia="Calibri" w:hAnsi="Calibri"/>
                <w:b w:val="false"/>
                <w:bCs w:val="false"/>
                <w:i w:val="false"/>
                <w:iCs w:val="false"/>
                <w:color w:val="1F2937"/>
                <w:sz w:val="18"/>
                <w:szCs w:val="18"/>
              </w:rPr>
              <w:t xml:space="preserve">index.ts: instantiate Neon HTTP driver with neon(process.env.DATABASE_URL) and export the Drizzle client as db via drizzle(sql, { schema })</w:t>
            </w:r>
          </w:p>
          <w:p>
            <w:pPr>
              <w:pStyle w:val="ListParagraph"/>
              <w:numPr>
                <w:ilvl w:val="0"/>
                <w:numId w:val="3"/>
              </w:numPr>
              <w:spacing w:after="30" w:before="30"/>
            </w:pPr>
            <w:r>
              <w:rPr>
                <w:rFonts w:ascii="Calibri" w:cs="Calibri" w:eastAsia="Calibri" w:hAnsi="Calibri"/>
                <w:b w:val="false"/>
                <w:bCs w:val="false"/>
                <w:i w:val="false"/>
                <w:iCs w:val="false"/>
                <w:color w:val="1F2937"/>
                <w:sz w:val="18"/>
                <w:szCs w:val="18"/>
              </w:rPr>
              <w:t xml:space="preserve">Provide the single db export consumed by all three API routes — no route imports Neon or Drizzle directly</w:t>
            </w:r>
          </w:p>
          <w:p>
            <w:pPr>
              <w:pStyle w:val="ListParagraph"/>
              <w:numPr>
                <w:ilvl w:val="0"/>
                <w:numId w:val="3"/>
              </w:numPr>
              <w:spacing w:after="30" w:before="30"/>
            </w:pPr>
            <w:r>
              <w:rPr>
                <w:rFonts w:ascii="Calibri" w:cs="Calibri" w:eastAsia="Calibri" w:hAnsi="Calibri"/>
                <w:b w:val="false"/>
                <w:bCs w:val="false"/>
                <w:i w:val="false"/>
                <w:iCs w:val="false"/>
                <w:color w:val="1F2937"/>
                <w:sz w:val="18"/>
                <w:szCs w:val="18"/>
              </w:rPr>
              <w:t xml:space="preserve">Schema deployed via drizzle-kit push; drizzle.config.ts reads DATABASE_URL and points at the frontend/lib/db directory</w:t>
            </w:r>
          </w:p>
        </w:tc>
        <w:tc>
          <w:tcPr>
            <w:tcW w:type="dxa" w:w="5040"/>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tcPr>
          <w:p>
            <w:pPr>
              <w:pStyle w:val="ListParagraph"/>
              <w:numPr>
                <w:ilvl w:val="0"/>
                <w:numId w:val="3"/>
              </w:numPr>
              <w:spacing w:after="30" w:before="30"/>
            </w:pPr>
            <w:r>
              <w:rPr>
                <w:rFonts w:ascii="Calibri" w:cs="Calibri" w:eastAsia="Calibri" w:hAnsi="Calibri"/>
                <w:b w:val="false"/>
                <w:bCs w:val="false"/>
                <w:i w:val="false"/>
                <w:iCs w:val="false"/>
                <w:color w:val="1F2937"/>
                <w:sz w:val="18"/>
                <w:szCs w:val="18"/>
              </w:rPr>
              <w:t xml:space="preserve">@neondatabase/serverless neon() (HTTP driver)</w:t>
            </w:r>
          </w:p>
          <w:p>
            <w:pPr>
              <w:pStyle w:val="ListParagraph"/>
              <w:numPr>
                <w:ilvl w:val="0"/>
                <w:numId w:val="3"/>
              </w:numPr>
              <w:spacing w:after="30" w:before="30"/>
            </w:pPr>
            <w:r>
              <w:rPr>
                <w:rFonts w:ascii="Calibri" w:cs="Calibri" w:eastAsia="Calibri" w:hAnsi="Calibri"/>
                <w:b w:val="false"/>
                <w:bCs w:val="false"/>
                <w:i w:val="false"/>
                <w:iCs w:val="false"/>
                <w:color w:val="1F2937"/>
                <w:sz w:val="18"/>
                <w:szCs w:val="18"/>
              </w:rPr>
              <w:t xml:space="preserve">drizzle-orm/neon-http drizzle() (ORM client)</w:t>
            </w:r>
          </w:p>
          <w:p>
            <w:pPr>
              <w:pStyle w:val="ListParagraph"/>
              <w:numPr>
                <w:ilvl w:val="0"/>
                <w:numId w:val="3"/>
              </w:numPr>
              <w:spacing w:after="30" w:before="30"/>
            </w:pPr>
            <w:r>
              <w:rPr>
                <w:rFonts w:ascii="Calibri" w:cs="Calibri" w:eastAsia="Calibri" w:hAnsi="Calibri"/>
                <w:b w:val="false"/>
                <w:bCs w:val="false"/>
                <w:i w:val="false"/>
                <w:iCs w:val="false"/>
                <w:color w:val="1F2937"/>
                <w:sz w:val="18"/>
                <w:szCs w:val="18"/>
              </w:rPr>
              <w:t xml:space="preserve">/api/profile/[address] (consumer)</w:t>
            </w:r>
          </w:p>
          <w:p>
            <w:pPr>
              <w:pStyle w:val="ListParagraph"/>
              <w:numPr>
                <w:ilvl w:val="0"/>
                <w:numId w:val="3"/>
              </w:numPr>
              <w:spacing w:after="30" w:before="30"/>
            </w:pPr>
            <w:r>
              <w:rPr>
                <w:rFonts w:ascii="Calibri" w:cs="Calibri" w:eastAsia="Calibri" w:hAnsi="Calibri"/>
                <w:b w:val="false"/>
                <w:bCs w:val="false"/>
                <w:i w:val="false"/>
                <w:iCs w:val="false"/>
                <w:color w:val="1F2937"/>
                <w:sz w:val="18"/>
                <w:szCs w:val="18"/>
              </w:rPr>
              <w:t xml:space="preserve">/api/organizer-request and /api/organizer-request/[address] (consumers)</w:t>
            </w:r>
          </w:p>
        </w:tc>
      </w:tr>
    </w:tbl>
    <w:p>
      <w:pPr>
        <w:spacing w:after="60"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10080"/>
            <w:gridSpan w:val="2"/>
            <w:tcBorders>
              <w:top w:val="single" w:color="E94560" w:sz="1"/>
              <w:left w:val="single" w:color="E94560" w:sz="1"/>
              <w:bottom w:val="single" w:color="E94560" w:sz="1"/>
              <w:right w:val="single" w:color="E94560" w:sz="1"/>
            </w:tcBorders>
            <w:shd w:fill="1A1A2E" w:color="auto" w:val="clear"/>
            <w:tcMar>
              <w:top w:type="dxa" w:w="100"/>
              <w:left w:type="dxa" w:w="160"/>
              <w:bottom w:type="dxa" w:w="100"/>
              <w:right w:type="dxa" w:w="160"/>
            </w:tcMar>
            <w:vAlign w:val="center"/>
          </w:tcPr>
          <w:p>
            <w:r>
              <w:rPr>
                <w:rFonts w:ascii="Calibri" w:cs="Calibri" w:eastAsia="Calibri" w:hAnsi="Calibri"/>
                <w:b/>
                <w:bCs/>
                <w:i w:val="false"/>
                <w:iCs w:val="false"/>
                <w:color w:val="FFFFFF"/>
                <w:sz w:val="26"/>
                <w:szCs w:val="26"/>
              </w:rPr>
              <w:t xml:space="preserve">/api/upload-image  ·  API Route (Image Upload to IPFS)</w:t>
            </w:r>
          </w:p>
        </w:tc>
      </w:tr>
      <w:tr>
        <w:tc>
          <w:tcPr>
            <w:tcW w:type="dxa" w:w="5040"/>
            <w:tcBorders>
              <w:top w:val="single" w:color="C5CDE8" w:sz="1"/>
              <w:left w:val="single" w:color="C5CDE8" w:sz="1"/>
              <w:bottom w:val="single" w:color="C5CDE8" w:sz="1"/>
              <w:right w:val="single" w:color="C5CDE8" w:sz="1"/>
            </w:tcBorders>
            <w:shd w:fill="16213E"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Responsibilities</w:t>
            </w:r>
          </w:p>
        </w:tc>
        <w:tc>
          <w:tcPr>
            <w:tcW w:type="dxa" w:w="5040"/>
            <w:tcBorders>
              <w:top w:val="single" w:color="C5CDE8" w:sz="1"/>
              <w:left w:val="single" w:color="C5CDE8" w:sz="1"/>
              <w:bottom w:val="single" w:color="C5CDE8" w:sz="1"/>
              <w:right w:val="single" w:color="C5CDE8" w:sz="1"/>
            </w:tcBorders>
            <w:shd w:fill="16213E"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Collaborators</w:t>
            </w:r>
          </w:p>
        </w:tc>
      </w:tr>
      <w:tr>
        <w:tc>
          <w:tcPr>
            <w:tcW w:type="dxa" w:w="5040"/>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tcPr>
          <w:p>
            <w:pPr>
              <w:pStyle w:val="ListParagraph"/>
              <w:numPr>
                <w:ilvl w:val="0"/>
                <w:numId w:val="3"/>
              </w:numPr>
              <w:spacing w:after="30" w:before="30"/>
            </w:pPr>
            <w:r>
              <w:rPr>
                <w:rFonts w:ascii="Calibri" w:cs="Calibri" w:eastAsia="Calibri" w:hAnsi="Calibri"/>
                <w:b w:val="false"/>
                <w:bCs w:val="false"/>
                <w:i w:val="false"/>
                <w:iCs w:val="false"/>
                <w:color w:val="1F2937"/>
                <w:sz w:val="18"/>
                <w:szCs w:val="18"/>
              </w:rPr>
              <w:t xml:space="preserve">Accept a multipart/form-data POST with a single "file" field</w:t>
            </w:r>
          </w:p>
          <w:p>
            <w:pPr>
              <w:pStyle w:val="ListParagraph"/>
              <w:numPr>
                <w:ilvl w:val="0"/>
                <w:numId w:val="3"/>
              </w:numPr>
              <w:spacing w:after="30" w:before="30"/>
            </w:pPr>
            <w:r>
              <w:rPr>
                <w:rFonts w:ascii="Calibri" w:cs="Calibri" w:eastAsia="Calibri" w:hAnsi="Calibri"/>
                <w:b w:val="false"/>
                <w:bCs w:val="false"/>
                <w:i w:val="false"/>
                <w:iCs w:val="false"/>
                <w:color w:val="1F2937"/>
                <w:sz w:val="18"/>
                <w:szCs w:val="18"/>
              </w:rPr>
              <w:t xml:space="preserve">Validate MIME type — accept image/jpeg, image/png, image/webp; reject all others with 400 Bad Request</w:t>
            </w:r>
          </w:p>
          <w:p>
            <w:pPr>
              <w:pStyle w:val="ListParagraph"/>
              <w:numPr>
                <w:ilvl w:val="0"/>
                <w:numId w:val="3"/>
              </w:numPr>
              <w:spacing w:after="30" w:before="30"/>
            </w:pPr>
            <w:r>
              <w:rPr>
                <w:rFonts w:ascii="Calibri" w:cs="Calibri" w:eastAsia="Calibri" w:hAnsi="Calibri"/>
                <w:b w:val="false"/>
                <w:bCs w:val="false"/>
                <w:i w:val="false"/>
                <w:iCs w:val="false"/>
                <w:color w:val="1F2937"/>
                <w:sz w:val="18"/>
                <w:szCs w:val="18"/>
              </w:rPr>
              <w:t xml:space="preserve">Validate file size — reject files over 2 MB with 400 Bad Request</w:t>
            </w:r>
          </w:p>
          <w:p>
            <w:pPr>
              <w:pStyle w:val="ListParagraph"/>
              <w:numPr>
                <w:ilvl w:val="0"/>
                <w:numId w:val="3"/>
              </w:numPr>
              <w:spacing w:after="30" w:before="30"/>
            </w:pPr>
            <w:r>
              <w:rPr>
                <w:rFonts w:ascii="Calibri" w:cs="Calibri" w:eastAsia="Calibri" w:hAnsi="Calibri"/>
                <w:b w:val="false"/>
                <w:bCs w:val="false"/>
                <w:i w:val="false"/>
                <w:iCs w:val="false"/>
                <w:color w:val="1F2937"/>
                <w:sz w:val="18"/>
                <w:szCs w:val="18"/>
              </w:rPr>
              <w:t xml:space="preserve">Pin accepted files to Pinata using the existing lib/pinata/config.ts SDK client; return { uri: "ipfs://..." }</w:t>
            </w:r>
          </w:p>
          <w:p>
            <w:pPr>
              <w:pStyle w:val="ListParagraph"/>
              <w:numPr>
                <w:ilvl w:val="0"/>
                <w:numId w:val="3"/>
              </w:numPr>
              <w:spacing w:after="30" w:before="30"/>
            </w:pPr>
            <w:r>
              <w:rPr>
                <w:rFonts w:ascii="Calibri" w:cs="Calibri" w:eastAsia="Calibri" w:hAnsi="Calibri"/>
                <w:b w:val="false"/>
                <w:bCs w:val="false"/>
                <w:i w:val="false"/>
                <w:iCs w:val="false"/>
                <w:color w:val="1F2937"/>
                <w:sz w:val="18"/>
                <w:szCs w:val="18"/>
              </w:rPr>
              <w:t xml:space="preserve">Keep Pinata JWT server-side at all times — the route is the only code path that touches the key</w:t>
            </w:r>
          </w:p>
        </w:tc>
        <w:tc>
          <w:tcPr>
            <w:tcW w:type="dxa" w:w="5040"/>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tcPr>
          <w:p>
            <w:pPr>
              <w:pStyle w:val="ListParagraph"/>
              <w:numPr>
                <w:ilvl w:val="0"/>
                <w:numId w:val="3"/>
              </w:numPr>
              <w:spacing w:after="30" w:before="30"/>
            </w:pPr>
            <w:r>
              <w:rPr>
                <w:rFonts w:ascii="Calibri" w:cs="Calibri" w:eastAsia="Calibri" w:hAnsi="Calibri"/>
                <w:b w:val="false"/>
                <w:bCs w:val="false"/>
                <w:i w:val="false"/>
                <w:iCs w:val="false"/>
                <w:color w:val="1F2937"/>
                <w:sz w:val="18"/>
                <w:szCs w:val="18"/>
              </w:rPr>
              <w:t xml:space="preserve">lib/pinata/config.ts (Pinata SDK client)</w:t>
            </w:r>
          </w:p>
          <w:p>
            <w:pPr>
              <w:pStyle w:val="ListParagraph"/>
              <w:numPr>
                <w:ilvl w:val="0"/>
                <w:numId w:val="3"/>
              </w:numPr>
              <w:spacing w:after="30" w:before="30"/>
            </w:pPr>
            <w:r>
              <w:rPr>
                <w:rFonts w:ascii="Calibri" w:cs="Calibri" w:eastAsia="Calibri" w:hAnsi="Calibri"/>
                <w:b w:val="false"/>
                <w:bCs w:val="false"/>
                <w:i w:val="false"/>
                <w:iCs w:val="false"/>
                <w:color w:val="1F2937"/>
                <w:sz w:val="18"/>
                <w:szCs w:val="18"/>
              </w:rPr>
              <w:t xml:space="preserve">credential-type-form.tsx (upload call site on file select)</w:t>
            </w:r>
          </w:p>
          <w:p>
            <w:pPr>
              <w:pStyle w:val="ListParagraph"/>
              <w:numPr>
                <w:ilvl w:val="0"/>
                <w:numId w:val="3"/>
              </w:numPr>
              <w:spacing w:after="30" w:before="30"/>
            </w:pPr>
            <w:r>
              <w:rPr>
                <w:rFonts w:ascii="Calibri" w:cs="Calibri" w:eastAsia="Calibri" w:hAnsi="Calibri"/>
                <w:b w:val="false"/>
                <w:bCs w:val="false"/>
                <w:i w:val="false"/>
                <w:iCs w:val="false"/>
                <w:color w:val="1F2937"/>
                <w:sz w:val="18"/>
                <w:szCs w:val="18"/>
              </w:rPr>
              <w:t xml:space="preserve">NextRequest FormData / File API (request parsing)</w:t>
            </w:r>
          </w:p>
        </w:tc>
      </w:tr>
    </w:tbl>
    <w:p>
      <w:pPr>
        <w:spacing w:after="60"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10080"/>
            <w:gridSpan w:val="2"/>
            <w:tcBorders>
              <w:top w:val="single" w:color="E94560" w:sz="1"/>
              <w:left w:val="single" w:color="E94560" w:sz="1"/>
              <w:bottom w:val="single" w:color="E94560" w:sz="1"/>
              <w:right w:val="single" w:color="E94560" w:sz="1"/>
            </w:tcBorders>
            <w:shd w:fill="1A1A2E" w:color="auto" w:val="clear"/>
            <w:tcMar>
              <w:top w:type="dxa" w:w="100"/>
              <w:left w:type="dxa" w:w="160"/>
              <w:bottom w:type="dxa" w:w="100"/>
              <w:right w:type="dxa" w:w="160"/>
            </w:tcMar>
            <w:vAlign w:val="center"/>
          </w:tcPr>
          <w:p>
            <w:r>
              <w:rPr>
                <w:rFonts w:ascii="Calibri" w:cs="Calibri" w:eastAsia="Calibri" w:hAnsi="Calibri"/>
                <w:b/>
                <w:bCs/>
                <w:i w:val="false"/>
                <w:iCs w:val="false"/>
                <w:color w:val="FFFFFF"/>
                <w:sz w:val="26"/>
                <w:szCs w:val="26"/>
              </w:rPr>
              <w:t xml:space="preserve">CredentialTypeMetadata — becp_certificate_image / becp_event_image  ·  Metadata Extension</w:t>
            </w:r>
          </w:p>
        </w:tc>
      </w:tr>
      <w:tr>
        <w:tc>
          <w:tcPr>
            <w:tcW w:type="dxa" w:w="5040"/>
            <w:tcBorders>
              <w:top w:val="single" w:color="C5CDE8" w:sz="1"/>
              <w:left w:val="single" w:color="C5CDE8" w:sz="1"/>
              <w:bottom w:val="single" w:color="C5CDE8" w:sz="1"/>
              <w:right w:val="single" w:color="C5CDE8" w:sz="1"/>
            </w:tcBorders>
            <w:shd w:fill="16213E"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Responsibilities</w:t>
            </w:r>
          </w:p>
        </w:tc>
        <w:tc>
          <w:tcPr>
            <w:tcW w:type="dxa" w:w="5040"/>
            <w:tcBorders>
              <w:top w:val="single" w:color="C5CDE8" w:sz="1"/>
              <w:left w:val="single" w:color="C5CDE8" w:sz="1"/>
              <w:bottom w:val="single" w:color="C5CDE8" w:sz="1"/>
              <w:right w:val="single" w:color="C5CDE8" w:sz="1"/>
            </w:tcBorders>
            <w:shd w:fill="16213E"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Collaborators</w:t>
            </w:r>
          </w:p>
        </w:tc>
      </w:tr>
      <w:tr>
        <w:tc>
          <w:tcPr>
            <w:tcW w:type="dxa" w:w="5040"/>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tcPr>
          <w:p>
            <w:pPr>
              <w:pStyle w:val="ListParagraph"/>
              <w:numPr>
                <w:ilvl w:val="0"/>
                <w:numId w:val="3"/>
              </w:numPr>
              <w:spacing w:after="30" w:before="30"/>
            </w:pPr>
            <w:r>
              <w:rPr>
                <w:rFonts w:ascii="Calibri" w:cs="Calibri" w:eastAsia="Calibri" w:hAnsi="Calibri"/>
                <w:b w:val="false"/>
                <w:bCs w:val="false"/>
                <w:i w:val="false"/>
                <w:iCs w:val="false"/>
                <w:color w:val="1F2937"/>
                <w:sz w:val="18"/>
                <w:szCs w:val="18"/>
              </w:rPr>
              <w:t xml:space="preserve">becp_certificate_image (optional string): IPFS URI for the badge/certificate artwork; also mirrors the standard ERC-1155 image field so blockchain wallets display the badge image correctly</w:t>
            </w:r>
          </w:p>
          <w:p>
            <w:pPr>
              <w:pStyle w:val="ListParagraph"/>
              <w:numPr>
                <w:ilvl w:val="0"/>
                <w:numId w:val="3"/>
              </w:numPr>
              <w:spacing w:after="30" w:before="30"/>
            </w:pPr>
            <w:r>
              <w:rPr>
                <w:rFonts w:ascii="Calibri" w:cs="Calibri" w:eastAsia="Calibri" w:hAnsi="Calibri"/>
                <w:b w:val="false"/>
                <w:bCs w:val="false"/>
                <w:i w:val="false"/>
                <w:iCs w:val="false"/>
                <w:color w:val="1F2937"/>
                <w:sz w:val="18"/>
                <w:szCs w:val="18"/>
              </w:rPr>
              <w:t xml:space="preserve">becp_event_image (optional string): IPFS URI for the event banner displayed on marketplace event cards and the event detail page</w:t>
            </w:r>
          </w:p>
          <w:p>
            <w:pPr>
              <w:pStyle w:val="ListParagraph"/>
              <w:numPr>
                <w:ilvl w:val="0"/>
                <w:numId w:val="3"/>
              </w:numPr>
              <w:spacing w:after="30" w:before="30"/>
            </w:pPr>
            <w:r>
              <w:rPr>
                <w:rFonts w:ascii="Calibri" w:cs="Calibri" w:eastAsia="Calibri" w:hAnsi="Calibri"/>
                <w:b w:val="false"/>
                <w:bCs w:val="false"/>
                <w:i w:val="false"/>
                <w:iCs w:val="false"/>
                <w:color w:val="1F2937"/>
                <w:sz w:val="18"/>
                <w:szCs w:val="18"/>
              </w:rPr>
              <w:t xml:space="preserve">Both fields are optional — credential types created before R5 continue to function with icon fallbacks</w:t>
            </w:r>
          </w:p>
          <w:p>
            <w:pPr>
              <w:pStyle w:val="ListParagraph"/>
              <w:numPr>
                <w:ilvl w:val="0"/>
                <w:numId w:val="3"/>
              </w:numPr>
              <w:spacing w:after="30" w:before="30"/>
            </w:pPr>
            <w:r>
              <w:rPr>
                <w:rFonts w:ascii="Calibri" w:cs="Calibri" w:eastAsia="Calibri" w:hAnsi="Calibri"/>
                <w:b w:val="false"/>
                <w:bCs w:val="false"/>
                <w:i w:val="false"/>
                <w:iCs w:val="false"/>
                <w:color w:val="1F2937"/>
                <w:sz w:val="18"/>
                <w:szCs w:val="18"/>
              </w:rPr>
              <w:t xml:space="preserve">buildCredentialTypeMetadata() maps certificateImageUri to both image and becp_certificate_image; maps eventImageUri to becp_event_image</w:t>
            </w:r>
          </w:p>
        </w:tc>
        <w:tc>
          <w:tcPr>
            <w:tcW w:type="dxa" w:w="5040"/>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tcPr>
          <w:p>
            <w:pPr>
              <w:pStyle w:val="ListParagraph"/>
              <w:numPr>
                <w:ilvl w:val="0"/>
                <w:numId w:val="3"/>
              </w:numPr>
              <w:spacing w:after="30" w:before="30"/>
            </w:pPr>
            <w:r>
              <w:rPr>
                <w:rFonts w:ascii="Calibri" w:cs="Calibri" w:eastAsia="Calibri" w:hAnsi="Calibri"/>
                <w:b w:val="false"/>
                <w:bCs w:val="false"/>
                <w:i w:val="false"/>
                <w:iCs w:val="false"/>
                <w:color w:val="1F2937"/>
                <w:sz w:val="18"/>
                <w:szCs w:val="18"/>
              </w:rPr>
              <w:t xml:space="preserve">lib/credential/metadata.ts (interface definition + buildCredentialTypeMetadata)</w:t>
            </w:r>
          </w:p>
          <w:p>
            <w:pPr>
              <w:pStyle w:val="ListParagraph"/>
              <w:numPr>
                <w:ilvl w:val="0"/>
                <w:numId w:val="3"/>
              </w:numPr>
              <w:spacing w:after="30" w:before="30"/>
            </w:pPr>
            <w:r>
              <w:rPr>
                <w:rFonts w:ascii="Calibri" w:cs="Calibri" w:eastAsia="Calibri" w:hAnsi="Calibri"/>
                <w:b w:val="false"/>
                <w:bCs w:val="false"/>
                <w:i w:val="false"/>
                <w:iCs w:val="false"/>
                <w:color w:val="1F2937"/>
                <w:sz w:val="18"/>
                <w:szCs w:val="18"/>
              </w:rPr>
              <w:t xml:space="preserve">credential-type-form.tsx (upload and form state)</w:t>
            </w:r>
          </w:p>
          <w:p>
            <w:pPr>
              <w:pStyle w:val="ListParagraph"/>
              <w:numPr>
                <w:ilvl w:val="0"/>
                <w:numId w:val="3"/>
              </w:numPr>
              <w:spacing w:after="30" w:before="30"/>
            </w:pPr>
            <w:r>
              <w:rPr>
                <w:rFonts w:ascii="Calibri" w:cs="Calibri" w:eastAsia="Calibri" w:hAnsi="Calibri"/>
                <w:b w:val="false"/>
                <w:bCs w:val="false"/>
                <w:i w:val="false"/>
                <w:iCs w:val="false"/>
                <w:color w:val="1F2937"/>
                <w:sz w:val="18"/>
                <w:szCs w:val="18"/>
              </w:rPr>
              <w:t xml:space="preserve">/api/upload-image (upload target)</w:t>
            </w:r>
          </w:p>
          <w:p>
            <w:pPr>
              <w:pStyle w:val="ListParagraph"/>
              <w:numPr>
                <w:ilvl w:val="0"/>
                <w:numId w:val="3"/>
              </w:numPr>
              <w:spacing w:after="30" w:before="30"/>
            </w:pPr>
            <w:r>
              <w:rPr>
                <w:rFonts w:ascii="Calibri" w:cs="Calibri" w:eastAsia="Calibri" w:hAnsi="Calibri"/>
                <w:b w:val="false"/>
                <w:bCs w:val="false"/>
                <w:i w:val="false"/>
                <w:iCs w:val="false"/>
                <w:color w:val="1F2937"/>
                <w:sz w:val="18"/>
                <w:szCs w:val="18"/>
              </w:rPr>
              <w:t xml:space="preserve">credential-card.tsx, event-card.tsx, events/[tokenId]/page.tsx (render consumers)</w:t>
            </w:r>
          </w:p>
        </w:tc>
      </w:tr>
    </w:tbl>
    <w:p>
      <w:pPr>
        <w:spacing w:after="60"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10080"/>
            <w:gridSpan w:val="2"/>
            <w:tcBorders>
              <w:top w:val="single" w:color="E94560" w:sz="1"/>
              <w:left w:val="single" w:color="E94560" w:sz="1"/>
              <w:bottom w:val="single" w:color="E94560" w:sz="1"/>
              <w:right w:val="single" w:color="E94560" w:sz="1"/>
            </w:tcBorders>
            <w:shd w:fill="1A1A2E" w:color="auto" w:val="clear"/>
            <w:tcMar>
              <w:top w:type="dxa" w:w="100"/>
              <w:left w:type="dxa" w:w="160"/>
              <w:bottom w:type="dxa" w:w="100"/>
              <w:right w:type="dxa" w:w="160"/>
            </w:tcMar>
            <w:vAlign w:val="center"/>
          </w:tcPr>
          <w:p>
            <w:r>
              <w:rPr>
                <w:rFonts w:ascii="Calibri" w:cs="Calibri" w:eastAsia="Calibri" w:hAnsi="Calibri"/>
                <w:b/>
                <w:bCs/>
                <w:i w:val="false"/>
                <w:iCs w:val="false"/>
                <w:color w:val="FFFFFF"/>
                <w:sz w:val="26"/>
                <w:szCs w:val="26"/>
              </w:rPr>
              <w:t xml:space="preserve">events/[tokenId]/page.tsx  ·  Page (Event Detail)</w:t>
            </w:r>
          </w:p>
        </w:tc>
      </w:tr>
      <w:tr>
        <w:tc>
          <w:tcPr>
            <w:tcW w:type="dxa" w:w="5040"/>
            <w:tcBorders>
              <w:top w:val="single" w:color="C5CDE8" w:sz="1"/>
              <w:left w:val="single" w:color="C5CDE8" w:sz="1"/>
              <w:bottom w:val="single" w:color="C5CDE8" w:sz="1"/>
              <w:right w:val="single" w:color="C5CDE8" w:sz="1"/>
            </w:tcBorders>
            <w:shd w:fill="16213E"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Responsibilities</w:t>
            </w:r>
          </w:p>
        </w:tc>
        <w:tc>
          <w:tcPr>
            <w:tcW w:type="dxa" w:w="5040"/>
            <w:tcBorders>
              <w:top w:val="single" w:color="C5CDE8" w:sz="1"/>
              <w:left w:val="single" w:color="C5CDE8" w:sz="1"/>
              <w:bottom w:val="single" w:color="C5CDE8" w:sz="1"/>
              <w:right w:val="single" w:color="C5CDE8" w:sz="1"/>
            </w:tcBorders>
            <w:shd w:fill="16213E"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Collaborators</w:t>
            </w:r>
          </w:p>
        </w:tc>
      </w:tr>
      <w:tr>
        <w:tc>
          <w:tcPr>
            <w:tcW w:type="dxa" w:w="5040"/>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tcPr>
          <w:p>
            <w:pPr>
              <w:pStyle w:val="ListParagraph"/>
              <w:numPr>
                <w:ilvl w:val="0"/>
                <w:numId w:val="3"/>
              </w:numPr>
              <w:spacing w:after="30" w:before="30"/>
            </w:pPr>
            <w:r>
              <w:rPr>
                <w:rFonts w:ascii="Calibri" w:cs="Calibri" w:eastAsia="Calibri" w:hAnsi="Calibri"/>
                <w:b w:val="false"/>
                <w:bCs w:val="false"/>
                <w:i w:val="false"/>
                <w:iCs w:val="false"/>
                <w:color w:val="1F2937"/>
                <w:sz w:val="18"/>
                <w:szCs w:val="18"/>
              </w:rPr>
              <w:t xml:space="preserve">Read tokenId from Next.js route params; find the matching MarketplaceEvent in useAllCredentialTypes output</w:t>
            </w:r>
          </w:p>
          <w:p>
            <w:pPr>
              <w:pStyle w:val="ListParagraph"/>
              <w:numPr>
                <w:ilvl w:val="0"/>
                <w:numId w:val="3"/>
              </w:numPr>
              <w:spacing w:after="30" w:before="30"/>
            </w:pPr>
            <w:r>
              <w:rPr>
                <w:rFonts w:ascii="Calibri" w:cs="Calibri" w:eastAsia="Calibri" w:hAnsi="Calibri"/>
                <w:b w:val="false"/>
                <w:bCs w:val="false"/>
                <w:i w:val="false"/>
                <w:iCs w:val="false"/>
                <w:color w:val="1F2937"/>
                <w:sz w:val="18"/>
                <w:szCs w:val="18"/>
              </w:rPr>
              <w:t xml:space="preserve">Render full credential type detail: name, organizer/issuer name and address, category badge, activity date, duration, full description, skills section with SKILL_LEVELS colour indicators and weight values, issued count</w:t>
            </w:r>
          </w:p>
          <w:p>
            <w:pPr>
              <w:pStyle w:val="ListParagraph"/>
              <w:numPr>
                <w:ilvl w:val="0"/>
                <w:numId w:val="3"/>
              </w:numPr>
              <w:spacing w:after="30" w:before="30"/>
            </w:pPr>
            <w:r>
              <w:rPr>
                <w:rFonts w:ascii="Calibri" w:cs="Calibri" w:eastAsia="Calibri" w:hAnsi="Calibri"/>
                <w:b w:val="false"/>
                <w:bCs w:val="false"/>
                <w:i w:val="false"/>
                <w:iCs w:val="false"/>
                <w:color w:val="1F2937"/>
                <w:sz w:val="18"/>
                <w:szCs w:val="18"/>
              </w:rPr>
              <w:t xml:space="preserve">Show nftExplorerUrl(tokenId) block explorer link and ipfsToHttp(metadataURI) IPFS metadata link</w:t>
            </w:r>
          </w:p>
          <w:p>
            <w:pPr>
              <w:pStyle w:val="ListParagraph"/>
              <w:numPr>
                <w:ilvl w:val="0"/>
                <w:numId w:val="3"/>
              </w:numPr>
              <w:spacing w:after="30" w:before="30"/>
            </w:pPr>
            <w:r>
              <w:rPr>
                <w:rFonts w:ascii="Calibri" w:cs="Calibri" w:eastAsia="Calibri" w:hAnsi="Calibri"/>
                <w:b w:val="false"/>
                <w:bCs w:val="false"/>
                <w:i w:val="false"/>
                <w:iCs w:val="false"/>
                <w:color w:val="1F2937"/>
                <w:sz w:val="18"/>
                <w:szCs w:val="18"/>
              </w:rPr>
              <w:t xml:space="preserve">Show "Already Earned" badge when isEarned is true for the connected wallet; show a "Browse events" CTA when not earned</w:t>
            </w:r>
          </w:p>
          <w:p>
            <w:pPr>
              <w:pStyle w:val="ListParagraph"/>
              <w:numPr>
                <w:ilvl w:val="0"/>
                <w:numId w:val="3"/>
              </w:numPr>
              <w:spacing w:after="30" w:before="30"/>
            </w:pPr>
            <w:r>
              <w:rPr>
                <w:rFonts w:ascii="Calibri" w:cs="Calibri" w:eastAsia="Calibri" w:hAnsi="Calibri"/>
                <w:b w:val="false"/>
                <w:bCs w:val="false"/>
                <w:i w:val="false"/>
                <w:iCs w:val="false"/>
                <w:color w:val="1F2937"/>
                <w:sz w:val="18"/>
                <w:szCs w:val="18"/>
              </w:rPr>
              <w:t xml:space="preserve">Push the credential type name into BreadcrumbLabelContext so the dashboard header breadcrumb shows a friendly name instead of the raw tokenId path segment</w:t>
            </w:r>
          </w:p>
          <w:p>
            <w:pPr>
              <w:pStyle w:val="ListParagraph"/>
              <w:numPr>
                <w:ilvl w:val="0"/>
                <w:numId w:val="3"/>
              </w:numPr>
              <w:spacing w:after="30" w:before="30"/>
            </w:pPr>
            <w:r>
              <w:rPr>
                <w:rFonts w:ascii="Calibri" w:cs="Calibri" w:eastAsia="Calibri" w:hAnsi="Calibri"/>
                <w:b w:val="false"/>
                <w:bCs w:val="false"/>
                <w:i w:val="false"/>
                <w:iCs w:val="false"/>
                <w:color w:val="1F2937"/>
                <w:sz w:val="18"/>
                <w:szCs w:val="18"/>
              </w:rPr>
              <w:t xml:space="preserve">Show loading skeletons while data is fetching; show not-found empty state when tokenId is absent from active types</w:t>
            </w:r>
          </w:p>
        </w:tc>
        <w:tc>
          <w:tcPr>
            <w:tcW w:type="dxa" w:w="5040"/>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tcPr>
          <w:p>
            <w:pPr>
              <w:pStyle w:val="ListParagraph"/>
              <w:numPr>
                <w:ilvl w:val="0"/>
                <w:numId w:val="3"/>
              </w:numPr>
              <w:spacing w:after="30" w:before="30"/>
            </w:pPr>
            <w:r>
              <w:rPr>
                <w:rFonts w:ascii="Calibri" w:cs="Calibri" w:eastAsia="Calibri" w:hAnsi="Calibri"/>
                <w:b w:val="false"/>
                <w:bCs w:val="false"/>
                <w:i w:val="false"/>
                <w:iCs w:val="false"/>
                <w:color w:val="1F2937"/>
                <w:sz w:val="18"/>
                <w:szCs w:val="18"/>
              </w:rPr>
              <w:t xml:space="preserve">useAllCredentialTypes (MarketplaceEvent data source)</w:t>
            </w:r>
          </w:p>
          <w:p>
            <w:pPr>
              <w:pStyle w:val="ListParagraph"/>
              <w:numPr>
                <w:ilvl w:val="0"/>
                <w:numId w:val="3"/>
              </w:numPr>
              <w:spacing w:after="30" w:before="30"/>
            </w:pPr>
            <w:r>
              <w:rPr>
                <w:rFonts w:ascii="Calibri" w:cs="Calibri" w:eastAsia="Calibri" w:hAnsi="Calibri"/>
                <w:b w:val="false"/>
                <w:bCs w:val="false"/>
                <w:i w:val="false"/>
                <w:iCs w:val="false"/>
                <w:color w:val="1F2937"/>
                <w:sz w:val="18"/>
                <w:szCs w:val="18"/>
              </w:rPr>
              <w:t xml:space="preserve">useBreadcrumbLabel (breadcrumb label injection)</w:t>
            </w:r>
          </w:p>
          <w:p>
            <w:pPr>
              <w:pStyle w:val="ListParagraph"/>
              <w:numPr>
                <w:ilvl w:val="0"/>
                <w:numId w:val="3"/>
              </w:numPr>
              <w:spacing w:after="30" w:before="30"/>
            </w:pPr>
            <w:r>
              <w:rPr>
                <w:rFonts w:ascii="Calibri" w:cs="Calibri" w:eastAsia="Calibri" w:hAnsi="Calibri"/>
                <w:b w:val="false"/>
                <w:bCs w:val="false"/>
                <w:i w:val="false"/>
                <w:iCs w:val="false"/>
                <w:color w:val="1F2937"/>
                <w:sz w:val="18"/>
                <w:szCs w:val="18"/>
              </w:rPr>
              <w:t xml:space="preserve">nftExplorerUrl / ipfsToHttp / SKILL_LEVELS / CATEGORY_LABELS (@becp/shared)</w:t>
            </w:r>
          </w:p>
          <w:p>
            <w:pPr>
              <w:pStyle w:val="ListParagraph"/>
              <w:numPr>
                <w:ilvl w:val="0"/>
                <w:numId w:val="3"/>
              </w:numPr>
              <w:spacing w:after="30" w:before="30"/>
            </w:pPr>
            <w:r>
              <w:rPr>
                <w:rFonts w:ascii="Calibri" w:cs="Calibri" w:eastAsia="Calibri" w:hAnsi="Calibri"/>
                <w:b w:val="false"/>
                <w:bCs w:val="false"/>
                <w:i w:val="false"/>
                <w:iCs w:val="false"/>
                <w:color w:val="1F2937"/>
                <w:sz w:val="18"/>
                <w:szCs w:val="18"/>
              </w:rPr>
              <w:t xml:space="preserve">Card / Badge / Skeleton / Empty (ShadCN UI)</w:t>
            </w:r>
          </w:p>
          <w:p>
            <w:pPr>
              <w:pStyle w:val="ListParagraph"/>
              <w:numPr>
                <w:ilvl w:val="0"/>
                <w:numId w:val="3"/>
              </w:numPr>
              <w:spacing w:after="30" w:before="30"/>
            </w:pPr>
            <w:r>
              <w:rPr>
                <w:rFonts w:ascii="Calibri" w:cs="Calibri" w:eastAsia="Calibri" w:hAnsi="Calibri"/>
                <w:b w:val="false"/>
                <w:bCs w:val="false"/>
                <w:i w:val="false"/>
                <w:iCs w:val="false"/>
                <w:color w:val="1F2937"/>
                <w:sz w:val="18"/>
                <w:szCs w:val="18"/>
              </w:rPr>
              <w:t xml:space="preserve">events/page.tsx (navigates here on card click)</w:t>
            </w:r>
          </w:p>
        </w:tc>
      </w:tr>
    </w:tbl>
    <w:p>
      <w:pPr>
        <w:spacing w:after="60"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10080"/>
            <w:gridSpan w:val="2"/>
            <w:tcBorders>
              <w:top w:val="single" w:color="E94560" w:sz="1"/>
              <w:left w:val="single" w:color="E94560" w:sz="1"/>
              <w:bottom w:val="single" w:color="E94560" w:sz="1"/>
              <w:right w:val="single" w:color="E94560" w:sz="1"/>
            </w:tcBorders>
            <w:shd w:fill="1A1A2E" w:color="auto" w:val="clear"/>
            <w:tcMar>
              <w:top w:type="dxa" w:w="100"/>
              <w:left w:type="dxa" w:w="160"/>
              <w:bottom w:type="dxa" w:w="100"/>
              <w:right w:type="dxa" w:w="160"/>
            </w:tcMar>
            <w:vAlign w:val="center"/>
          </w:tcPr>
          <w:p>
            <w:r>
              <w:rPr>
                <w:rFonts w:ascii="Calibri" w:cs="Calibri" w:eastAsia="Calibri" w:hAnsi="Calibri"/>
                <w:b/>
                <w:bCs/>
                <w:i w:val="false"/>
                <w:iCs w:val="false"/>
                <w:color w:val="FFFFFF"/>
                <w:sz w:val="26"/>
                <w:szCs w:val="26"/>
              </w:rPr>
              <w:t xml:space="preserve">BreadcrumbLabelContext  ·  Context (Dynamic Breadcrumb Labelling)</w:t>
            </w:r>
          </w:p>
        </w:tc>
      </w:tr>
      <w:tr>
        <w:tc>
          <w:tcPr>
            <w:tcW w:type="dxa" w:w="5040"/>
            <w:tcBorders>
              <w:top w:val="single" w:color="C5CDE8" w:sz="1"/>
              <w:left w:val="single" w:color="C5CDE8" w:sz="1"/>
              <w:bottom w:val="single" w:color="C5CDE8" w:sz="1"/>
              <w:right w:val="single" w:color="C5CDE8" w:sz="1"/>
            </w:tcBorders>
            <w:shd w:fill="16213E"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Responsibilities</w:t>
            </w:r>
          </w:p>
        </w:tc>
        <w:tc>
          <w:tcPr>
            <w:tcW w:type="dxa" w:w="5040"/>
            <w:tcBorders>
              <w:top w:val="single" w:color="C5CDE8" w:sz="1"/>
              <w:left w:val="single" w:color="C5CDE8" w:sz="1"/>
              <w:bottom w:val="single" w:color="C5CDE8" w:sz="1"/>
              <w:right w:val="single" w:color="C5CDE8" w:sz="1"/>
            </w:tcBorders>
            <w:shd w:fill="16213E"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Collaborators</w:t>
            </w:r>
          </w:p>
        </w:tc>
      </w:tr>
      <w:tr>
        <w:tc>
          <w:tcPr>
            <w:tcW w:type="dxa" w:w="5040"/>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tcPr>
          <w:p>
            <w:pPr>
              <w:pStyle w:val="ListParagraph"/>
              <w:numPr>
                <w:ilvl w:val="0"/>
                <w:numId w:val="3"/>
              </w:numPr>
              <w:spacing w:after="30" w:before="30"/>
            </w:pPr>
            <w:r>
              <w:rPr>
                <w:rFonts w:ascii="Calibri" w:cs="Calibri" w:eastAsia="Calibri" w:hAnsi="Calibri"/>
                <w:b w:val="false"/>
                <w:bCs w:val="false"/>
                <w:i w:val="false"/>
                <w:iCs w:val="false"/>
                <w:color w:val="1F2937"/>
                <w:sz w:val="18"/>
                <w:szCs w:val="18"/>
              </w:rPr>
              <w:t xml:space="preserve">Provide a React context with leafLabel (string | null) and setLeafLabel setter</w:t>
            </w:r>
          </w:p>
          <w:p>
            <w:pPr>
              <w:pStyle w:val="ListParagraph"/>
              <w:numPr>
                <w:ilvl w:val="0"/>
                <w:numId w:val="3"/>
              </w:numPr>
              <w:spacing w:after="30" w:before="30"/>
            </w:pPr>
            <w:r>
              <w:rPr>
                <w:rFonts w:ascii="Calibri" w:cs="Calibri" w:eastAsia="Calibri" w:hAnsi="Calibri"/>
                <w:b w:val="false"/>
                <w:bCs w:val="false"/>
                <w:i w:val="false"/>
                <w:iCs w:val="false"/>
                <w:color w:val="1F2937"/>
                <w:sz w:val="18"/>
                <w:szCs w:val="18"/>
              </w:rPr>
              <w:t xml:space="preserve">Any page component can call useBreadcrumbLabel().setLeafLabel(name) to override the leaf segment of the breadcrumb shown in DashboardHeader</w:t>
            </w:r>
          </w:p>
          <w:p>
            <w:pPr>
              <w:pStyle w:val="ListParagraph"/>
              <w:numPr>
                <w:ilvl w:val="0"/>
                <w:numId w:val="3"/>
              </w:numPr>
              <w:spacing w:after="30" w:before="30"/>
            </w:pPr>
            <w:r>
              <w:rPr>
                <w:rFonts w:ascii="Calibri" w:cs="Calibri" w:eastAsia="Calibri" w:hAnsi="Calibri"/>
                <w:b w:val="false"/>
                <w:bCs w:val="false"/>
                <w:i w:val="false"/>
                <w:iCs w:val="false"/>
                <w:color w:val="1F2937"/>
                <w:sz w:val="18"/>
                <w:szCs w:val="18"/>
              </w:rPr>
              <w:t xml:space="preserve">DashboardHeader reads leafLabel and falls back to the path-derived segment label when null</w:t>
            </w:r>
          </w:p>
          <w:p>
            <w:pPr>
              <w:pStyle w:val="ListParagraph"/>
              <w:numPr>
                <w:ilvl w:val="0"/>
                <w:numId w:val="3"/>
              </w:numPr>
              <w:spacing w:after="30" w:before="30"/>
            </w:pPr>
            <w:r>
              <w:rPr>
                <w:rFonts w:ascii="Calibri" w:cs="Calibri" w:eastAsia="Calibri" w:hAnsi="Calibri"/>
                <w:b w:val="false"/>
                <w:bCs w:val="false"/>
                <w:i w:val="false"/>
                <w:iCs w:val="false"/>
                <w:color w:val="1F2937"/>
                <w:sz w:val="18"/>
                <w:szCs w:val="18"/>
              </w:rPr>
              <w:t xml:space="preserve">Eliminates the need to prop-drill dynamic names through the layout hierarchy for detail pages</w:t>
            </w:r>
          </w:p>
        </w:tc>
        <w:tc>
          <w:tcPr>
            <w:tcW w:type="dxa" w:w="5040"/>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tcPr>
          <w:p>
            <w:pPr>
              <w:pStyle w:val="ListParagraph"/>
              <w:numPr>
                <w:ilvl w:val="0"/>
                <w:numId w:val="3"/>
              </w:numPr>
              <w:spacing w:after="30" w:before="30"/>
            </w:pPr>
            <w:r>
              <w:rPr>
                <w:rFonts w:ascii="Calibri" w:cs="Calibri" w:eastAsia="Calibri" w:hAnsi="Calibri"/>
                <w:b w:val="false"/>
                <w:bCs w:val="false"/>
                <w:i w:val="false"/>
                <w:iCs w:val="false"/>
                <w:color w:val="1F2937"/>
                <w:sz w:val="18"/>
                <w:szCs w:val="18"/>
              </w:rPr>
              <w:t xml:space="preserve">frontend/components/ui/breadcrumb-label-context.tsx (context definition)</w:t>
            </w:r>
          </w:p>
          <w:p>
            <w:pPr>
              <w:pStyle w:val="ListParagraph"/>
              <w:numPr>
                <w:ilvl w:val="0"/>
                <w:numId w:val="3"/>
              </w:numPr>
              <w:spacing w:after="30" w:before="30"/>
            </w:pPr>
            <w:r>
              <w:rPr>
                <w:rFonts w:ascii="Calibri" w:cs="Calibri" w:eastAsia="Calibri" w:hAnsi="Calibri"/>
                <w:b w:val="false"/>
                <w:bCs w:val="false"/>
                <w:i w:val="false"/>
                <w:iCs w:val="false"/>
                <w:color w:val="1F2937"/>
                <w:sz w:val="18"/>
                <w:szCs w:val="18"/>
              </w:rPr>
              <w:t xml:space="preserve">events/[tokenId]/page.tsx (writes credential type name)</w:t>
            </w:r>
          </w:p>
          <w:p>
            <w:pPr>
              <w:pStyle w:val="ListParagraph"/>
              <w:numPr>
                <w:ilvl w:val="0"/>
                <w:numId w:val="3"/>
              </w:numPr>
              <w:spacing w:after="30" w:before="30"/>
            </w:pPr>
            <w:r>
              <w:rPr>
                <w:rFonts w:ascii="Calibri" w:cs="Calibri" w:eastAsia="Calibri" w:hAnsi="Calibri"/>
                <w:b w:val="false"/>
                <w:bCs w:val="false"/>
                <w:i w:val="false"/>
                <w:iCs w:val="false"/>
                <w:color w:val="1F2937"/>
                <w:sz w:val="18"/>
                <w:szCs w:val="18"/>
              </w:rPr>
              <w:t xml:space="preserve">DashboardHeader component (reads and renders label)</w:t>
            </w:r>
          </w:p>
        </w:tc>
      </w:tr>
    </w:tbl>
    <w:p>
      <w:pPr>
        <w:spacing w:after="60"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10080"/>
            <w:gridSpan w:val="2"/>
            <w:tcBorders>
              <w:top w:val="single" w:color="E94560" w:sz="1"/>
              <w:left w:val="single" w:color="E94560" w:sz="1"/>
              <w:bottom w:val="single" w:color="E94560" w:sz="1"/>
              <w:right w:val="single" w:color="E94560" w:sz="1"/>
            </w:tcBorders>
            <w:shd w:fill="1A1A2E" w:color="auto" w:val="clear"/>
            <w:tcMar>
              <w:top w:type="dxa" w:w="100"/>
              <w:left w:type="dxa" w:w="160"/>
              <w:bottom w:type="dxa" w:w="100"/>
              <w:right w:type="dxa" w:w="160"/>
            </w:tcMar>
            <w:vAlign w:val="center"/>
          </w:tcPr>
          <w:p>
            <w:r>
              <w:rPr>
                <w:rFonts w:ascii="Calibri" w:cs="Calibri" w:eastAsia="Calibri" w:hAnsi="Calibri"/>
                <w:b/>
                <w:bCs/>
                <w:i w:val="false"/>
                <w:iCs w:val="false"/>
                <w:color w:val="FFFFFF"/>
                <w:sz w:val="26"/>
                <w:szCs w:val="26"/>
              </w:rPr>
              <w:t xml:space="preserve">ACTIVE_CHAIN / nftExplorerUrl / addressExplorerUrl  ·  Shared Constants &amp; Helpers</w:t>
            </w:r>
          </w:p>
        </w:tc>
      </w:tr>
      <w:tr>
        <w:tc>
          <w:tcPr>
            <w:tcW w:type="dxa" w:w="5040"/>
            <w:tcBorders>
              <w:top w:val="single" w:color="C5CDE8" w:sz="1"/>
              <w:left w:val="single" w:color="C5CDE8" w:sz="1"/>
              <w:bottom w:val="single" w:color="C5CDE8" w:sz="1"/>
              <w:right w:val="single" w:color="C5CDE8" w:sz="1"/>
            </w:tcBorders>
            <w:shd w:fill="16213E"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Responsibilities</w:t>
            </w:r>
          </w:p>
        </w:tc>
        <w:tc>
          <w:tcPr>
            <w:tcW w:type="dxa" w:w="5040"/>
            <w:tcBorders>
              <w:top w:val="single" w:color="C5CDE8" w:sz="1"/>
              <w:left w:val="single" w:color="C5CDE8" w:sz="1"/>
              <w:bottom w:val="single" w:color="C5CDE8" w:sz="1"/>
              <w:right w:val="single" w:color="C5CDE8" w:sz="1"/>
            </w:tcBorders>
            <w:shd w:fill="16213E"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Collaborators</w:t>
            </w:r>
          </w:p>
        </w:tc>
      </w:tr>
      <w:tr>
        <w:tc>
          <w:tcPr>
            <w:tcW w:type="dxa" w:w="5040"/>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tcPr>
          <w:p>
            <w:pPr>
              <w:pStyle w:val="ListParagraph"/>
              <w:numPr>
                <w:ilvl w:val="0"/>
                <w:numId w:val="3"/>
              </w:numPr>
              <w:spacing w:after="30" w:before="30"/>
            </w:pPr>
            <w:r>
              <w:rPr>
                <w:rFonts w:ascii="Calibri" w:cs="Calibri" w:eastAsia="Calibri" w:hAnsi="Calibri"/>
                <w:b w:val="false"/>
                <w:bCs w:val="false"/>
                <w:i w:val="false"/>
                <w:iCs w:val="false"/>
                <w:color w:val="1F2937"/>
                <w:sz w:val="18"/>
                <w:szCs w:val="18"/>
              </w:rPr>
              <w:t xml:space="preserve">ACTIVE_CHAIN (shared/constants/index.ts): resolves to CHAIN.OP_SEPOLIA when NODE_ENV !== "production", CHAIN.OPTIMISM in production — the single switch point for the entire application at mainnet deploy time</w:t>
            </w:r>
          </w:p>
          <w:p>
            <w:pPr>
              <w:pStyle w:val="ListParagraph"/>
              <w:numPr>
                <w:ilvl w:val="0"/>
                <w:numId w:val="3"/>
              </w:numPr>
              <w:spacing w:after="30" w:before="30"/>
            </w:pPr>
            <w:r>
              <w:rPr>
                <w:rFonts w:ascii="Calibri" w:cs="Calibri" w:eastAsia="Calibri" w:hAnsi="Calibri"/>
                <w:b w:val="false"/>
                <w:bCs w:val="false"/>
                <w:i w:val="false"/>
                <w:iCs w:val="false"/>
                <w:color w:val="1F2937"/>
                <w:sz w:val="18"/>
                <w:szCs w:val="18"/>
              </w:rPr>
              <w:t xml:space="preserve">nftExplorerUrl(tokenId) (shared/contract/addresses.ts): builds {ACTIVE_CHAIN.blockExplorer}/nft/{contractAddress}/{tokenId} using the correct ERC-1155 token URL format</w:t>
            </w:r>
          </w:p>
          <w:p>
            <w:pPr>
              <w:pStyle w:val="ListParagraph"/>
              <w:numPr>
                <w:ilvl w:val="0"/>
                <w:numId w:val="3"/>
              </w:numPr>
              <w:spacing w:after="30" w:before="30"/>
            </w:pPr>
            <w:r>
              <w:rPr>
                <w:rFonts w:ascii="Calibri" w:cs="Calibri" w:eastAsia="Calibri" w:hAnsi="Calibri"/>
                <w:b w:val="false"/>
                <w:bCs w:val="false"/>
                <w:i w:val="false"/>
                <w:iCs w:val="false"/>
                <w:color w:val="1F2937"/>
                <w:sz w:val="18"/>
                <w:szCs w:val="18"/>
              </w:rPr>
              <w:t xml:space="preserve">addressExplorerUrl(address) (shared/contract/addresses.ts): builds {ACTIVE_CHAIN.blockExplorer}/address/{address}</w:t>
            </w:r>
          </w:p>
          <w:p>
            <w:pPr>
              <w:pStyle w:val="ListParagraph"/>
              <w:numPr>
                <w:ilvl w:val="0"/>
                <w:numId w:val="3"/>
              </w:numPr>
              <w:spacing w:after="30" w:before="30"/>
            </w:pPr>
            <w:r>
              <w:rPr>
                <w:rFonts w:ascii="Calibri" w:cs="Calibri" w:eastAsia="Calibri" w:hAnsi="Calibri"/>
                <w:b w:val="false"/>
                <w:bCs w:val="false"/>
                <w:i w:val="false"/>
                <w:iCs w:val="false"/>
                <w:color w:val="1F2937"/>
                <w:sz w:val="18"/>
                <w:szCs w:val="18"/>
              </w:rPr>
              <w:t xml:space="preserve">Both helpers call getContractAddress(ACTIVE_CHAIN.id) internally so the correct deployed contract address is always used without requiring it to be passed as an argument</w:t>
            </w:r>
          </w:p>
        </w:tc>
        <w:tc>
          <w:tcPr>
            <w:tcW w:type="dxa" w:w="5040"/>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tcPr>
          <w:p>
            <w:pPr>
              <w:pStyle w:val="ListParagraph"/>
              <w:numPr>
                <w:ilvl w:val="0"/>
                <w:numId w:val="3"/>
              </w:numPr>
              <w:spacing w:after="30" w:before="30"/>
            </w:pPr>
            <w:r>
              <w:rPr>
                <w:rFonts w:ascii="Calibri" w:cs="Calibri" w:eastAsia="Calibri" w:hAnsi="Calibri"/>
                <w:b w:val="false"/>
                <w:bCs w:val="false"/>
                <w:i w:val="false"/>
                <w:iCs w:val="false"/>
                <w:color w:val="1F2937"/>
                <w:sz w:val="18"/>
                <w:szCs w:val="18"/>
              </w:rPr>
              <w:t xml:space="preserve">shared/constants/index.ts (ACTIVE_CHAIN)</w:t>
            </w:r>
          </w:p>
          <w:p>
            <w:pPr>
              <w:pStyle w:val="ListParagraph"/>
              <w:numPr>
                <w:ilvl w:val="0"/>
                <w:numId w:val="3"/>
              </w:numPr>
              <w:spacing w:after="30" w:before="30"/>
            </w:pPr>
            <w:r>
              <w:rPr>
                <w:rFonts w:ascii="Calibri" w:cs="Calibri" w:eastAsia="Calibri" w:hAnsi="Calibri"/>
                <w:b w:val="false"/>
                <w:bCs w:val="false"/>
                <w:i w:val="false"/>
                <w:iCs w:val="false"/>
                <w:color w:val="1F2937"/>
                <w:sz w:val="18"/>
                <w:szCs w:val="18"/>
              </w:rPr>
              <w:t xml:space="preserve">shared/contract/addresses.ts (helper definitions)</w:t>
            </w:r>
          </w:p>
          <w:p>
            <w:pPr>
              <w:pStyle w:val="ListParagraph"/>
              <w:numPr>
                <w:ilvl w:val="0"/>
                <w:numId w:val="3"/>
              </w:numPr>
              <w:spacing w:after="30" w:before="30"/>
            </w:pPr>
            <w:r>
              <w:rPr>
                <w:rFonts w:ascii="Calibri" w:cs="Calibri" w:eastAsia="Calibri" w:hAnsi="Calibri"/>
                <w:b w:val="false"/>
                <w:bCs w:val="false"/>
                <w:i w:val="false"/>
                <w:iCs w:val="false"/>
                <w:color w:val="1F2937"/>
                <w:sz w:val="18"/>
                <w:szCs w:val="18"/>
              </w:rPr>
              <w:t xml:space="preserve">credential-card.tsx, events/[tokenId]/page.tsx, admin pages, organizer pages (consumers)</w:t>
            </w:r>
          </w:p>
        </w:tc>
      </w:tr>
    </w:tbl>
    <w:p>
      <w:pPr>
        <w:spacing w:after="60"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10080"/>
            <w:gridSpan w:val="2"/>
            <w:tcBorders>
              <w:top w:val="single" w:color="E94560" w:sz="1"/>
              <w:left w:val="single" w:color="E94560" w:sz="1"/>
              <w:bottom w:val="single" w:color="E94560" w:sz="1"/>
              <w:right w:val="single" w:color="E94560" w:sz="1"/>
            </w:tcBorders>
            <w:shd w:fill="1A1A2E" w:color="auto" w:val="clear"/>
            <w:tcMar>
              <w:top w:type="dxa" w:w="100"/>
              <w:left w:type="dxa" w:w="160"/>
              <w:bottom w:type="dxa" w:w="100"/>
              <w:right w:type="dxa" w:w="160"/>
            </w:tcMar>
            <w:vAlign w:val="center"/>
          </w:tcPr>
          <w:p>
            <w:r>
              <w:rPr>
                <w:rFonts w:ascii="Calibri" w:cs="Calibri" w:eastAsia="Calibri" w:hAnsi="Calibri"/>
                <w:b/>
                <w:bCs/>
                <w:i w:val="false"/>
                <w:iCs w:val="false"/>
                <w:color w:val="FFFFFF"/>
                <w:sz w:val="26"/>
                <w:szCs w:val="26"/>
              </w:rPr>
              <w:t xml:space="preserve">organizer/profile + admin/profile  ·  Pages (Role Profile)</w:t>
            </w:r>
          </w:p>
        </w:tc>
      </w:tr>
      <w:tr>
        <w:tc>
          <w:tcPr>
            <w:tcW w:type="dxa" w:w="5040"/>
            <w:tcBorders>
              <w:top w:val="single" w:color="C5CDE8" w:sz="1"/>
              <w:left w:val="single" w:color="C5CDE8" w:sz="1"/>
              <w:bottom w:val="single" w:color="C5CDE8" w:sz="1"/>
              <w:right w:val="single" w:color="C5CDE8" w:sz="1"/>
            </w:tcBorders>
            <w:shd w:fill="16213E"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Responsibilities</w:t>
            </w:r>
          </w:p>
        </w:tc>
        <w:tc>
          <w:tcPr>
            <w:tcW w:type="dxa" w:w="5040"/>
            <w:tcBorders>
              <w:top w:val="single" w:color="C5CDE8" w:sz="1"/>
              <w:left w:val="single" w:color="C5CDE8" w:sz="1"/>
              <w:bottom w:val="single" w:color="C5CDE8" w:sz="1"/>
              <w:right w:val="single" w:color="C5CDE8" w:sz="1"/>
            </w:tcBorders>
            <w:shd w:fill="16213E"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Collaborators</w:t>
            </w:r>
          </w:p>
        </w:tc>
      </w:tr>
      <w:tr>
        <w:tc>
          <w:tcPr>
            <w:tcW w:type="dxa" w:w="5040"/>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tcPr>
          <w:p>
            <w:pPr>
              <w:pStyle w:val="ListParagraph"/>
              <w:numPr>
                <w:ilvl w:val="0"/>
                <w:numId w:val="3"/>
              </w:numPr>
              <w:spacing w:after="30" w:before="30"/>
            </w:pPr>
            <w:r>
              <w:rPr>
                <w:rFonts w:ascii="Calibri" w:cs="Calibri" w:eastAsia="Calibri" w:hAnsi="Calibri"/>
                <w:b w:val="false"/>
                <w:bCs w:val="false"/>
                <w:i w:val="false"/>
                <w:iCs w:val="false"/>
                <w:color w:val="1F2937"/>
                <w:sz w:val="18"/>
                <w:szCs w:val="18"/>
              </w:rPr>
              <w:t xml:space="preserve">Render a display name edit form for the organizer and university admin roles — each page uses the existing useStudentProfile hook for data fetching and mutation, and TanStack Form for field management; no new hook, API route, or database column required</w:t>
            </w:r>
          </w:p>
          <w:p>
            <w:pPr>
              <w:pStyle w:val="ListParagraph"/>
              <w:numPr>
                <w:ilvl w:val="0"/>
                <w:numId w:val="3"/>
              </w:numPr>
              <w:spacing w:after="30" w:before="30"/>
            </w:pPr>
            <w:r>
              <w:rPr>
                <w:rFonts w:ascii="Calibri" w:cs="Calibri" w:eastAsia="Calibri" w:hAnsi="Calibri"/>
                <w:b w:val="false"/>
                <w:bCs w:val="false"/>
                <w:i w:val="false"/>
                <w:iCs w:val="false"/>
                <w:color w:val="1F2937"/>
                <w:sz w:val="18"/>
                <w:szCs w:val="18"/>
              </w:rPr>
              <w:t xml:space="preserve">Show a read-only wallet address field (identical to the student profile page pattern)</w:t>
            </w:r>
          </w:p>
          <w:p>
            <w:pPr>
              <w:pStyle w:val="ListParagraph"/>
              <w:numPr>
                <w:ilvl w:val="0"/>
                <w:numId w:val="3"/>
              </w:numPr>
              <w:spacing w:after="30" w:before="30"/>
            </w:pPr>
            <w:r>
              <w:rPr>
                <w:rFonts w:ascii="Calibri" w:cs="Calibri" w:eastAsia="Calibri" w:hAnsi="Calibri"/>
                <w:b w:val="false"/>
                <w:bCs w:val="false"/>
                <w:i w:val="false"/>
                <w:iCs w:val="false"/>
                <w:color w:val="1F2937"/>
                <w:sz w:val="18"/>
                <w:szCs w:val="18"/>
              </w:rPr>
              <w:t xml:space="preserve">Save button enabled only when the form is dirty; shows an "Up to date" indicator when clean</w:t>
            </w:r>
          </w:p>
          <w:p>
            <w:pPr>
              <w:pStyle w:val="ListParagraph"/>
              <w:numPr>
                <w:ilvl w:val="0"/>
                <w:numId w:val="3"/>
              </w:numPr>
              <w:spacing w:after="30" w:before="30"/>
            </w:pPr>
            <w:r>
              <w:rPr>
                <w:rFonts w:ascii="Calibri" w:cs="Calibri" w:eastAsia="Calibri" w:hAnsi="Calibri"/>
                <w:b w:val="false"/>
                <w:bCs w:val="false"/>
                <w:i w:val="false"/>
                <w:iCs w:val="false"/>
                <w:color w:val="1F2937"/>
                <w:sz w:val="18"/>
                <w:szCs w:val="18"/>
              </w:rPr>
              <w:t xml:space="preserve">Add "Profile" navigation entries to the organizer sidebar and the admin sidebar</w:t>
            </w:r>
          </w:p>
        </w:tc>
        <w:tc>
          <w:tcPr>
            <w:tcW w:type="dxa" w:w="5040"/>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tcPr>
          <w:p>
            <w:pPr>
              <w:pStyle w:val="ListParagraph"/>
              <w:numPr>
                <w:ilvl w:val="0"/>
                <w:numId w:val="3"/>
              </w:numPr>
              <w:spacing w:after="30" w:before="30"/>
            </w:pPr>
            <w:r>
              <w:rPr>
                <w:rFonts w:ascii="Calibri" w:cs="Calibri" w:eastAsia="Calibri" w:hAnsi="Calibri"/>
                <w:b w:val="false"/>
                <w:bCs w:val="false"/>
                <w:i w:val="false"/>
                <w:iCs w:val="false"/>
                <w:color w:val="1F2937"/>
                <w:sz w:val="18"/>
                <w:szCs w:val="18"/>
              </w:rPr>
              <w:t xml:space="preserve">useStudentProfile (profile data + saveProfile mutation)</w:t>
            </w:r>
          </w:p>
          <w:p>
            <w:pPr>
              <w:pStyle w:val="ListParagraph"/>
              <w:numPr>
                <w:ilvl w:val="0"/>
                <w:numId w:val="3"/>
              </w:numPr>
              <w:spacing w:after="30" w:before="30"/>
            </w:pPr>
            <w:r>
              <w:rPr>
                <w:rFonts w:ascii="Calibri" w:cs="Calibri" w:eastAsia="Calibri" w:hAnsi="Calibri"/>
                <w:b w:val="false"/>
                <w:bCs w:val="false"/>
                <w:i w:val="false"/>
                <w:iCs w:val="false"/>
                <w:color w:val="1F2937"/>
                <w:sz w:val="18"/>
                <w:szCs w:val="18"/>
              </w:rPr>
              <w:t xml:space="preserve">TanStack Form useForm (field management)</w:t>
            </w:r>
          </w:p>
          <w:p>
            <w:pPr>
              <w:pStyle w:val="ListParagraph"/>
              <w:numPr>
                <w:ilvl w:val="0"/>
                <w:numId w:val="3"/>
              </w:numPr>
              <w:spacing w:after="30" w:before="30"/>
            </w:pPr>
            <w:r>
              <w:rPr>
                <w:rFonts w:ascii="Calibri" w:cs="Calibri" w:eastAsia="Calibri" w:hAnsi="Calibri"/>
                <w:b w:val="false"/>
                <w:bCs w:val="false"/>
                <w:i w:val="false"/>
                <w:iCs w:val="false"/>
                <w:color w:val="1F2937"/>
                <w:sz w:val="18"/>
                <w:szCs w:val="18"/>
              </w:rPr>
              <w:t xml:space="preserve">organizer-sidebar.tsx, admin-sidebar.tsx (navigation entries added)</w:t>
            </w:r>
          </w:p>
          <w:p>
            <w:pPr>
              <w:pStyle w:val="ListParagraph"/>
              <w:numPr>
                <w:ilvl w:val="0"/>
                <w:numId w:val="3"/>
              </w:numPr>
              <w:spacing w:after="30" w:before="30"/>
            </w:pPr>
            <w:r>
              <w:rPr>
                <w:rFonts w:ascii="Calibri" w:cs="Calibri" w:eastAsia="Calibri" w:hAnsi="Calibri"/>
                <w:b w:val="false"/>
                <w:bCs w:val="false"/>
                <w:i w:val="false"/>
                <w:iCs w:val="false"/>
                <w:color w:val="1F2937"/>
                <w:sz w:val="18"/>
                <w:szCs w:val="18"/>
              </w:rPr>
              <w:t xml:space="preserve">PageHeader / Card / Field / Input / Button (ShadCN UI)</w:t>
            </w:r>
          </w:p>
        </w:tc>
      </w:tr>
    </w:tbl>
    <w:p>
      <w:pPr>
        <w:spacing w:after="60" w:before="6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CDE8" w:sz="4" w:space="4"/>
      </w:pBdr>
      <w:tabs>
        <w:tab w:val="right" w:pos="9026"/>
      </w:tabs>
      <w:spacing w:after="0" w:before="120"/>
    </w:pPr>
    <w:r>
      <w:rPr>
        <w:rFonts w:ascii="Calibri" w:cs="Calibri" w:eastAsia="Calibri" w:hAnsi="Calibri"/>
        <w:b w:val="false"/>
        <w:bCs w:val="false"/>
        <w:i w:val="false"/>
        <w:iCs w:val="false"/>
        <w:color w:val="6B7280"/>
        <w:sz w:val="16"/>
        <w:szCs w:val="16"/>
      </w:rPr>
      <w:t xml:space="preserve">Release 5 — Phase 4  ·  April 2026</w:t>
    </w:r>
    <w:r>
      <w:rPr>
        <w:rFonts w:ascii="Calibri" w:cs="Calibri" w:eastAsia="Calibri" w:hAnsi="Calibri"/>
        <w:b w:val="false"/>
        <w:bCs w:val="false"/>
        <w:i w:val="false"/>
        <w:iCs w:val="false"/>
        <w:color w:val="6B7280"/>
        <w:sz w:val="16"/>
        <w:szCs w:val="16"/>
      </w:rPr>
      <w:t xml:space="preserve">	Page </w:t>
    </w:r>
    <w:r>
      <w:rPr>
        <w:rFonts w:ascii="Calibri" w:cs="Calibri" w:eastAsia="Calibri" w:hAnsi="Calibri"/>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94560" w:sz="4" w:space="4"/>
      </w:pBdr>
      <w:spacing w:after="120" w:before="0"/>
    </w:pPr>
    <w:r>
      <w:rPr>
        <w:rFonts w:ascii="Calibri" w:cs="Calibri" w:eastAsia="Calibri" w:hAnsi="Calibri"/>
        <w:b w:val="false"/>
        <w:bCs w:val="false"/>
        <w:i w:val="false"/>
        <w:iCs w:val="false"/>
        <w:color w:val="6B7280"/>
        <w:sz w:val="16"/>
        <w:szCs w:val="16"/>
      </w:rPr>
      <w:t xml:space="preserve">BECP — XP Development Artifacts  ·  TP075129  ·  APU BSc Software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4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A1A2E"/>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0F346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2026-04-22T15:50:11.776Z</dcterms:created>
  <dcterms:modified xsi:type="dcterms:W3CDTF">2026-04-22T15:50:11.777Z</dcterms:modified>
</cp:coreProperties>
</file>

<file path=docProps/custom.xml><?xml version="1.0" encoding="utf-8"?>
<Properties xmlns="http://schemas.openxmlformats.org/officeDocument/2006/custom-properties" xmlns:vt="http://schemas.openxmlformats.org/officeDocument/2006/docPropsVTypes"/>
</file>