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Calibri" w:cs="Calibri" w:eastAsia="Calibri" w:hAnsi="Calibri"/>
          <w:b/>
          <w:bCs/>
          <w:color w:val="0A1628"/>
          <w:sz w:val="52"/>
          <w:szCs w:val="52"/>
        </w:rPr>
        <w:t xml:space="preserve">Ted Summey, CISSP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0D7377"/>
          <w:sz w:val="24"/>
          <w:szCs w:val="24"/>
        </w:rPr>
        <w:t xml:space="preserve">Cybersecurity Executive  |  Technical Architect  |  Federal &amp; Enterprise Leader</w:t>
      </w:r>
    </w:p>
    <w:p>
      <w:pPr>
        <w:spacing w:after="160" w:before="0"/>
      </w:pPr>
      <w:r>
        <w:rPr>
          <w:rFonts w:ascii="Calibri" w:cs="Calibri" w:eastAsia="Calibri" w:hAnsi="Calibri"/>
          <w:color w:val="475569"/>
          <w:sz w:val="18"/>
          <w:szCs w:val="18"/>
        </w:rPr>
        <w:t xml:space="preserve">tsummey@tsummey.com</w:t>
      </w:r>
      <w:r>
        <w:rPr>
          <w:rFonts w:ascii="Calibri" w:cs="Calibri" w:eastAsia="Calibri" w:hAnsi="Calibri"/>
          <w:color w:val="94A3B8"/>
          <w:sz w:val="18"/>
          <w:szCs w:val="18"/>
        </w:rPr>
        <w:t xml:space="preserve">   •   </w:t>
      </w:r>
      <w:r>
        <w:rPr>
          <w:rFonts w:ascii="Calibri" w:cs="Calibri" w:eastAsia="Calibri" w:hAnsi="Calibri"/>
          <w:color w:val="475569"/>
          <w:sz w:val="18"/>
          <w:szCs w:val="18"/>
        </w:rPr>
        <w:t xml:space="preserve">+1 574-780-0857</w:t>
      </w:r>
      <w:r>
        <w:rPr>
          <w:rFonts w:ascii="Calibri" w:cs="Calibri" w:eastAsia="Calibri" w:hAnsi="Calibri"/>
          <w:color w:val="94A3B8"/>
          <w:sz w:val="18"/>
          <w:szCs w:val="18"/>
        </w:rPr>
        <w:t xml:space="preserve">   •   </w:t>
      </w:r>
      <w:hyperlink w:history="1" r:id="rIdpxdico1gt4_v_a3kmultv">
        <w:r>
          <w:rPr>
            <w:rFonts w:ascii="Calibri" w:cs="Calibri" w:eastAsia="Calibri" w:hAnsi="Calibri"/>
            <w:color w:val="0D7377"/>
            <w:sz w:val="18"/>
            <w:szCs w:val="18"/>
            <w:u w:val="single"/>
          </w:rPr>
          <w:t xml:space="preserve">linkedin.com/in/tedsummey</w:t>
        </w:r>
      </w:hyperlink>
      <w:r>
        <w:rPr>
          <w:rFonts w:ascii="Calibri" w:cs="Calibri" w:eastAsia="Calibri" w:hAnsi="Calibri"/>
          <w:color w:val="94A3B8"/>
          <w:sz w:val="18"/>
          <w:szCs w:val="18"/>
        </w:rPr>
        <w:t xml:space="preserve">   •   </w:t>
      </w:r>
      <w:hyperlink w:history="1" r:id="rIdiwds_o-kfjlmge1x8rund">
        <w:r>
          <w:rPr>
            <w:rFonts w:ascii="Calibri" w:cs="Calibri" w:eastAsia="Calibri" w:hAnsi="Calibri"/>
            <w:color w:val="0D7377"/>
            <w:sz w:val="18"/>
            <w:szCs w:val="18"/>
            <w:u w:val="single"/>
          </w:rPr>
          <w:t xml:space="preserve">github.com/tsummey</w:t>
        </w:r>
      </w:hyperlink>
      <w:r>
        <w:rPr>
          <w:rFonts w:ascii="Calibri" w:cs="Calibri" w:eastAsia="Calibri" w:hAnsi="Calibri"/>
          <w:color w:val="94A3B8"/>
          <w:sz w:val="18"/>
          <w:szCs w:val="18"/>
        </w:rPr>
        <w:t xml:space="preserve">   •   </w:t>
      </w:r>
      <w:r>
        <w:rPr>
          <w:rFonts w:ascii="Calibri" w:cs="Calibri" w:eastAsia="Calibri" w:hAnsi="Calibri"/>
          <w:color w:val="475569"/>
          <w:sz w:val="18"/>
          <w:szCs w:val="18"/>
        </w:rPr>
        <w:t xml:space="preserve">Knoxville, TN</w:t>
      </w:r>
    </w:p>
    <w:p>
      <w:pPr>
        <w:pBdr>
          <w:bottom w:val="single" w:color="0D7377" w:sz="12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CAREER HIGHLIGHTS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19"/>
          <w:szCs w:val="19"/>
        </w:rPr>
        <w:t xml:space="preserve">Reduced ransomware incidents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85% in 6 months</w:t>
      </w:r>
      <w:r>
        <w:rPr>
          <w:rFonts w:ascii="Calibri" w:cs="Calibri" w:eastAsia="Calibri" w:hAnsi="Calibri"/>
          <w:sz w:val="19"/>
          <w:szCs w:val="19"/>
        </w:rPr>
        <w:t xml:space="preserve"> at Vidant Health — directly rebuilt SOC operations, IR playbooks, and network segmentation.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19"/>
          <w:szCs w:val="19"/>
        </w:rPr>
        <w:t xml:space="preserve">Eliminated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$287K in annual overhead</w:t>
      </w:r>
      <w:r>
        <w:rPr>
          <w:rFonts w:ascii="Calibri" w:cs="Calibri" w:eastAsia="Calibri" w:hAnsi="Calibri"/>
          <w:sz w:val="19"/>
          <w:szCs w:val="19"/>
        </w:rPr>
        <w:t xml:space="preserve"> at Walgreens through hands-on process rationalization and tool consolidation as a Trustwave advisor.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19"/>
          <w:szCs w:val="19"/>
        </w:rPr>
        <w:t xml:space="preserve">Cut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$12K/month in AWS spend</w:t>
      </w:r>
      <w:r>
        <w:rPr>
          <w:rFonts w:ascii="Calibri" w:cs="Calibri" w:eastAsia="Calibri" w:hAnsi="Calibri"/>
          <w:sz w:val="19"/>
          <w:szCs w:val="19"/>
        </w:rPr>
        <w:t xml:space="preserve"> and reduced SIEM ingestion by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300%</w:t>
      </w:r>
      <w:r>
        <w:rPr>
          <w:rFonts w:ascii="Calibri" w:cs="Calibri" w:eastAsia="Calibri" w:hAnsi="Calibri"/>
          <w:sz w:val="19"/>
          <w:szCs w:val="19"/>
        </w:rPr>
        <w:t xml:space="preserve"> at Verizon through architecture redesign of the MXDR platform.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sz w:val="19"/>
          <w:szCs w:val="19"/>
        </w:rPr>
        <w:t xml:space="preserve">Embedded in SNCTC fusion center alongside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FBI, DHS, Treasury, DOE, and TSA</w:t>
      </w:r>
      <w:r>
        <w:rPr>
          <w:rFonts w:ascii="Calibri" w:cs="Calibri" w:eastAsia="Calibri" w:hAnsi="Calibri"/>
          <w:sz w:val="19"/>
          <w:szCs w:val="19"/>
        </w:rPr>
        <w:t xml:space="preserve"> — delivered national-level cyber threat advisories via HSIN.</w:t>
      </w:r>
    </w:p>
    <w:p>
      <w:pPr>
        <w:pStyle w:val="ListParagraph"/>
        <w:numPr>
          <w:ilvl w:val="0"/>
          <w:numId w:val="2"/>
        </w:numPr>
        <w:spacing w:after="60" w:before="30"/>
      </w:pPr>
      <w:r>
        <w:rPr>
          <w:rFonts w:ascii="Calibri" w:cs="Calibri" w:eastAsia="Calibri" w:hAnsi="Calibri"/>
          <w:sz w:val="19"/>
          <w:szCs w:val="19"/>
        </w:rPr>
        <w:t xml:space="preserve">Personally deployed SIEM across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14,400+ endpoints</w:t>
      </w:r>
      <w:r>
        <w:rPr>
          <w:rFonts w:ascii="Calibri" w:cs="Calibri" w:eastAsia="Calibri" w:hAnsi="Calibri"/>
          <w:sz w:val="19"/>
          <w:szCs w:val="19"/>
        </w:rPr>
        <w:t xml:space="preserve">; built GenAI + Sentinel SOC automation workflows that materially reduced analyst triage time.</w:t>
      </w:r>
    </w:p>
    <w:p>
      <w:pPr>
        <w:pBdr>
          <w:bottom w:val="single" w:color="0D7377" w:sz="12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PROFESSIONAL EXPERIENCE</w:t>
      </w:r>
    </w:p>
    <w:p>
      <w:pPr>
        <w:tabs>
          <w:tab w:val="right" w:pos="10080"/>
        </w:tabs>
        <w:spacing w:after="30" w:before="14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Palo Alto Networks</w:t>
      </w:r>
      <w:r>
        <w:rPr>
          <w:rFonts w:ascii="Calibri" w:cs="Calibri" w:eastAsia="Calibri" w:hAnsi="Calibri"/>
          <w:color w:val="94A3B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Security Engineer / Specialist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94A3B8"/>
          <w:sz w:val="18"/>
          <w:szCs w:val="18"/>
        </w:rPr>
        <w:t xml:space="preserve">2025 – Present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Calibri" w:cs="Calibri" w:eastAsia="Calibri" w:hAnsi="Calibri"/>
          <w:sz w:val="19"/>
          <w:szCs w:val="19"/>
        </w:rPr>
        <w:t xml:space="preserve">Architect and deploy Cortex XSIAM and XSOAR solutions for enterprise and federal accounts; translate complex platform capability into field-ready security operations.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Calibri" w:cs="Calibri" w:eastAsia="Calibri" w:hAnsi="Calibri"/>
          <w:sz w:val="19"/>
          <w:szCs w:val="19"/>
        </w:rPr>
        <w:t xml:space="preserve">Bridge customer requirements to product teams, accelerating feature adoption and reducing time-to-value for SOC modernization engagements.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Calibri" w:cs="Calibri" w:eastAsia="Calibri" w:hAnsi="Calibri"/>
          <w:sz w:val="19"/>
          <w:szCs w:val="19"/>
        </w:rPr>
        <w:t xml:space="preserve">Operate as a hands-on technical resource throughout the full sales and delivery cycle — from discovery through production deployment.</w:t>
      </w:r>
    </w:p>
    <w:p>
      <w:pPr>
        <w:tabs>
          <w:tab w:val="right" w:pos="10080"/>
        </w:tabs>
        <w:spacing w:after="30" w:before="14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Verizon</w:t>
      </w:r>
      <w:r>
        <w:rPr>
          <w:rFonts w:ascii="Calibri" w:cs="Calibri" w:eastAsia="Calibri" w:hAnsi="Calibri"/>
          <w:color w:val="94A3B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Senior Security Architect  |  MXDR Product Lead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94A3B8"/>
          <w:sz w:val="18"/>
          <w:szCs w:val="18"/>
        </w:rPr>
        <w:t xml:space="preserve">2022 – 2025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Calibri" w:cs="Calibri" w:eastAsia="Calibri" w:hAnsi="Calibri"/>
          <w:sz w:val="19"/>
          <w:szCs w:val="19"/>
        </w:rPr>
        <w:t xml:space="preserve">Led product innovation and technical architecture for Verizon's Managed Extended Detection &amp; Response (MXDR) platform serving mid-market and enterprise clients.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Calibri" w:cs="Calibri" w:eastAsia="Calibri" w:hAnsi="Calibri"/>
          <w:sz w:val="19"/>
          <w:szCs w:val="19"/>
        </w:rPr>
        <w:t xml:space="preserve">Redesigned cloud infrastructure, cutting AWS spend by $12K/month; restructured log ingestion pipeline, reducing SIEM volume by 300% without detection loss.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Calibri" w:cs="Calibri" w:eastAsia="Calibri" w:hAnsi="Calibri"/>
          <w:sz w:val="19"/>
          <w:szCs w:val="19"/>
        </w:rPr>
        <w:t xml:space="preserve">Built GenAI-powered triage automation with Microsoft Sentinel, reducing analyst mean time to respond and enabling the SOC to scale without headcount growth.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Calibri" w:cs="Calibri" w:eastAsia="Calibri" w:hAnsi="Calibri"/>
          <w:sz w:val="19"/>
          <w:szCs w:val="19"/>
        </w:rPr>
        <w:t xml:space="preserve">Authored technical playbooks and detection engineering content adopted across the MXDR delivery organization.</w:t>
      </w:r>
    </w:p>
    <w:p>
      <w:pPr>
        <w:tabs>
          <w:tab w:val="right" w:pos="10080"/>
        </w:tabs>
        <w:spacing w:after="30" w:before="14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ZeroFOX  |  CyberClan</w:t>
      </w:r>
      <w:r>
        <w:rPr>
          <w:rFonts w:ascii="Calibri" w:cs="Calibri" w:eastAsia="Calibri" w:hAnsi="Calibri"/>
          <w:color w:val="94A3B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Senior Security Engineer  |  MDR Specialist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94A3B8"/>
          <w:sz w:val="18"/>
          <w:szCs w:val="18"/>
        </w:rPr>
        <w:t xml:space="preserve">2020 – 2022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Calibri" w:cs="Calibri" w:eastAsia="Calibri" w:hAnsi="Calibri"/>
          <w:sz w:val="19"/>
          <w:szCs w:val="19"/>
        </w:rPr>
        <w:t xml:space="preserve">Drove MDR and digital risk protection technical strategy for law enforcement, financial services, and federal sector clients.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Calibri" w:cs="Calibri" w:eastAsia="Calibri" w:hAnsi="Calibri"/>
          <w:sz w:val="19"/>
          <w:szCs w:val="19"/>
        </w:rPr>
        <w:t xml:space="preserve">Personally embedded in the Southern Nevada Counterterrorism Center (SNCTC) fusion center — collaborated with FBI, DHS, Treasury, DOE, and TSA analysts on active cyber threat monitoring and disseminated advisories via the Homeland Security Information Network (HSIN).</w:t>
      </w:r>
    </w:p>
    <w:p>
      <w:pPr>
        <w:tabs>
          <w:tab w:val="right" w:pos="10080"/>
        </w:tabs>
        <w:spacing w:after="30" w:before="14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BlueVoyant</w:t>
      </w:r>
      <w:r>
        <w:rPr>
          <w:rFonts w:ascii="Calibri" w:cs="Calibri" w:eastAsia="Calibri" w:hAnsi="Calibri"/>
          <w:color w:val="94A3B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Director / VP, Americas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94A3B8"/>
          <w:sz w:val="18"/>
          <w:szCs w:val="18"/>
        </w:rPr>
        <w:t xml:space="preserve">2018 – 2020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Calibri" w:cs="Calibri" w:eastAsia="Calibri" w:hAnsi="Calibri"/>
          <w:sz w:val="19"/>
          <w:szCs w:val="19"/>
        </w:rPr>
        <w:t xml:space="preserve">Directed Americas security operations: managed three regional managers and 15+ security engineers with full P&amp;L responsibility.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Calibri" w:cs="Calibri" w:eastAsia="Calibri" w:hAnsi="Calibri"/>
          <w:sz w:val="19"/>
          <w:szCs w:val="19"/>
        </w:rPr>
        <w:t xml:space="preserve">Advised boards and C-suites at financial services, healthcare, and government organizations on program risk, security architecture, and vendor strategy.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Calibri" w:cs="Calibri" w:eastAsia="Calibri" w:hAnsi="Calibri"/>
          <w:sz w:val="19"/>
          <w:szCs w:val="19"/>
        </w:rPr>
        <w:t xml:space="preserve">Scaled MDR client base across three verticals; established go-to-market technical framework adopted by the global sales organization.</w:t>
      </w:r>
    </w:p>
    <w:p>
      <w:pPr>
        <w:tabs>
          <w:tab w:val="right" w:pos="10080"/>
        </w:tabs>
        <w:spacing w:after="30" w:before="14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LookingGlass Cyber Solutions</w:t>
      </w:r>
      <w:r>
        <w:rPr>
          <w:rFonts w:ascii="Calibri" w:cs="Calibri" w:eastAsia="Calibri" w:hAnsi="Calibri"/>
          <w:color w:val="94A3B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Senior Solutions Engineer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94A3B8"/>
          <w:sz w:val="18"/>
          <w:szCs w:val="18"/>
        </w:rPr>
        <w:t xml:space="preserve">2016 – 2018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Calibri" w:cs="Calibri" w:eastAsia="Calibri" w:hAnsi="Calibri"/>
          <w:sz w:val="19"/>
          <w:szCs w:val="19"/>
        </w:rPr>
        <w:t xml:space="preserve">Accompanied CEO to MENA ISC Saudi Arabia; led technical positioning that closed the company's first international federal contract.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Calibri" w:cs="Calibri" w:eastAsia="Calibri" w:hAnsi="Calibri"/>
          <w:sz w:val="19"/>
          <w:szCs w:val="19"/>
        </w:rPr>
        <w:t xml:space="preserve">Developed GTM strategy and delivered technical briefings to DoD, IRS, DHS, Secret Service, and allied intelligence community stakeholders.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Calibri" w:cs="Calibri" w:eastAsia="Calibri" w:hAnsi="Calibri"/>
          <w:sz w:val="19"/>
          <w:szCs w:val="19"/>
        </w:rPr>
        <w:t xml:space="preserve">Positioned threat intelligence and attack surface management solutions through federal acquisition cycles; authored responses to RFIs and RFPs.</w:t>
      </w:r>
    </w:p>
    <w:p>
      <w:pPr>
        <w:tabs>
          <w:tab w:val="right" w:pos="10080"/>
        </w:tabs>
        <w:spacing w:after="30" w:before="14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Vidant Health</w:t>
      </w:r>
      <w:r>
        <w:rPr>
          <w:rFonts w:ascii="Calibri" w:cs="Calibri" w:eastAsia="Calibri" w:hAnsi="Calibri"/>
          <w:color w:val="94A3B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Security Manager / Director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94A3B8"/>
          <w:sz w:val="18"/>
          <w:szCs w:val="18"/>
        </w:rPr>
        <w:t xml:space="preserve">2015 – 2017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Calibri" w:cs="Calibri" w:eastAsia="Calibri" w:hAnsi="Calibri"/>
          <w:sz w:val="19"/>
          <w:szCs w:val="19"/>
        </w:rPr>
        <w:t xml:space="preserve">Directed SOC, incident response, and security architecture across three departments for a major regional healthcare system.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Calibri" w:cs="Calibri" w:eastAsia="Calibri" w:hAnsi="Calibri"/>
          <w:sz w:val="19"/>
          <w:szCs w:val="19"/>
        </w:rPr>
        <w:t xml:space="preserve">Reduced ransomware incidents 85% within 6 months by personally rebuilding detection rules, IR procedures, and network segmentation strategy.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Calibri" w:cs="Calibri" w:eastAsia="Calibri" w:hAnsi="Calibri"/>
          <w:sz w:val="19"/>
          <w:szCs w:val="19"/>
        </w:rPr>
        <w:t xml:space="preserve">Implemented endpoint controls, security monitoring, and compliance frameworks under HIPAA/HITECH requirements.</w:t>
      </w:r>
    </w:p>
    <w:p>
      <w:pPr>
        <w:tabs>
          <w:tab w:val="right" w:pos="10080"/>
        </w:tabs>
        <w:spacing w:after="30" w:before="14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Trustwave</w:t>
      </w:r>
      <w:r>
        <w:rPr>
          <w:rFonts w:ascii="Calibri" w:cs="Calibri" w:eastAsia="Calibri" w:hAnsi="Calibri"/>
          <w:color w:val="94A3B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Senior Security Engineer &amp; Advisory Consultant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94A3B8"/>
          <w:sz w:val="18"/>
          <w:szCs w:val="18"/>
        </w:rPr>
        <w:t xml:space="preserve">2012 – 2015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Calibri" w:cs="Calibri" w:eastAsia="Calibri" w:hAnsi="Calibri"/>
          <w:sz w:val="19"/>
          <w:szCs w:val="19"/>
        </w:rPr>
        <w:t xml:space="preserve">Advised Fortune 500 clients including Sony, Disney, Wells Fargo, and Walgreens on security program maturity, architecture, and risk remediation.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Calibri" w:cs="Calibri" w:eastAsia="Calibri" w:hAnsi="Calibri"/>
          <w:sz w:val="19"/>
          <w:szCs w:val="19"/>
        </w:rPr>
        <w:t xml:space="preserve">Personally identified and eliminated $287K in annual overhead at Walgreens through tooling rationalization and process redesign.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Calibri" w:cs="Calibri" w:eastAsia="Calibri" w:hAnsi="Calibri"/>
          <w:sz w:val="19"/>
          <w:szCs w:val="19"/>
        </w:rPr>
        <w:t xml:space="preserve">Protected Caesars Entertainment during DEF CON and World Series of Poker via continuous active threat monitoring and incident response readiness.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Calibri" w:cs="Calibri" w:eastAsia="Calibri" w:hAnsi="Calibri"/>
          <w:sz w:val="19"/>
          <w:szCs w:val="19"/>
        </w:rPr>
        <w:t xml:space="preserve">Deployed SIEM agents across 14,400+ endpoints; authored detection rules and correlation logic for enterprise SOC environments.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Earlier Career (2000 – 2012)</w:t>
      </w:r>
      <w:r>
        <w:rPr>
          <w:rFonts w:ascii="Calibri" w:cs="Calibri" w:eastAsia="Calibri" w:hAnsi="Calibri"/>
          <w:color w:val="94A3B8"/>
          <w:sz w:val="19"/>
          <w:szCs w:val="19"/>
        </w:rPr>
        <w:t xml:space="preserve">  —  </w:t>
      </w:r>
      <w:r>
        <w:rPr>
          <w:rFonts w:ascii="Calibri" w:cs="Calibri" w:eastAsia="Calibri" w:hAnsi="Calibri"/>
          <w:color w:val="475569"/>
          <w:sz w:val="19"/>
          <w:szCs w:val="19"/>
        </w:rPr>
        <w:t xml:space="preserve">Built foundation in infrastructure, systems &amp; network engineering; transitioned into information security and risk leadership at financial institutions under GLBA/FFIEC compliance frameworks.</w:t>
      </w:r>
    </w:p>
    <w:p>
      <w:r>
        <w:br w:type="page"/>
      </w:r>
    </w:p>
    <w:p>
      <w:pPr>
        <w:pBdr>
          <w:bottom w:val="single" w:color="0D7377" w:sz="12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TECHNICAL EXPERTISE</w:t>
      </w:r>
    </w:p>
    <w:tbl>
      <w:tblPr>
        <w:tblW w:type="dxa" w:w="1008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SIEM / SOAR: Cortex XSIAM, XSOAR, Sentinel, Splunk</w:t>
            </w:r>
          </w:p>
        </w:tc>
        <w:tc>
          <w:tcPr>
            <w:tcW w:type="dxa" w:w="50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Cloud: AWS, Azure (Security, Sentinel, Defender)</w:t>
            </w:r>
          </w:p>
        </w:tc>
      </w:tr>
      <w:tr>
        <w:tc>
          <w:tcPr>
            <w:tcW w:type="dxa" w:w="50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Threat Intelligence: LookingGlass, ZeroFOX, OSINT</w:t>
            </w:r>
          </w:p>
        </w:tc>
        <w:tc>
          <w:tcPr>
            <w:tcW w:type="dxa" w:w="50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Endpoint &amp; XDR: CrowdStrike, SentinelOne, Defender</w:t>
            </w:r>
          </w:p>
        </w:tc>
      </w:tr>
      <w:tr>
        <w:tc>
          <w:tcPr>
            <w:tcW w:type="dxa" w:w="50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Architecture: Zero Trust, SASE, network segmentation</w:t>
            </w:r>
          </w:p>
        </w:tc>
        <w:tc>
          <w:tcPr>
            <w:tcW w:type="dxa" w:w="50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AI / GenAI: Claude API, MCP, Microsoft Copilot</w:t>
            </w:r>
          </w:p>
        </w:tc>
      </w:tr>
      <w:tr>
        <w:tc>
          <w:tcPr>
            <w:tcW w:type="dxa" w:w="50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Compliance: HIPAA, GLBA, FFIEC, NIST CSF, FedRAMP</w:t>
            </w:r>
          </w:p>
        </w:tc>
        <w:tc>
          <w:tcPr>
            <w:tcW w:type="dxa" w:w="50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Federal Frameworks: HSIN, fusion center operations</w:t>
            </w:r>
          </w:p>
        </w:tc>
      </w:tr>
      <w:tr>
        <w:tc>
          <w:tcPr>
            <w:tcW w:type="dxa" w:w="50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IR / Forensics: playbook development, active response</w:t>
            </w:r>
          </w:p>
        </w:tc>
        <w:tc>
          <w:tcPr>
            <w:tcW w:type="dxa" w:w="50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Identity: Okta, Azure AD, PAM, MFA design</w:t>
            </w:r>
          </w:p>
        </w:tc>
      </w:tr>
    </w:tbl>
    <w:p>
      <w:pPr>
        <w:spacing w:after="0" w:before="60"/>
      </w:pPr>
    </w:p>
    <w:p>
      <w:pPr>
        <w:pBdr>
          <w:bottom w:val="single" w:color="0D7377" w:sz="12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CERTIFICATIONS</w:t>
      </w:r>
    </w:p>
    <w:tbl>
      <w:tblPr>
        <w:tblW w:type="dxa" w:w="1008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✓  CISSP — ISC²  |  Active</w:t>
            </w:r>
          </w:p>
        </w:tc>
        <w:tc>
          <w:tcPr>
            <w:tcW w:type="dxa" w:w="50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✓  XSIAM Engineer — Palo Alto Networks</w:t>
            </w:r>
          </w:p>
        </w:tc>
      </w:tr>
      <w:tr>
        <w:tc>
          <w:tcPr>
            <w:tcW w:type="dxa" w:w="50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✓  Introduction to Agent Skills — Anthropic (2025)</w:t>
            </w:r>
          </w:p>
        </w:tc>
        <w:tc>
          <w:tcPr>
            <w:tcW w:type="dxa" w:w="50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✓  Building with the Claude API — Anthropic (2025)</w:t>
            </w:r>
          </w:p>
        </w:tc>
      </w:tr>
      <w:tr>
        <w:tc>
          <w:tcPr>
            <w:tcW w:type="dxa" w:w="50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✓  Introduction to Model Context Protocol — Anthropic (2025)</w:t>
            </w:r>
          </w:p>
        </w:tc>
        <w:tc>
          <w:tcPr>
            <w:tcW w:type="dxa" w:w="50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✓  Claude Code in Action — Anthropic (2025)</w:t>
            </w:r>
          </w:p>
        </w:tc>
      </w:tr>
      <w:tr>
        <w:tc>
          <w:tcPr>
            <w:tcW w:type="dxa" w:w="50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✓  AZ-500: Azure Security Engineer Associate</w:t>
            </w:r>
          </w:p>
        </w:tc>
        <w:tc>
          <w:tcPr>
            <w:tcW w:type="dxa" w:w="50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✓  SC-200: Microsoft Security Operations Analyst</w:t>
            </w:r>
          </w:p>
        </w:tc>
      </w:tr>
      <w:tr>
        <w:tc>
          <w:tcPr>
            <w:tcW w:type="dxa" w:w="50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✓  AZ-104: Azure Administrator Associate</w:t>
            </w:r>
          </w:p>
        </w:tc>
        <w:tc>
          <w:tcPr>
            <w:tcW w:type="dxa" w:w="50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✓  AWS Cloud Practitioner</w:t>
            </w:r>
          </w:p>
        </w:tc>
      </w:tr>
    </w:tbl>
    <w:p>
      <w:pPr>
        <w:spacing w:after="0" w:before="60"/>
      </w:pPr>
    </w:p>
    <w:p>
      <w:pPr>
        <w:pBdr>
          <w:bottom w:val="single" w:color="0D7377" w:sz="12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EDUCATION</w:t>
      </w:r>
    </w:p>
    <w:tbl>
      <w:tblPr>
        <w:tblW w:type="dxa" w:w="1008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B.S. Business Management — WGU  |  2020</w:t>
            </w:r>
          </w:p>
        </w:tc>
        <w:tc>
          <w:tcPr>
            <w:tcW w:type="dxa" w:w="50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A.S. Computer Science — IU South Bend  |  2004</w:t>
            </w:r>
          </w:p>
        </w:tc>
      </w:tr>
      <w:tr>
        <w:tc>
          <w:tcPr>
            <w:tcW w:type="dxa" w:w="50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MIT Capstone: AI &amp; Machine Learning for Business</w:t>
            </w:r>
          </w:p>
        </w:tc>
        <w:tc>
          <w:tcPr>
            <w:tcW w:type="dxa" w:w="50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</w:tbl>
    <w:p>
      <w:pPr>
        <w:spacing w:after="0" w:before="60"/>
      </w:pPr>
    </w:p>
    <w:p>
      <w:pPr>
        <w:pBdr>
          <w:bottom w:val="single" w:color="0D7377" w:sz="12" w:space="4"/>
        </w:pBdr>
        <w:spacing w:after="100" w:before="200"/>
      </w:pP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SELECTED PROJECTS &amp; PUBLICATIONS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Calibri" w:cs="Calibri" w:eastAsia="Calibri" w:hAnsi="Calibri"/>
          <w:sz w:val="19"/>
          <w:szCs w:val="19"/>
        </w:rPr>
        <w:t xml:space="preserve">Post-Quantum Cryptography Lab — hands-on research into NIST PQC algorithms; applied to enterprise key management threat modeling.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Calibri" w:cs="Calibri" w:eastAsia="Calibri" w:hAnsi="Calibri"/>
          <w:sz w:val="19"/>
          <w:szCs w:val="19"/>
        </w:rPr>
        <w:t xml:space="preserve">GenAI SOC Automation — built AI-powered analyst triage workflows integrating Claude API, Microsoft Sentinel, and custom MCP tooling.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Calibri" w:cs="Calibri" w:eastAsia="Calibri" w:hAnsi="Calibri"/>
          <w:sz w:val="19"/>
          <w:szCs w:val="19"/>
        </w:rPr>
        <w:t xml:space="preserve">Cyberdash — open-source security operations dashboard project (github.com/tsummey/cyberdash).</w:t>
      </w:r>
    </w:p>
    <w:p>
      <w:pPr>
        <w:pStyle w:val="ListParagraph"/>
        <w:numPr>
          <w:ilvl w:val="0"/>
          <w:numId w:val="3"/>
        </w:numPr>
        <w:spacing w:after="20" w:before="20"/>
      </w:pPr>
      <w:r>
        <w:rPr>
          <w:rFonts w:ascii="Calibri" w:cs="Calibri" w:eastAsia="Calibri" w:hAnsi="Calibri"/>
          <w:sz w:val="19"/>
          <w:szCs w:val="19"/>
        </w:rPr>
        <w:t xml:space="preserve">MIT Capstone — AI &amp; Machine Learning for Business: applied ML techniques to enterprise security use cases.</w:t>
      </w:r>
    </w:p>
    <w:p>
      <w:pPr>
        <w:spacing w:after="60" w:before="60"/>
      </w:pPr>
      <w:r>
        <w:rPr>
          <w:rFonts w:ascii="Calibri" w:cs="Calibri" w:eastAsia="Calibri" w:hAnsi="Calibri"/>
          <w:color w:val="475569"/>
          <w:sz w:val="19"/>
          <w:szCs w:val="19"/>
        </w:rPr>
        <w:t xml:space="preserve">Published author on cybersecurity strategy, threat intelligence, and security operations modernization. </w:t>
      </w:r>
      <w:r>
        <w:rPr>
          <w:rFonts w:ascii="Calibri" w:cs="Calibri" w:eastAsia="Calibri" w:hAnsi="Calibri"/>
          <w:color w:val="475569"/>
          <w:sz w:val="19"/>
          <w:szCs w:val="19"/>
        </w:rPr>
        <w:t xml:space="preserve">Articles available at linkedin.com/in/tedsummey.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4A3B8"/>
        <w:sz w:val="16"/>
        <w:szCs w:val="16"/>
      </w:rPr>
      <w:t xml:space="preserve">Ted Summey, CISSP  |  tsummey@tsummey.com  |  +1 574-780-0857  |  Page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94A3B8"/>
        <w:sz w:val="16"/>
        <w:szCs w:val="16"/>
      </w:rPr>
      <w:t xml:space="preserve"> of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8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pxdico1gt4_v_a3kmultv" Type="http://schemas.openxmlformats.org/officeDocument/2006/relationships/hyperlink" Target="https://linkedin.com/in/tedsummey" TargetMode="External"/><Relationship Id="rIdiwds_o-kfjlmge1x8rund" Type="http://schemas.openxmlformats.org/officeDocument/2006/relationships/hyperlink" Target="https://github.com/tsummey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2026-06-22T15:51:17.799Z</dcterms:created>
  <dcterms:modified xsi:type="dcterms:W3CDTF">2026-06-22T15:51:17.800Z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