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A6C9" w14:textId="5BCEE8FE" w:rsidR="0084200B" w:rsidRPr="00040EEB" w:rsidRDefault="00040EEB">
      <w:pPr>
        <w:spacing w:after="60"/>
        <w:jc w:val="center"/>
        <w:rPr>
          <w:sz w:val="48"/>
          <w:szCs w:val="48"/>
        </w:rPr>
      </w:pPr>
      <w:r w:rsidRPr="00040EEB">
        <w:rPr>
          <w:rFonts w:ascii="Calibri" w:eastAsia="Calibri" w:hAnsi="Calibri" w:cs="Calibri"/>
          <w:b/>
          <w:bCs/>
          <w:color w:val="0A1628"/>
          <w:sz w:val="48"/>
          <w:szCs w:val="48"/>
        </w:rPr>
        <w:t>TED SUMMEY, CISSP</w:t>
      </w:r>
    </w:p>
    <w:p w14:paraId="0AD72A04" w14:textId="4E2E275F" w:rsidR="0084200B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 xml:space="preserve">Cybersecurity </w:t>
      </w:r>
      <w:r w:rsidR="00040EEB">
        <w:rPr>
          <w:rFonts w:ascii="Calibri" w:eastAsia="Calibri" w:hAnsi="Calibri" w:cs="Calibri"/>
          <w:b/>
          <w:bCs/>
          <w:color w:val="0D7377"/>
          <w:sz w:val="26"/>
          <w:szCs w:val="26"/>
        </w:rPr>
        <w:t>Executive | Technical</w:t>
      </w: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 xml:space="preserve"> </w:t>
      </w:r>
      <w:r w:rsidR="00040EEB">
        <w:rPr>
          <w:rFonts w:ascii="Calibri" w:eastAsia="Calibri" w:hAnsi="Calibri" w:cs="Calibri"/>
          <w:b/>
          <w:bCs/>
          <w:color w:val="0D7377"/>
          <w:sz w:val="26"/>
          <w:szCs w:val="26"/>
        </w:rPr>
        <w:t>Architect | Federal</w:t>
      </w:r>
      <w:r>
        <w:rPr>
          <w:rFonts w:ascii="Calibri" w:eastAsia="Calibri" w:hAnsi="Calibri" w:cs="Calibri"/>
          <w:b/>
          <w:bCs/>
          <w:color w:val="0D7377"/>
          <w:sz w:val="26"/>
          <w:szCs w:val="26"/>
        </w:rPr>
        <w:t xml:space="preserve"> &amp; Enterprise Leader</w:t>
      </w:r>
    </w:p>
    <w:p w14:paraId="7B738962" w14:textId="77777777" w:rsidR="0084200B" w:rsidRDefault="00000000">
      <w:pPr>
        <w:spacing w:after="200"/>
        <w:jc w:val="center"/>
      </w:pPr>
      <w:hyperlink r:id="rId7" w:history="1">
        <w:r>
          <w:rPr>
            <w:rFonts w:ascii="Calibri" w:eastAsia="Calibri" w:hAnsi="Calibri" w:cs="Calibri"/>
            <w:color w:val="0D7377"/>
          </w:rPr>
          <w:t>tsummey@tsummey.com</w:t>
        </w:r>
      </w:hyperlink>
      <w:r>
        <w:rPr>
          <w:rFonts w:ascii="Calibri" w:eastAsia="Calibri" w:hAnsi="Calibri" w:cs="Calibri"/>
          <w:color w:val="333333"/>
        </w:rPr>
        <w:t xml:space="preserve">   |   +1 574-780-0857   |   </w:t>
      </w:r>
      <w:hyperlink r:id="rId8" w:history="1">
        <w:r>
          <w:rPr>
            <w:rFonts w:ascii="Calibri" w:eastAsia="Calibri" w:hAnsi="Calibri" w:cs="Calibri"/>
            <w:color w:val="0D7377"/>
          </w:rPr>
          <w:t>linkedin.com/in/</w:t>
        </w:r>
        <w:proofErr w:type="spellStart"/>
        <w:r>
          <w:rPr>
            <w:rFonts w:ascii="Calibri" w:eastAsia="Calibri" w:hAnsi="Calibri" w:cs="Calibri"/>
            <w:color w:val="0D7377"/>
          </w:rPr>
          <w:t>tedsummey</w:t>
        </w:r>
        <w:proofErr w:type="spellEnd"/>
      </w:hyperlink>
      <w:r>
        <w:rPr>
          <w:rFonts w:ascii="Calibri" w:eastAsia="Calibri" w:hAnsi="Calibri" w:cs="Calibri"/>
          <w:color w:val="333333"/>
        </w:rPr>
        <w:t xml:space="preserve">   |   </w:t>
      </w:r>
      <w:hyperlink r:id="rId9" w:history="1">
        <w:r>
          <w:rPr>
            <w:rFonts w:ascii="Calibri" w:eastAsia="Calibri" w:hAnsi="Calibri" w:cs="Calibri"/>
            <w:color w:val="0D7377"/>
          </w:rPr>
          <w:t>github.com/tsummey</w:t>
        </w:r>
      </w:hyperlink>
      <w:r>
        <w:rPr>
          <w:rFonts w:ascii="Calibri" w:eastAsia="Calibri" w:hAnsi="Calibri" w:cs="Calibri"/>
          <w:color w:val="333333"/>
        </w:rPr>
        <w:t xml:space="preserve">   |   Knoxville, TN</w:t>
      </w:r>
    </w:p>
    <w:p w14:paraId="1A6A5BB5" w14:textId="77777777" w:rsidR="0084200B" w:rsidRDefault="00000000">
      <w:pPr>
        <w:pBdr>
          <w:bottom w:val="single" w:sz="8" w:space="4" w:color="0D7377"/>
        </w:pBdr>
        <w:spacing w:before="240" w:after="120"/>
      </w:pPr>
      <w:r>
        <w:rPr>
          <w:rFonts w:ascii="Calibri" w:eastAsia="Calibri" w:hAnsi="Calibri" w:cs="Calibri"/>
          <w:b/>
          <w:bCs/>
          <w:color w:val="0A1628"/>
          <w:sz w:val="24"/>
          <w:szCs w:val="24"/>
        </w:rPr>
        <w:t>CAREER HIGHLIGHTS</w:t>
      </w:r>
    </w:p>
    <w:p w14:paraId="7D4CDFD4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Reduced ransomware incidents 85% in 6 months </w:t>
      </w:r>
      <w:r>
        <w:rPr>
          <w:rFonts w:ascii="Calibri" w:eastAsia="Calibri" w:hAnsi="Calibri" w:cs="Calibri"/>
          <w:sz w:val="21"/>
          <w:szCs w:val="21"/>
        </w:rPr>
        <w:t>at Vidant Health — personally rebuilt SOC operations, IR playbooks, and network segmentation architecture.</w:t>
      </w:r>
    </w:p>
    <w:p w14:paraId="0933C73F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Eliminated $287K in annual overhead </w:t>
      </w:r>
      <w:r>
        <w:rPr>
          <w:rFonts w:ascii="Calibri" w:eastAsia="Calibri" w:hAnsi="Calibri" w:cs="Calibri"/>
          <w:sz w:val="21"/>
          <w:szCs w:val="21"/>
        </w:rPr>
        <w:t>at Walgreens through hands-on tooling rationalization and process redesign as a Trustwave advisory consultant.</w:t>
      </w:r>
    </w:p>
    <w:p w14:paraId="226F7FD9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Cut $12K/month in AWS spend and reduced SIEM ingestion 300% </w:t>
      </w:r>
      <w:r>
        <w:rPr>
          <w:rFonts w:ascii="Calibri" w:eastAsia="Calibri" w:hAnsi="Calibri" w:cs="Calibri"/>
          <w:sz w:val="21"/>
          <w:szCs w:val="21"/>
        </w:rPr>
        <w:t>at Verizon through MXDR platform architecture redesign — no detection coverage lost.</w:t>
      </w:r>
    </w:p>
    <w:p w14:paraId="2A887802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Embedded in SNCTC fusion center alongside FBI, DHS, Treasury, DOE, and TSA </w:t>
      </w:r>
      <w:r>
        <w:rPr>
          <w:rFonts w:ascii="Calibri" w:eastAsia="Calibri" w:hAnsi="Calibri" w:cs="Calibri"/>
          <w:sz w:val="21"/>
          <w:szCs w:val="21"/>
        </w:rPr>
        <w:t>— delivered national-level cyber threat advisories via the Homeland Security Information Network (HSIN).</w:t>
      </w:r>
    </w:p>
    <w:p w14:paraId="5070A5D7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Deployed SIEM across 14,400+ endpoints; </w:t>
      </w:r>
      <w:r>
        <w:rPr>
          <w:rFonts w:ascii="Calibri" w:eastAsia="Calibri" w:hAnsi="Calibri" w:cs="Calibri"/>
          <w:sz w:val="21"/>
          <w:szCs w:val="21"/>
        </w:rPr>
        <w:t>built GenAI-powered SOC automation with Claude API and Microsoft Sentinel that materially reduced analyst triage time.</w:t>
      </w:r>
    </w:p>
    <w:p w14:paraId="0C96FD07" w14:textId="77777777" w:rsidR="0084200B" w:rsidRDefault="00000000">
      <w:pPr>
        <w:pBdr>
          <w:bottom w:val="single" w:sz="8" w:space="4" w:color="0D7377"/>
        </w:pBdr>
        <w:spacing w:before="240" w:after="120"/>
      </w:pPr>
      <w:r>
        <w:rPr>
          <w:rFonts w:ascii="Calibri" w:eastAsia="Calibri" w:hAnsi="Calibri" w:cs="Calibri"/>
          <w:b/>
          <w:bCs/>
          <w:color w:val="0A1628"/>
          <w:sz w:val="24"/>
          <w:szCs w:val="24"/>
        </w:rPr>
        <w:t>PROFESSIONAL EXPERIENCE</w:t>
      </w:r>
    </w:p>
    <w:p w14:paraId="1775B9CE" w14:textId="77777777" w:rsidR="0084200B" w:rsidRDefault="00000000" w:rsidP="00040EEB">
      <w:pPr>
        <w:tabs>
          <w:tab w:val="right" w:pos="10080"/>
        </w:tabs>
        <w:spacing w:before="180" w:after="4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Palo Alto </w:t>
      </w: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Networks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</w:t>
      </w:r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Security Engineer / Specialist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333333"/>
          <w:sz w:val="21"/>
          <w:szCs w:val="21"/>
        </w:rPr>
        <w:t>2025 – Present</w:t>
      </w:r>
    </w:p>
    <w:p w14:paraId="1A65D986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Architect and deploy Cortex XSIAM and XSOAR solutions for enterprise and federal accounts; translate complex platform capability into field-ready </w:t>
      </w:r>
      <w:proofErr w:type="gramStart"/>
      <w:r>
        <w:rPr>
          <w:rFonts w:ascii="Calibri" w:eastAsia="Calibri" w:hAnsi="Calibri" w:cs="Calibri"/>
          <w:sz w:val="21"/>
          <w:szCs w:val="21"/>
        </w:rPr>
        <w:t>security operations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programs.</w:t>
      </w:r>
    </w:p>
    <w:p w14:paraId="50569A4F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Bridge customer requirements to product teams, accelerating feature adoption and reducing time-to-value across SOC modernization engagements.</w:t>
      </w:r>
    </w:p>
    <w:p w14:paraId="256A9E1F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Operate as a hands-on technical resource throughout the full sales and delivery lifecycle — from discovery and design through production deployment and validation.</w:t>
      </w:r>
    </w:p>
    <w:p w14:paraId="0640C170" w14:textId="77777777" w:rsidR="0084200B" w:rsidRDefault="00000000" w:rsidP="00040EEB">
      <w:pPr>
        <w:tabs>
          <w:tab w:val="right" w:pos="10080"/>
        </w:tabs>
        <w:spacing w:before="180" w:after="40" w:line="276" w:lineRule="auto"/>
      </w:pP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Verizon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</w:t>
      </w:r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 xml:space="preserve">Senior Security </w:t>
      </w:r>
      <w:proofErr w:type="gramStart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Architect  |</w:t>
      </w:r>
      <w:proofErr w:type="gramEnd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 xml:space="preserve">  MXDR Product Lead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333333"/>
          <w:sz w:val="21"/>
          <w:szCs w:val="21"/>
        </w:rPr>
        <w:t>2022 – 2025</w:t>
      </w:r>
    </w:p>
    <w:p w14:paraId="7D49A5AC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Led product innovation and technical architecture for Verizon's Managed Extended Detection and Response (MXDR) platform serving mid-market and enterprise clients.</w:t>
      </w:r>
    </w:p>
    <w:p w14:paraId="0D65BC56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Redesigned cloud infrastructure, cutting AWS spend by $12,000/month; restructured log ingestion pipeline, reducing SIEM volume 300% without loss of detection coverage.</w:t>
      </w:r>
    </w:p>
    <w:p w14:paraId="12F6E4AB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Built GenAI-powered analyst triage automation using Microsoft Sentinel and Claude API, reducing mean time to respond and enabling SOC scale without headcount growth.</w:t>
      </w:r>
    </w:p>
    <w:p w14:paraId="24AF3B28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Authored technical playbooks and detection engineering content adopted across the MXDR delivery organization.</w:t>
      </w:r>
    </w:p>
    <w:p w14:paraId="717D287F" w14:textId="77777777" w:rsidR="0084200B" w:rsidRDefault="00000000" w:rsidP="00040EEB">
      <w:pPr>
        <w:tabs>
          <w:tab w:val="right" w:pos="10080"/>
        </w:tabs>
        <w:spacing w:before="180" w:after="40" w:line="276" w:lineRule="auto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ZeroFOX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CyberClan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</w:t>
      </w:r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 xml:space="preserve">Senior Security </w:t>
      </w:r>
      <w:proofErr w:type="gramStart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Engineer  |</w:t>
      </w:r>
      <w:proofErr w:type="gramEnd"/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 xml:space="preserve">  MDR Specialist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333333"/>
          <w:sz w:val="21"/>
          <w:szCs w:val="21"/>
        </w:rPr>
        <w:t>2020 – 2022</w:t>
      </w:r>
    </w:p>
    <w:p w14:paraId="69878E77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Drove MDR and digital risk protection technical strategy for law enforcement, financial services, and federal sector clients.</w:t>
      </w:r>
    </w:p>
    <w:p w14:paraId="10714EAA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Embedded in the Southern Nevada Counterterrorism Center (SNCTC) fusion center — collaborated directly with FBI, DHS, Treasury, DOE, and TSA analysts on active cyber threat monitoring and disseminated advisories via HSIN.</w:t>
      </w:r>
    </w:p>
    <w:p w14:paraId="65E384A8" w14:textId="77777777" w:rsidR="0084200B" w:rsidRDefault="00000000" w:rsidP="00040EEB">
      <w:pPr>
        <w:tabs>
          <w:tab w:val="right" w:pos="10080"/>
        </w:tabs>
        <w:spacing w:before="180" w:after="40" w:line="276" w:lineRule="auto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BlueVoyant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</w:t>
      </w:r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Director / VP, Americas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333333"/>
          <w:sz w:val="21"/>
          <w:szCs w:val="21"/>
        </w:rPr>
        <w:t>2018 – 2020</w:t>
      </w:r>
    </w:p>
    <w:p w14:paraId="64650402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lastRenderedPageBreak/>
        <w:t>Directed Americas security operations: managed three regional managers and 15+ security engineers with full P&amp;L responsibility.</w:t>
      </w:r>
    </w:p>
    <w:p w14:paraId="1257BEE9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Advised boards and C-suites at financial services, healthcare, and government organizations on enterprise security program risk, architecture, and vendor strategy.</w:t>
      </w:r>
    </w:p>
    <w:p w14:paraId="4B439FA0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Scaled MDR client base across three verticals; built go-to-market technical framework adopted by the global sales organization.</w:t>
      </w:r>
    </w:p>
    <w:p w14:paraId="7C4F92B1" w14:textId="77777777" w:rsidR="0084200B" w:rsidRDefault="00000000" w:rsidP="00040EEB">
      <w:pPr>
        <w:tabs>
          <w:tab w:val="right" w:pos="10080"/>
        </w:tabs>
        <w:spacing w:before="180" w:after="4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LookingGlass Cyber </w:t>
      </w: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Solutions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</w:t>
      </w:r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Senior Solutions Engineer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333333"/>
          <w:sz w:val="21"/>
          <w:szCs w:val="21"/>
        </w:rPr>
        <w:t>2016 – 2018</w:t>
      </w:r>
    </w:p>
    <w:p w14:paraId="13BB7AC7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Accompanied CEO to MENA ISC Saudi Arabia; led technical positioning that closed the company's first international federal contract.</w:t>
      </w:r>
    </w:p>
    <w:p w14:paraId="1A61DC1E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Developed GTM technical strategy and delivered threat intelligence briefings to DoD, IRS, DHS, Secret Service, and allied intelligence community stakeholders.</w:t>
      </w:r>
    </w:p>
    <w:p w14:paraId="37462ABD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Authored RFI and RFP responses for federal acquisition cycles; positioned attack surface management and threat intelligence solutions.</w:t>
      </w:r>
    </w:p>
    <w:p w14:paraId="19E26536" w14:textId="77777777" w:rsidR="0084200B" w:rsidRDefault="00000000" w:rsidP="00040EEB">
      <w:pPr>
        <w:tabs>
          <w:tab w:val="right" w:pos="10080"/>
        </w:tabs>
        <w:spacing w:before="180" w:after="4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Vidant </w:t>
      </w: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Health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</w:t>
      </w:r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Security Manager / Director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333333"/>
          <w:sz w:val="21"/>
          <w:szCs w:val="21"/>
        </w:rPr>
        <w:t>2015 – 2017</w:t>
      </w:r>
    </w:p>
    <w:p w14:paraId="1D518636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Directed SOC, incident response, and security architecture across three departments for a major regional healthcare system.</w:t>
      </w:r>
    </w:p>
    <w:p w14:paraId="5B9684EE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Reduced ransomware </w:t>
      </w:r>
      <w:proofErr w:type="gramStart"/>
      <w:r>
        <w:rPr>
          <w:rFonts w:ascii="Calibri" w:eastAsia="Calibri" w:hAnsi="Calibri" w:cs="Calibri"/>
          <w:sz w:val="21"/>
          <w:szCs w:val="21"/>
        </w:rPr>
        <w:t>incidents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85% within 6 months by personally rebuilding detection rules, IR procedures, network segmentation, and endpoint controls.</w:t>
      </w:r>
    </w:p>
    <w:p w14:paraId="38768AF5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Implemented security monitoring and compliance frameworks under HIPAA/HITECH requirements.</w:t>
      </w:r>
    </w:p>
    <w:p w14:paraId="36BDB371" w14:textId="77777777" w:rsidR="0084200B" w:rsidRDefault="00000000" w:rsidP="00040EEB">
      <w:pPr>
        <w:tabs>
          <w:tab w:val="right" w:pos="10080"/>
        </w:tabs>
        <w:spacing w:before="180" w:after="40" w:line="276" w:lineRule="auto"/>
      </w:pP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Trustwave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</w:t>
      </w:r>
      <w:r>
        <w:rPr>
          <w:rFonts w:ascii="Calibri" w:eastAsia="Calibri" w:hAnsi="Calibri" w:cs="Calibri"/>
          <w:i/>
          <w:iCs/>
          <w:color w:val="333333"/>
          <w:sz w:val="22"/>
          <w:szCs w:val="22"/>
        </w:rPr>
        <w:t>Senior Security Engineer &amp; Advisory Consultant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333333"/>
          <w:sz w:val="21"/>
          <w:szCs w:val="21"/>
        </w:rPr>
        <w:t>2012 – 2015</w:t>
      </w:r>
    </w:p>
    <w:p w14:paraId="2699D91C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Advised Fortune 500 clients including Sony, Disney, Wells Fargo, Yahoo, American Express, and Walgreens on security program maturity, architecture, and risk remediation.</w:t>
      </w:r>
    </w:p>
    <w:p w14:paraId="772ABF97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Personally identified and eliminated $287K in annual overhead at Walgreens through tooling rationalization and process redesign.</w:t>
      </w:r>
    </w:p>
    <w:p w14:paraId="3E04FB71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Protected Caesars Entertainment during DEF CON and World Series of Poker via continuous active threat monitoring and incident response readiness.</w:t>
      </w:r>
    </w:p>
    <w:p w14:paraId="602EF3FE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Deployed SIEM agents across 14,400+ endpoints; authored detection rules and correlation logic for enterprise SOC environments.</w:t>
      </w:r>
    </w:p>
    <w:p w14:paraId="04533E3B" w14:textId="77777777" w:rsidR="0084200B" w:rsidRDefault="00000000" w:rsidP="00040EEB">
      <w:pPr>
        <w:spacing w:before="180"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Earlier Career (2000 – 2012)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 Senior Infrastructure, Systems &amp; Network Engineer progressing into Information Security and Risk Management leadership at financial institutions operating under GLBA and FFIEC compliance frameworks.</w:t>
      </w:r>
    </w:p>
    <w:p w14:paraId="08870094" w14:textId="77777777" w:rsidR="0084200B" w:rsidRDefault="00000000" w:rsidP="00040EEB">
      <w:pPr>
        <w:spacing w:line="276" w:lineRule="auto"/>
      </w:pPr>
      <w:r>
        <w:br w:type="page"/>
      </w:r>
    </w:p>
    <w:p w14:paraId="3E2DE883" w14:textId="77777777" w:rsidR="0084200B" w:rsidRDefault="00000000" w:rsidP="00040EEB">
      <w:pPr>
        <w:pBdr>
          <w:bottom w:val="single" w:sz="8" w:space="4" w:color="0D7377"/>
        </w:pBdr>
        <w:spacing w:before="240" w:after="120" w:line="276" w:lineRule="auto"/>
      </w:pPr>
      <w:r>
        <w:rPr>
          <w:rFonts w:ascii="Calibri" w:eastAsia="Calibri" w:hAnsi="Calibri" w:cs="Calibri"/>
          <w:b/>
          <w:bCs/>
          <w:color w:val="0A1628"/>
          <w:sz w:val="24"/>
          <w:szCs w:val="24"/>
        </w:rPr>
        <w:lastRenderedPageBreak/>
        <w:t>TECHNICAL EXPERTISE</w:t>
      </w:r>
    </w:p>
    <w:p w14:paraId="023DACA8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SIEM / SOAR: Cortex XSIAM, Cortex XSOAR, Microsoft Sentinel, Splunk, IBM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QRadar</w:t>
      </w:r>
      <w:proofErr w:type="spellEnd"/>
    </w:p>
    <w:p w14:paraId="13154BF3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Cloud Security: AWS (Security Hub,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GuardDuty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), Microsoft Azure (Defender, Sentinel, AZ-500), Azure AD</w:t>
      </w:r>
    </w:p>
    <w:p w14:paraId="330F757C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Endpoint &amp; XDR: CrowdStrike Falcon, SentinelOne, Microsoft Defender for Endpoint, Tanium</w:t>
      </w:r>
    </w:p>
    <w:p w14:paraId="731AD61C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Threat Intelligence: LookingGlass,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ZeroFOX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OSINT, HSIN, fusion center operations</w:t>
      </w:r>
    </w:p>
    <w:p w14:paraId="6794D59F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AI / GenAI: Claude API, Model Context Protocol (MCP), Microsoft Copilot, GenAI SOC automation</w:t>
      </w:r>
    </w:p>
    <w:p w14:paraId="53D432DD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Identity &amp; Access: Okta, Azure Active Directory, Privileged Access Management (PAM), MFA</w:t>
      </w:r>
    </w:p>
    <w:p w14:paraId="0EB03D07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Architecture: Zero Trust, SASE, network segmentation, cloud-native SOC design</w:t>
      </w:r>
    </w:p>
    <w:p w14:paraId="1A21E8DF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IR &amp; Forensics: incident response playbook development, active threat hunting, malware analysis</w:t>
      </w:r>
    </w:p>
    <w:p w14:paraId="21EF76C0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Compliance: HIPAA/HITECH, GLBA, FFIEC, NIST CSF, FedRAMP, DoD frameworks</w:t>
      </w:r>
    </w:p>
    <w:p w14:paraId="7AAB5F04" w14:textId="77777777" w:rsidR="0084200B" w:rsidRDefault="00000000" w:rsidP="00040EEB">
      <w:pPr>
        <w:pBdr>
          <w:bottom w:val="single" w:sz="8" w:space="4" w:color="0D7377"/>
        </w:pBdr>
        <w:spacing w:before="240" w:after="120" w:line="276" w:lineRule="auto"/>
      </w:pPr>
      <w:r>
        <w:rPr>
          <w:rFonts w:ascii="Calibri" w:eastAsia="Calibri" w:hAnsi="Calibri" w:cs="Calibri"/>
          <w:b/>
          <w:bCs/>
          <w:color w:val="0A1628"/>
          <w:sz w:val="24"/>
          <w:szCs w:val="24"/>
        </w:rPr>
        <w:t>CERTIFICATIONS</w:t>
      </w:r>
    </w:p>
    <w:p w14:paraId="1B69104B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CISSP — ISC</w:t>
      </w:r>
      <w:proofErr w:type="gramStart"/>
      <w:r>
        <w:rPr>
          <w:rFonts w:ascii="Calibri" w:eastAsia="Calibri" w:hAnsi="Calibri" w:cs="Calibri"/>
          <w:sz w:val="21"/>
          <w:szCs w:val="21"/>
        </w:rPr>
        <w:t>2  |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Active</w:t>
      </w:r>
    </w:p>
    <w:p w14:paraId="28A2E032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XSIAM Engineer — Palo Alto Networks</w:t>
      </w:r>
    </w:p>
    <w:p w14:paraId="0B7F9491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Introduction to Agent Skills — </w:t>
      </w:r>
      <w:proofErr w:type="gramStart"/>
      <w:r>
        <w:rPr>
          <w:rFonts w:ascii="Calibri" w:eastAsia="Calibri" w:hAnsi="Calibri" w:cs="Calibri"/>
          <w:sz w:val="21"/>
          <w:szCs w:val="21"/>
        </w:rPr>
        <w:t>Anthropic  |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2025</w:t>
      </w:r>
    </w:p>
    <w:p w14:paraId="38732D35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Building with the Claude API — </w:t>
      </w:r>
      <w:proofErr w:type="gramStart"/>
      <w:r>
        <w:rPr>
          <w:rFonts w:ascii="Calibri" w:eastAsia="Calibri" w:hAnsi="Calibri" w:cs="Calibri"/>
          <w:sz w:val="21"/>
          <w:szCs w:val="21"/>
        </w:rPr>
        <w:t>Anthropic  |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2025</w:t>
      </w:r>
    </w:p>
    <w:p w14:paraId="359A1C60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Introduction to Model Context Protocol (</w:t>
      </w:r>
      <w:proofErr w:type="gramStart"/>
      <w:r>
        <w:rPr>
          <w:rFonts w:ascii="Calibri" w:eastAsia="Calibri" w:hAnsi="Calibri" w:cs="Calibri"/>
          <w:sz w:val="21"/>
          <w:szCs w:val="21"/>
        </w:rPr>
        <w:t>MCP) —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sz w:val="21"/>
          <w:szCs w:val="21"/>
        </w:rPr>
        <w:t>Anthropic  |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2025</w:t>
      </w:r>
    </w:p>
    <w:p w14:paraId="743F6BB5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Claude Code in Action — </w:t>
      </w:r>
      <w:proofErr w:type="gramStart"/>
      <w:r>
        <w:rPr>
          <w:rFonts w:ascii="Calibri" w:eastAsia="Calibri" w:hAnsi="Calibri" w:cs="Calibri"/>
          <w:sz w:val="21"/>
          <w:szCs w:val="21"/>
        </w:rPr>
        <w:t>Anthropic  |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2025</w:t>
      </w:r>
    </w:p>
    <w:p w14:paraId="401400FB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AZ-500: Microsoft Azure Security Engineer Associate</w:t>
      </w:r>
    </w:p>
    <w:p w14:paraId="5A766B55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SC-200: Microsoft Security Operations Analyst</w:t>
      </w:r>
    </w:p>
    <w:p w14:paraId="0C008708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AZ-104: Microsoft Azure Administrator Associate</w:t>
      </w:r>
    </w:p>
    <w:p w14:paraId="0B48E7A5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AWS Cloud Practitioner — Amazon Web Services</w:t>
      </w:r>
    </w:p>
    <w:p w14:paraId="06EB5F17" w14:textId="77777777" w:rsidR="0084200B" w:rsidRDefault="00000000" w:rsidP="00040EEB">
      <w:pPr>
        <w:pBdr>
          <w:bottom w:val="single" w:sz="8" w:space="4" w:color="0D7377"/>
        </w:pBdr>
        <w:spacing w:before="240" w:after="120" w:line="276" w:lineRule="auto"/>
      </w:pPr>
      <w:r>
        <w:rPr>
          <w:rFonts w:ascii="Calibri" w:eastAsia="Calibri" w:hAnsi="Calibri" w:cs="Calibri"/>
          <w:b/>
          <w:bCs/>
          <w:color w:val="0A1628"/>
          <w:sz w:val="24"/>
          <w:szCs w:val="24"/>
        </w:rPr>
        <w:t>EDUCATION</w:t>
      </w:r>
    </w:p>
    <w:p w14:paraId="0EABA709" w14:textId="77777777" w:rsidR="0084200B" w:rsidRDefault="00000000" w:rsidP="00040EEB">
      <w:pPr>
        <w:tabs>
          <w:tab w:val="right" w:pos="10080"/>
        </w:tabs>
        <w:spacing w:before="60" w:after="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Bachelor of Science, Business Management</w:t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color w:val="333333"/>
          <w:sz w:val="21"/>
          <w:szCs w:val="21"/>
        </w:rPr>
        <w:t>2020</w:t>
      </w:r>
    </w:p>
    <w:p w14:paraId="6A33C827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Western Governors University (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WGU)  |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 Salt Lake City, UT</w:t>
      </w:r>
    </w:p>
    <w:p w14:paraId="5F926FBC" w14:textId="77777777" w:rsidR="0084200B" w:rsidRDefault="00000000" w:rsidP="00040EEB">
      <w:pPr>
        <w:tabs>
          <w:tab w:val="right" w:pos="10080"/>
        </w:tabs>
        <w:spacing w:before="80" w:after="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Associate of Science, Computer Science</w:t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color w:val="333333"/>
          <w:sz w:val="21"/>
          <w:szCs w:val="21"/>
        </w:rPr>
        <w:t>2004</w:t>
      </w:r>
    </w:p>
    <w:p w14:paraId="0FD56AE6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Indiana University South Bend (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IUSB)  |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 South Bend, IN</w:t>
      </w:r>
    </w:p>
    <w:p w14:paraId="0972A6BD" w14:textId="77777777" w:rsidR="0084200B" w:rsidRDefault="00000000" w:rsidP="00040EEB">
      <w:pPr>
        <w:spacing w:before="80" w:after="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MIT Capstone: AI &amp; Machine Learning for Business</w:t>
      </w:r>
    </w:p>
    <w:p w14:paraId="0E736872" w14:textId="77777777" w:rsidR="0084200B" w:rsidRDefault="00000000" w:rsidP="00040EEB">
      <w:pPr>
        <w:spacing w:before="40" w:after="4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Massachusetts Institute of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Technology  |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 Professional Education</w:t>
      </w:r>
    </w:p>
    <w:p w14:paraId="7C7A9156" w14:textId="77777777" w:rsidR="0084200B" w:rsidRDefault="00000000" w:rsidP="00040EEB">
      <w:pPr>
        <w:pBdr>
          <w:bottom w:val="single" w:sz="8" w:space="4" w:color="0D7377"/>
        </w:pBdr>
        <w:spacing w:before="240" w:after="120" w:line="276" w:lineRule="auto"/>
      </w:pPr>
      <w:r>
        <w:rPr>
          <w:rFonts w:ascii="Calibri" w:eastAsia="Calibri" w:hAnsi="Calibri" w:cs="Calibri"/>
          <w:b/>
          <w:bCs/>
          <w:color w:val="0A1628"/>
          <w:sz w:val="24"/>
          <w:szCs w:val="24"/>
        </w:rPr>
        <w:t>SELECTED PROJECTS AND PUBLICATIONS</w:t>
      </w:r>
    </w:p>
    <w:p w14:paraId="05268BBA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Post-Quantum Cryptography Research — hands-on exploration of NIST PQC algorithm candidates applied to enterprise key management and threat modeling.</w:t>
      </w:r>
    </w:p>
    <w:p w14:paraId="32CB1F3C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GenAI SOC Automation — designed and built AI-powered analyst triage workflows integrating the Claude API, Microsoft Sentinel, and custom MCP tooling to reduce alert fatigue.</w:t>
      </w:r>
    </w:p>
    <w:p w14:paraId="357A1145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Cyberdash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open-source security operations dashboard; available at github.com/tsummey/</w:t>
      </w:r>
      <w:proofErr w:type="spellStart"/>
      <w:r>
        <w:rPr>
          <w:rFonts w:ascii="Calibri" w:eastAsia="Calibri" w:hAnsi="Calibri" w:cs="Calibri"/>
          <w:sz w:val="21"/>
          <w:szCs w:val="21"/>
        </w:rPr>
        <w:t>cyberdash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6F5610E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t>MIT AI &amp; ML Capstone — applied machine learning techniques to enterprise security use cases including anomaly detection and behavioral analytics.</w:t>
      </w:r>
    </w:p>
    <w:p w14:paraId="2E991986" w14:textId="77777777" w:rsidR="0084200B" w:rsidRDefault="00000000" w:rsidP="00040EE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sz w:val="21"/>
          <w:szCs w:val="21"/>
        </w:rPr>
        <w:lastRenderedPageBreak/>
        <w:t>Published author on cybersecurity strategy, threat intelligence, and SOC modernization. Articles available at linkedin.com/in/</w:t>
      </w:r>
      <w:proofErr w:type="spellStart"/>
      <w:r>
        <w:rPr>
          <w:rFonts w:ascii="Calibri" w:eastAsia="Calibri" w:hAnsi="Calibri" w:cs="Calibri"/>
          <w:sz w:val="21"/>
          <w:szCs w:val="21"/>
        </w:rPr>
        <w:t>tedsummey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sectPr w:rsidR="0084200B"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0E669" w14:textId="77777777" w:rsidR="00DA3458" w:rsidRDefault="00DA3458">
      <w:r>
        <w:separator/>
      </w:r>
    </w:p>
  </w:endnote>
  <w:endnote w:type="continuationSeparator" w:id="0">
    <w:p w14:paraId="184E27E6" w14:textId="77777777" w:rsidR="00DA3458" w:rsidRDefault="00DA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F534" w14:textId="77777777" w:rsidR="0084200B" w:rsidRDefault="00000000">
    <w:pPr>
      <w:jc w:val="center"/>
    </w:pPr>
    <w:r>
      <w:rPr>
        <w:rFonts w:ascii="Calibri" w:eastAsia="Calibri" w:hAnsi="Calibri" w:cs="Calibri"/>
        <w:color w:val="333333"/>
        <w:sz w:val="16"/>
        <w:szCs w:val="16"/>
      </w:rPr>
      <w:t xml:space="preserve">Ted Summey, </w:t>
    </w:r>
    <w:proofErr w:type="gramStart"/>
    <w:r>
      <w:rPr>
        <w:rFonts w:ascii="Calibri" w:eastAsia="Calibri" w:hAnsi="Calibri" w:cs="Calibri"/>
        <w:color w:val="333333"/>
        <w:sz w:val="16"/>
        <w:szCs w:val="16"/>
      </w:rPr>
      <w:t>CISSP  |</w:t>
    </w:r>
    <w:proofErr w:type="gramEnd"/>
    <w:r>
      <w:rPr>
        <w:rFonts w:ascii="Calibri" w:eastAsia="Calibri" w:hAnsi="Calibri" w:cs="Calibri"/>
        <w:color w:val="333333"/>
        <w:sz w:val="16"/>
        <w:szCs w:val="16"/>
      </w:rPr>
      <w:t xml:space="preserve">  </w:t>
    </w:r>
    <w:proofErr w:type="gramStart"/>
    <w:r>
      <w:rPr>
        <w:rFonts w:ascii="Calibri" w:eastAsia="Calibri" w:hAnsi="Calibri" w:cs="Calibri"/>
        <w:color w:val="333333"/>
        <w:sz w:val="16"/>
        <w:szCs w:val="16"/>
      </w:rPr>
      <w:t>Confidential  |</w:t>
    </w:r>
    <w:proofErr w:type="gramEnd"/>
    <w:r>
      <w:rPr>
        <w:rFonts w:ascii="Calibri" w:eastAsia="Calibri" w:hAnsi="Calibri" w:cs="Calibri"/>
        <w:color w:val="333333"/>
        <w:sz w:val="16"/>
        <w:szCs w:val="16"/>
      </w:rPr>
      <w:t xml:space="preserve">  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040EEB">
      <w:rPr>
        <w:rFonts w:ascii="Calibri" w:eastAsia="Calibri" w:hAnsi="Calibri" w:cs="Calibri"/>
        <w:noProof/>
        <w:sz w:val="16"/>
        <w:szCs w:val="16"/>
      </w:rPr>
      <w:t>1</w: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  <w:color w:val="333333"/>
        <w:sz w:val="16"/>
        <w:szCs w:val="16"/>
      </w:rPr>
      <w:t xml:space="preserve"> of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NUMPAGES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040EEB">
      <w:rPr>
        <w:rFonts w:ascii="Calibri" w:eastAsia="Calibri" w:hAnsi="Calibri" w:cs="Calibri"/>
        <w:noProof/>
        <w:sz w:val="16"/>
        <w:szCs w:val="16"/>
      </w:rPr>
      <w:t>2</w:t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CEFBC" w14:textId="77777777" w:rsidR="00DA3458" w:rsidRDefault="00DA3458">
      <w:r>
        <w:separator/>
      </w:r>
    </w:p>
  </w:footnote>
  <w:footnote w:type="continuationSeparator" w:id="0">
    <w:p w14:paraId="14F90382" w14:textId="77777777" w:rsidR="00DA3458" w:rsidRDefault="00DA3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8122C"/>
    <w:multiLevelType w:val="hybridMultilevel"/>
    <w:tmpl w:val="63BE0862"/>
    <w:lvl w:ilvl="0" w:tplc="FA18F8BE">
      <w:start w:val="1"/>
      <w:numFmt w:val="bullet"/>
      <w:lvlText w:val="●"/>
      <w:lvlJc w:val="left"/>
      <w:pPr>
        <w:ind w:left="720" w:hanging="360"/>
      </w:pPr>
    </w:lvl>
    <w:lvl w:ilvl="1" w:tplc="161C9518">
      <w:start w:val="1"/>
      <w:numFmt w:val="bullet"/>
      <w:lvlText w:val="○"/>
      <w:lvlJc w:val="left"/>
      <w:pPr>
        <w:ind w:left="1440" w:hanging="360"/>
      </w:pPr>
    </w:lvl>
    <w:lvl w:ilvl="2" w:tplc="2924C7C8">
      <w:start w:val="1"/>
      <w:numFmt w:val="bullet"/>
      <w:lvlText w:val="■"/>
      <w:lvlJc w:val="left"/>
      <w:pPr>
        <w:ind w:left="2160" w:hanging="360"/>
      </w:pPr>
    </w:lvl>
    <w:lvl w:ilvl="3" w:tplc="ECC85FFE">
      <w:start w:val="1"/>
      <w:numFmt w:val="bullet"/>
      <w:lvlText w:val="●"/>
      <w:lvlJc w:val="left"/>
      <w:pPr>
        <w:ind w:left="2880" w:hanging="360"/>
      </w:pPr>
    </w:lvl>
    <w:lvl w:ilvl="4" w:tplc="17BE356E">
      <w:start w:val="1"/>
      <w:numFmt w:val="bullet"/>
      <w:lvlText w:val="○"/>
      <w:lvlJc w:val="left"/>
      <w:pPr>
        <w:ind w:left="3600" w:hanging="360"/>
      </w:pPr>
    </w:lvl>
    <w:lvl w:ilvl="5" w:tplc="27344898">
      <w:start w:val="1"/>
      <w:numFmt w:val="bullet"/>
      <w:lvlText w:val="■"/>
      <w:lvlJc w:val="left"/>
      <w:pPr>
        <w:ind w:left="4320" w:hanging="360"/>
      </w:pPr>
    </w:lvl>
    <w:lvl w:ilvl="6" w:tplc="6C68561E">
      <w:start w:val="1"/>
      <w:numFmt w:val="bullet"/>
      <w:lvlText w:val="●"/>
      <w:lvlJc w:val="left"/>
      <w:pPr>
        <w:ind w:left="5040" w:hanging="360"/>
      </w:pPr>
    </w:lvl>
    <w:lvl w:ilvl="7" w:tplc="415E04B4">
      <w:start w:val="1"/>
      <w:numFmt w:val="bullet"/>
      <w:lvlText w:val="●"/>
      <w:lvlJc w:val="left"/>
      <w:pPr>
        <w:ind w:left="5760" w:hanging="360"/>
      </w:pPr>
    </w:lvl>
    <w:lvl w:ilvl="8" w:tplc="B972E7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524C50"/>
    <w:multiLevelType w:val="hybridMultilevel"/>
    <w:tmpl w:val="B348817C"/>
    <w:lvl w:ilvl="0" w:tplc="06380F66">
      <w:start w:val="1"/>
      <w:numFmt w:val="bullet"/>
      <w:lvlText w:val="▸"/>
      <w:lvlJc w:val="left"/>
      <w:pPr>
        <w:ind w:left="480" w:hanging="240"/>
      </w:pPr>
    </w:lvl>
    <w:lvl w:ilvl="1" w:tplc="43405810">
      <w:numFmt w:val="decimal"/>
      <w:lvlText w:val=""/>
      <w:lvlJc w:val="left"/>
    </w:lvl>
    <w:lvl w:ilvl="2" w:tplc="F0940B3C">
      <w:numFmt w:val="decimal"/>
      <w:lvlText w:val=""/>
      <w:lvlJc w:val="left"/>
    </w:lvl>
    <w:lvl w:ilvl="3" w:tplc="42FC16A4">
      <w:numFmt w:val="decimal"/>
      <w:lvlText w:val=""/>
      <w:lvlJc w:val="left"/>
    </w:lvl>
    <w:lvl w:ilvl="4" w:tplc="147E9778">
      <w:numFmt w:val="decimal"/>
      <w:lvlText w:val=""/>
      <w:lvlJc w:val="left"/>
    </w:lvl>
    <w:lvl w:ilvl="5" w:tplc="5C3037D4">
      <w:numFmt w:val="decimal"/>
      <w:lvlText w:val=""/>
      <w:lvlJc w:val="left"/>
    </w:lvl>
    <w:lvl w:ilvl="6" w:tplc="37AADD98">
      <w:numFmt w:val="decimal"/>
      <w:lvlText w:val=""/>
      <w:lvlJc w:val="left"/>
    </w:lvl>
    <w:lvl w:ilvl="7" w:tplc="C2A82FC6">
      <w:numFmt w:val="decimal"/>
      <w:lvlText w:val=""/>
      <w:lvlJc w:val="left"/>
    </w:lvl>
    <w:lvl w:ilvl="8" w:tplc="1E5AC732">
      <w:numFmt w:val="decimal"/>
      <w:lvlText w:val=""/>
      <w:lvlJc w:val="left"/>
    </w:lvl>
  </w:abstractNum>
  <w:abstractNum w:abstractNumId="2" w15:restartNumberingAfterBreak="0">
    <w:nsid w:val="78355AB2"/>
    <w:multiLevelType w:val="hybridMultilevel"/>
    <w:tmpl w:val="6C7417E4"/>
    <w:lvl w:ilvl="0" w:tplc="04A0C770">
      <w:start w:val="1"/>
      <w:numFmt w:val="bullet"/>
      <w:lvlText w:val="•"/>
      <w:lvlJc w:val="left"/>
      <w:pPr>
        <w:ind w:left="480" w:hanging="240"/>
      </w:pPr>
    </w:lvl>
    <w:lvl w:ilvl="1" w:tplc="B7D05F38">
      <w:numFmt w:val="decimal"/>
      <w:lvlText w:val=""/>
      <w:lvlJc w:val="left"/>
    </w:lvl>
    <w:lvl w:ilvl="2" w:tplc="82FEDE04">
      <w:numFmt w:val="decimal"/>
      <w:lvlText w:val=""/>
      <w:lvlJc w:val="left"/>
    </w:lvl>
    <w:lvl w:ilvl="3" w:tplc="F3AE163C">
      <w:numFmt w:val="decimal"/>
      <w:lvlText w:val=""/>
      <w:lvlJc w:val="left"/>
    </w:lvl>
    <w:lvl w:ilvl="4" w:tplc="58C63826">
      <w:numFmt w:val="decimal"/>
      <w:lvlText w:val=""/>
      <w:lvlJc w:val="left"/>
    </w:lvl>
    <w:lvl w:ilvl="5" w:tplc="883E1270">
      <w:numFmt w:val="decimal"/>
      <w:lvlText w:val=""/>
      <w:lvlJc w:val="left"/>
    </w:lvl>
    <w:lvl w:ilvl="6" w:tplc="A9E64996">
      <w:numFmt w:val="decimal"/>
      <w:lvlText w:val=""/>
      <w:lvlJc w:val="left"/>
    </w:lvl>
    <w:lvl w:ilvl="7" w:tplc="8AAA3980">
      <w:numFmt w:val="decimal"/>
      <w:lvlText w:val=""/>
      <w:lvlJc w:val="left"/>
    </w:lvl>
    <w:lvl w:ilvl="8" w:tplc="733A1AF0">
      <w:numFmt w:val="decimal"/>
      <w:lvlText w:val=""/>
      <w:lvlJc w:val="left"/>
    </w:lvl>
  </w:abstractNum>
  <w:num w:numId="1" w16cid:durableId="1426802281">
    <w:abstractNumId w:val="0"/>
    <w:lvlOverride w:ilvl="0">
      <w:startOverride w:val="1"/>
    </w:lvlOverride>
  </w:num>
  <w:num w:numId="2" w16cid:durableId="19232996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00B"/>
    <w:rsid w:val="00040EEB"/>
    <w:rsid w:val="00492283"/>
    <w:rsid w:val="0084200B"/>
    <w:rsid w:val="00DA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C466B"/>
  <w15:docId w15:val="{5A1E997F-7849-4B30-A107-38D0CED0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tedsummey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summey@tsummey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summ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963</Words>
  <Characters>6481</Characters>
  <Application>Microsoft Office Word</Application>
  <DocSecurity>0</DocSecurity>
  <Lines>111</Lines>
  <Paragraphs>86</Paragraphs>
  <ScaleCrop>false</ScaleCrop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Ted Summey</cp:lastModifiedBy>
  <cp:revision>3</cp:revision>
  <dcterms:created xsi:type="dcterms:W3CDTF">2026-06-22T15:58:00Z</dcterms:created>
  <dcterms:modified xsi:type="dcterms:W3CDTF">2026-06-22T16:04:00Z</dcterms:modified>
</cp:coreProperties>
</file>