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olor w:val="0A1628"/>
          <w:sz w:val="52"/>
          <w:szCs w:val="52"/>
        </w:rPr>
        <w:t xml:space="preserve">Ted Summey, CISSP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b/>
          <w:bCs/>
          <w:color w:val="0D7377"/>
          <w:sz w:val="26"/>
          <w:szCs w:val="26"/>
        </w:rPr>
        <w:t xml:space="preserve">Cybersecurity Executive  |  Technical Architect  |  Federal &amp; Enterprise Leader</w:t>
      </w:r>
    </w:p>
    <w:p>
      <w:pPr>
        <w:spacing w:after="200" w:before="0"/>
        <w:jc w:val="center"/>
      </w:pPr>
      <w:hyperlink w:history="1" r:id="rIdlxvr0bkdjdwlmylxsdpou">
        <w:r>
          <w:rPr>
            <w:rFonts w:ascii="Calibri" w:cs="Calibri" w:eastAsia="Calibri" w:hAnsi="Calibri"/>
            <w:color w:val="0D7377"/>
            <w:sz w:val="20"/>
            <w:szCs w:val="20"/>
          </w:rPr>
          <w:t xml:space="preserve">tsummey@tsummey.com</w:t>
        </w:r>
      </w:hyperlink>
      <w:r>
        <w:rPr>
          <w:rFonts w:ascii="Calibri" w:cs="Calibri" w:eastAsia="Calibri" w:hAnsi="Calibri"/>
          <w:color w:val="333333"/>
          <w:sz w:val="20"/>
          <w:szCs w:val="20"/>
        </w:rPr>
        <w:t xml:space="preserve">   |   +1 574-780-0857   |   </w:t>
      </w:r>
      <w:hyperlink w:history="1" r:id="rId7jgfj6fvdjergumgwbzq5">
        <w:r>
          <w:rPr>
            <w:rFonts w:ascii="Calibri" w:cs="Calibri" w:eastAsia="Calibri" w:hAnsi="Calibri"/>
            <w:color w:val="0D7377"/>
            <w:sz w:val="20"/>
            <w:szCs w:val="20"/>
          </w:rPr>
          <w:t xml:space="preserve">linkedin.com/in/tedsummey</w:t>
        </w:r>
      </w:hyperlink>
      <w:r>
        <w:rPr>
          <w:rFonts w:ascii="Calibri" w:cs="Calibri" w:eastAsia="Calibri" w:hAnsi="Calibri"/>
          <w:color w:val="333333"/>
          <w:sz w:val="20"/>
          <w:szCs w:val="20"/>
        </w:rPr>
        <w:t xml:space="preserve">   |   </w:t>
      </w:r>
      <w:hyperlink w:history="1" r:id="rIdrnkerymedepacfstnid9p">
        <w:r>
          <w:rPr>
            <w:rFonts w:ascii="Calibri" w:cs="Calibri" w:eastAsia="Calibri" w:hAnsi="Calibri"/>
            <w:color w:val="0D7377"/>
            <w:sz w:val="20"/>
            <w:szCs w:val="20"/>
          </w:rPr>
          <w:t xml:space="preserve">github.com/tsummey</w:t>
        </w:r>
      </w:hyperlink>
      <w:r>
        <w:rPr>
          <w:rFonts w:ascii="Calibri" w:cs="Calibri" w:eastAsia="Calibri" w:hAnsi="Calibri"/>
          <w:color w:val="333333"/>
          <w:sz w:val="20"/>
          <w:szCs w:val="20"/>
        </w:rPr>
        <w:t xml:space="preserve">   |   Knoxville, TN</w:t>
      </w:r>
    </w:p>
    <w:p>
      <w:pPr>
        <w:pBdr>
          <w:bottom w:val="single" w:color="0D7377" w:sz="8" w:space="4"/>
        </w:pBdr>
        <w:spacing w:after="120" w:before="240"/>
      </w:pPr>
      <w:r>
        <w:rPr>
          <w:rFonts w:ascii="Calibri" w:cs="Calibri" w:eastAsia="Calibri" w:hAnsi="Calibri"/>
          <w:b/>
          <w:bCs/>
          <w:color w:val="0A1628"/>
          <w:sz w:val="24"/>
          <w:szCs w:val="24"/>
        </w:rPr>
        <w:t xml:space="preserve">CAREER HIGHLIGHTS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Reduced ransomware incidents 85% in 6 months </w:t>
      </w:r>
      <w:r>
        <w:rPr>
          <w:rFonts w:ascii="Calibri" w:cs="Calibri" w:eastAsia="Calibri" w:hAnsi="Calibri"/>
          <w:sz w:val="21"/>
          <w:szCs w:val="21"/>
        </w:rPr>
        <w:t xml:space="preserve">at Vidant Health — personally rebuilt SOC operations, IR playbooks, and network segmentation architecture.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Eliminated $287K in annual overhead </w:t>
      </w:r>
      <w:r>
        <w:rPr>
          <w:rFonts w:ascii="Calibri" w:cs="Calibri" w:eastAsia="Calibri" w:hAnsi="Calibri"/>
          <w:sz w:val="21"/>
          <w:szCs w:val="21"/>
        </w:rPr>
        <w:t xml:space="preserve">at Walgreens through hands-on tooling rationalization and process redesign as a Trustwave advisory consultant.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Cut $12K/month in AWS spend and reduced SIEM ingestion 300% </w:t>
      </w:r>
      <w:r>
        <w:rPr>
          <w:rFonts w:ascii="Calibri" w:cs="Calibri" w:eastAsia="Calibri" w:hAnsi="Calibri"/>
          <w:sz w:val="21"/>
          <w:szCs w:val="21"/>
        </w:rPr>
        <w:t xml:space="preserve">at Verizon through MXDR platform architecture redesign — no detection coverage lost.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Embedded in SNCTC fusion center alongside FBI, DHS, Treasury, DOE, and TSA </w:t>
      </w:r>
      <w:r>
        <w:rPr>
          <w:rFonts w:ascii="Calibri" w:cs="Calibri" w:eastAsia="Calibri" w:hAnsi="Calibri"/>
          <w:sz w:val="21"/>
          <w:szCs w:val="21"/>
        </w:rPr>
        <w:t xml:space="preserve">— delivered national-level cyber threat advisories via the Homeland Security Information Network (HSIN).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Deployed SIEM across 14,400+ endpoints; </w:t>
      </w:r>
      <w:r>
        <w:rPr>
          <w:rFonts w:ascii="Calibri" w:cs="Calibri" w:eastAsia="Calibri" w:hAnsi="Calibri"/>
          <w:sz w:val="21"/>
          <w:szCs w:val="21"/>
        </w:rPr>
        <w:t xml:space="preserve">built GenAI-powered SOC automation with Claude API and Microsoft Sentinel that materially reduced analyst triage time.</w:t>
      </w:r>
    </w:p>
    <w:p>
      <w:pPr>
        <w:pBdr>
          <w:bottom w:val="single" w:color="0D7377" w:sz="8" w:space="4"/>
        </w:pBdr>
        <w:spacing w:after="120" w:before="240"/>
      </w:pPr>
      <w:r>
        <w:rPr>
          <w:rFonts w:ascii="Calibri" w:cs="Calibri" w:eastAsia="Calibri" w:hAnsi="Calibri"/>
          <w:b/>
          <w:bCs/>
          <w:color w:val="0A1628"/>
          <w:sz w:val="24"/>
          <w:szCs w:val="24"/>
        </w:rPr>
        <w:t xml:space="preserve">PROFESSIONAL EXPERIENCE</w:t>
      </w:r>
    </w:p>
    <w:p>
      <w:pPr>
        <w:tabs>
          <w:tab w:val="right" w:pos="10080"/>
        </w:tabs>
        <w:spacing w:after="40" w:before="1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Palo Alto Networks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  |  </w:t>
      </w:r>
      <w:r>
        <w:rPr>
          <w:rFonts w:ascii="Calibri" w:cs="Calibri" w:eastAsia="Calibri" w:hAnsi="Calibri"/>
          <w:i/>
          <w:iCs/>
          <w:color w:val="333333"/>
          <w:sz w:val="22"/>
          <w:szCs w:val="22"/>
        </w:rPr>
        <w:t xml:space="preserve">Security Engineer / Specialist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2025 – Present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sz w:val="21"/>
          <w:szCs w:val="21"/>
        </w:rPr>
        <w:t xml:space="preserve">Architect and deploy Cortex XSIAM and XSOAR solutions for enterprise and federal accounts; translate complex platform capability into field-ready security operations programs.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sz w:val="21"/>
          <w:szCs w:val="21"/>
        </w:rPr>
        <w:t xml:space="preserve">Bridge customer requirements to product teams, accelerating feature adoption and reducing time-to-value across SOC modernization engagements.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sz w:val="21"/>
          <w:szCs w:val="21"/>
        </w:rPr>
        <w:t xml:space="preserve">Operate as a hands-on technical resource throughout the full sales and delivery lifecycle — from discovery and design through production deployment and validation.</w:t>
      </w:r>
    </w:p>
    <w:p>
      <w:pPr>
        <w:tabs>
          <w:tab w:val="right" w:pos="10080"/>
        </w:tabs>
        <w:spacing w:after="40" w:before="1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Verizon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  |  </w:t>
      </w:r>
      <w:r>
        <w:rPr>
          <w:rFonts w:ascii="Calibri" w:cs="Calibri" w:eastAsia="Calibri" w:hAnsi="Calibri"/>
          <w:i/>
          <w:iCs/>
          <w:color w:val="333333"/>
          <w:sz w:val="22"/>
          <w:szCs w:val="22"/>
        </w:rPr>
        <w:t xml:space="preserve">Senior Security Architect  |  MXDR Product Lead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2022 – 2025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sz w:val="21"/>
          <w:szCs w:val="21"/>
        </w:rPr>
        <w:t xml:space="preserve">Led product innovation and technical architecture for Verizon's Managed Extended Detection and Response (MXDR) platform serving mid-market and enterprise clients.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sz w:val="21"/>
          <w:szCs w:val="21"/>
        </w:rPr>
        <w:t xml:space="preserve">Redesigned cloud infrastructure, cutting AWS spend by $12,000/month; restructured log ingestion pipeline, reducing SIEM volume 300% without loss of detection coverage.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sz w:val="21"/>
          <w:szCs w:val="21"/>
        </w:rPr>
        <w:t xml:space="preserve">Built GenAI-powered analyst triage automation using Microsoft Sentinel and Claude API, reducing mean time to respond and enabling SOC scale without headcount growth.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sz w:val="21"/>
          <w:szCs w:val="21"/>
        </w:rPr>
        <w:t xml:space="preserve">Authored technical playbooks and detection engineering content adopted across the MXDR delivery organization.</w:t>
      </w:r>
    </w:p>
    <w:p>
      <w:pPr>
        <w:tabs>
          <w:tab w:val="right" w:pos="10080"/>
        </w:tabs>
        <w:spacing w:after="40" w:before="1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ZeroFOX  |  CyberClan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  |  </w:t>
      </w:r>
      <w:r>
        <w:rPr>
          <w:rFonts w:ascii="Calibri" w:cs="Calibri" w:eastAsia="Calibri" w:hAnsi="Calibri"/>
          <w:i/>
          <w:iCs/>
          <w:color w:val="333333"/>
          <w:sz w:val="22"/>
          <w:szCs w:val="22"/>
        </w:rPr>
        <w:t xml:space="preserve">Senior Security Engineer  |  MDR Specialist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2020 – 2022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sz w:val="21"/>
          <w:szCs w:val="21"/>
        </w:rPr>
        <w:t xml:space="preserve">Drove MDR and digital risk protection technical strategy for law enforcement, financial services, and federal sector clients.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sz w:val="21"/>
          <w:szCs w:val="21"/>
        </w:rPr>
        <w:t xml:space="preserve">Embedded in the Southern Nevada Counterterrorism Center (SNCTC) fusion center — collaborated directly with FBI, DHS, Treasury, DOE, and TSA analysts on active cyber threat monitoring and disseminated advisories via HSIN.</w:t>
      </w:r>
    </w:p>
    <w:p>
      <w:pPr>
        <w:tabs>
          <w:tab w:val="right" w:pos="10080"/>
        </w:tabs>
        <w:spacing w:after="40" w:before="1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BlueVoyant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  |  </w:t>
      </w:r>
      <w:r>
        <w:rPr>
          <w:rFonts w:ascii="Calibri" w:cs="Calibri" w:eastAsia="Calibri" w:hAnsi="Calibri"/>
          <w:i/>
          <w:iCs/>
          <w:color w:val="333333"/>
          <w:sz w:val="22"/>
          <w:szCs w:val="22"/>
        </w:rPr>
        <w:t xml:space="preserve">Director / VP, Americas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2018 – 2020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sz w:val="21"/>
          <w:szCs w:val="21"/>
        </w:rPr>
        <w:t xml:space="preserve">Directed Americas security operations: managed three regional managers and 15+ security engineers with full P&amp;L responsibility.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sz w:val="21"/>
          <w:szCs w:val="21"/>
        </w:rPr>
        <w:t xml:space="preserve">Advised boards and C-suites at financial services, healthcare, and government organizations on enterprise security program risk, architecture, and vendor strategy.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sz w:val="21"/>
          <w:szCs w:val="21"/>
        </w:rPr>
        <w:t xml:space="preserve">Scaled MDR client base across three verticals; built go-to-market technical framework adopted by the global sales organization.</w:t>
      </w:r>
    </w:p>
    <w:p>
      <w:pPr>
        <w:tabs>
          <w:tab w:val="right" w:pos="10080"/>
        </w:tabs>
        <w:spacing w:after="40" w:before="1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LookingGlass Cyber Solutions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  |  </w:t>
      </w:r>
      <w:r>
        <w:rPr>
          <w:rFonts w:ascii="Calibri" w:cs="Calibri" w:eastAsia="Calibri" w:hAnsi="Calibri"/>
          <w:i/>
          <w:iCs/>
          <w:color w:val="333333"/>
          <w:sz w:val="22"/>
          <w:szCs w:val="22"/>
        </w:rPr>
        <w:t xml:space="preserve">Senior Solutions Engineer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2016 – 2018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sz w:val="21"/>
          <w:szCs w:val="21"/>
        </w:rPr>
        <w:t xml:space="preserve">Accompanied CEO to MENA ISC Saudi Arabia; led technical positioning that closed the company's first international federal contract.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sz w:val="21"/>
          <w:szCs w:val="21"/>
        </w:rPr>
        <w:t xml:space="preserve">Developed GTM technical strategy and delivered threat intelligence briefings to DoD, IRS, DHS, Secret Service, and allied intelligence community stakeholders.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sz w:val="21"/>
          <w:szCs w:val="21"/>
        </w:rPr>
        <w:t xml:space="preserve">Authored RFI and RFP responses for federal acquisition cycles; positioned attack surface management and threat intelligence solutions.</w:t>
      </w:r>
    </w:p>
    <w:p>
      <w:pPr>
        <w:tabs>
          <w:tab w:val="right" w:pos="10080"/>
        </w:tabs>
        <w:spacing w:after="40" w:before="1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Vidant Health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  |  </w:t>
      </w:r>
      <w:r>
        <w:rPr>
          <w:rFonts w:ascii="Calibri" w:cs="Calibri" w:eastAsia="Calibri" w:hAnsi="Calibri"/>
          <w:i/>
          <w:iCs/>
          <w:color w:val="333333"/>
          <w:sz w:val="22"/>
          <w:szCs w:val="22"/>
        </w:rPr>
        <w:t xml:space="preserve">Security Manager / Director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2015 – 2017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sz w:val="21"/>
          <w:szCs w:val="21"/>
        </w:rPr>
        <w:t xml:space="preserve">Directed SOC, incident response, and security architecture across three departments for a major regional healthcare system.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sz w:val="21"/>
          <w:szCs w:val="21"/>
        </w:rPr>
        <w:t xml:space="preserve">Reduced ransomware incidents 85% within 6 months by personally rebuilding detection rules, IR procedures, network segmentation, and endpoint controls.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sz w:val="21"/>
          <w:szCs w:val="21"/>
        </w:rPr>
        <w:t xml:space="preserve">Implemented security monitoring and compliance frameworks under HIPAA/HITECH requirements.</w:t>
      </w:r>
    </w:p>
    <w:p>
      <w:pPr>
        <w:tabs>
          <w:tab w:val="right" w:pos="10080"/>
        </w:tabs>
        <w:spacing w:after="40" w:before="1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Trustwave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  |  </w:t>
      </w:r>
      <w:r>
        <w:rPr>
          <w:rFonts w:ascii="Calibri" w:cs="Calibri" w:eastAsia="Calibri" w:hAnsi="Calibri"/>
          <w:i/>
          <w:iCs/>
          <w:color w:val="333333"/>
          <w:sz w:val="22"/>
          <w:szCs w:val="22"/>
        </w:rPr>
        <w:t xml:space="preserve">Senior Security Engineer &amp; Advisory Consultant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2012 – 2015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sz w:val="21"/>
          <w:szCs w:val="21"/>
        </w:rPr>
        <w:t xml:space="preserve">Advised Fortune 500 clients including Sony, Disney, Wells Fargo, Yahoo, American Express, and Walgreens on security program maturity, architecture, and risk remediation.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sz w:val="21"/>
          <w:szCs w:val="21"/>
        </w:rPr>
        <w:t xml:space="preserve">Personally identified and eliminated $287K in annual overhead at Walgreens through tooling rationalization and process redesign.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sz w:val="21"/>
          <w:szCs w:val="21"/>
        </w:rPr>
        <w:t xml:space="preserve">Protected Caesars Entertainment during DEF CON and World Series of Poker via continuous active threat monitoring and incident response readiness.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sz w:val="21"/>
          <w:szCs w:val="21"/>
        </w:rPr>
        <w:t xml:space="preserve">Deployed SIEM agents across 14,400+ endpoints; authored detection rules and correlation logic for enterprise SOC environments.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Earlier Career (2000 – 2012)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  Senior Infrastructure, Systems &amp; Network Engineer progressing into Information Security and Risk Management leadership at financial institutions operating under GLBA and FFIEC compliance frameworks.</w:t>
      </w:r>
    </w:p>
    <w:p>
      <w:r>
        <w:br w:type="page"/>
      </w:r>
    </w:p>
    <w:p>
      <w:pPr>
        <w:pBdr>
          <w:bottom w:val="single" w:color="0D7377" w:sz="8" w:space="4"/>
        </w:pBdr>
        <w:spacing w:after="120" w:before="240"/>
      </w:pPr>
      <w:r>
        <w:rPr>
          <w:rFonts w:ascii="Calibri" w:cs="Calibri" w:eastAsia="Calibri" w:hAnsi="Calibri"/>
          <w:b/>
          <w:bCs/>
          <w:color w:val="0A1628"/>
          <w:sz w:val="24"/>
          <w:szCs w:val="24"/>
        </w:rPr>
        <w:t xml:space="preserve">TECHNICAL EXPERTISE</w:t>
      </w:r>
    </w:p>
    <w:p>
      <w:pPr>
        <w:spacing w:after="40" w:before="4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SIEM / SOAR: Cortex XSIAM, Cortex XSOAR, Microsoft Sentinel, Splunk, IBM QRadar</w:t>
      </w:r>
    </w:p>
    <w:p>
      <w:pPr>
        <w:spacing w:after="40" w:before="4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Cloud Security: AWS (Security Hub, GuardDuty), Microsoft Azure (Defender, Sentinel, AZ-500), Azure AD</w:t>
      </w:r>
    </w:p>
    <w:p>
      <w:pPr>
        <w:spacing w:after="40" w:before="4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Endpoint &amp; XDR: CrowdStrike Falcon, SentinelOne, Microsoft Defender for Endpoint, Tanium</w:t>
      </w:r>
    </w:p>
    <w:p>
      <w:pPr>
        <w:spacing w:after="40" w:before="4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Threat Intelligence: LookingGlass, ZeroFOX, OSINT, HSIN, fusion center operations</w:t>
      </w:r>
    </w:p>
    <w:p>
      <w:pPr>
        <w:spacing w:after="40" w:before="4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AI / GenAI: Claude API, Model Context Protocol (MCP), Microsoft Copilot, GenAI SOC automation</w:t>
      </w:r>
    </w:p>
    <w:p>
      <w:pPr>
        <w:spacing w:after="40" w:before="4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Identity &amp; Access: Okta, Azure Active Directory, Privileged Access Management (PAM), MFA</w:t>
      </w:r>
    </w:p>
    <w:p>
      <w:pPr>
        <w:spacing w:after="40" w:before="4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Architecture: Zero Trust, SASE, network segmentation, cloud-native SOC design</w:t>
      </w:r>
    </w:p>
    <w:p>
      <w:pPr>
        <w:spacing w:after="40" w:before="4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IR &amp; Forensics: incident response playbook development, active threat hunting, malware analysis</w:t>
      </w:r>
    </w:p>
    <w:p>
      <w:pPr>
        <w:spacing w:after="40" w:before="4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Compliance: HIPAA/HITECH, GLBA, FFIEC, NIST CSF, FedRAMP, DoD frameworks</w:t>
      </w:r>
    </w:p>
    <w:p>
      <w:pPr>
        <w:pBdr>
          <w:bottom w:val="single" w:color="0D7377" w:sz="8" w:space="4"/>
        </w:pBdr>
        <w:spacing w:after="120" w:before="240"/>
      </w:pPr>
      <w:r>
        <w:rPr>
          <w:rFonts w:ascii="Calibri" w:cs="Calibri" w:eastAsia="Calibri" w:hAnsi="Calibri"/>
          <w:b/>
          <w:bCs/>
          <w:color w:val="0A1628"/>
          <w:sz w:val="24"/>
          <w:szCs w:val="24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sz w:val="21"/>
          <w:szCs w:val="21"/>
        </w:rPr>
        <w:t xml:space="preserve">CISSP — ISC2  |  Active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sz w:val="21"/>
          <w:szCs w:val="21"/>
        </w:rPr>
        <w:t xml:space="preserve">XSIAM Engineer — Palo Alto Networks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sz w:val="21"/>
          <w:szCs w:val="21"/>
        </w:rPr>
        <w:t xml:space="preserve">Introduction to Agent Skills — Anthropic  |  2025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sz w:val="21"/>
          <w:szCs w:val="21"/>
        </w:rPr>
        <w:t xml:space="preserve">Building with the Claude API — Anthropic  |  2025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sz w:val="21"/>
          <w:szCs w:val="21"/>
        </w:rPr>
        <w:t xml:space="preserve">Introduction to Model Context Protocol (MCP) — Anthropic  |  2025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sz w:val="21"/>
          <w:szCs w:val="21"/>
        </w:rPr>
        <w:t xml:space="preserve">Claude Code in Action — Anthropic  |  2025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sz w:val="21"/>
          <w:szCs w:val="21"/>
        </w:rPr>
        <w:t xml:space="preserve">AZ-500: Microsoft Azure Security Engineer Associate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sz w:val="21"/>
          <w:szCs w:val="21"/>
        </w:rPr>
        <w:t xml:space="preserve">SC-200: Microsoft Security Operations Analyst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sz w:val="21"/>
          <w:szCs w:val="21"/>
        </w:rPr>
        <w:t xml:space="preserve">AZ-104: Microsoft Azure Administrator Associate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sz w:val="21"/>
          <w:szCs w:val="21"/>
        </w:rPr>
        <w:t xml:space="preserve">AWS Cloud Practitioner — Amazon Web Services</w:t>
      </w:r>
    </w:p>
    <w:p>
      <w:pPr>
        <w:pBdr>
          <w:bottom w:val="single" w:color="0D7377" w:sz="8" w:space="4"/>
        </w:pBdr>
        <w:spacing w:after="120" w:before="240"/>
      </w:pPr>
      <w:r>
        <w:rPr>
          <w:rFonts w:ascii="Calibri" w:cs="Calibri" w:eastAsia="Calibri" w:hAnsi="Calibri"/>
          <w:b/>
          <w:bCs/>
          <w:color w:val="0A1628"/>
          <w:sz w:val="24"/>
          <w:szCs w:val="24"/>
        </w:rPr>
        <w:t xml:space="preserve">EDUCATION</w:t>
      </w:r>
    </w:p>
    <w:p>
      <w:pPr>
        <w:tabs>
          <w:tab w:val="right" w:pos="10080"/>
        </w:tabs>
        <w:spacing w:after="2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Bachelor of Science, Business Management</w:t>
      </w:r>
      <w:r>
        <w:rPr>
          <w:rFonts w:ascii="Calibri" w:cs="Calibri" w:eastAsia="Calibri" w:hAnsi="Calibri"/>
          <w:sz w:val="21"/>
          <w:szCs w:val="21"/>
        </w:rPr>
        <w:t xml:space="preserve">	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2020</w:t>
      </w:r>
    </w:p>
    <w:p>
      <w:pPr>
        <w:spacing w:after="40" w:before="4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Western Governors University (WGU)  |  Salt Lake City, UT</w:t>
      </w:r>
    </w:p>
    <w:p>
      <w:pPr>
        <w:tabs>
          <w:tab w:val="right" w:pos="10080"/>
        </w:tabs>
        <w:spacing w:after="20" w:before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Associate of Science, Computer Science</w:t>
      </w:r>
      <w:r>
        <w:rPr>
          <w:rFonts w:ascii="Calibri" w:cs="Calibri" w:eastAsia="Calibri" w:hAnsi="Calibri"/>
          <w:sz w:val="21"/>
          <w:szCs w:val="21"/>
        </w:rPr>
        <w:t xml:space="preserve">	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2004</w:t>
      </w:r>
    </w:p>
    <w:p>
      <w:pPr>
        <w:spacing w:after="40" w:before="4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Indiana University South Bend (IUSB)  |  South Bend, IN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MIT Capstone: AI &amp; Machine Learning for Business</w:t>
      </w:r>
    </w:p>
    <w:p>
      <w:pPr>
        <w:spacing w:after="40" w:before="4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Massachusetts Institute of Technology  |  Professional Education</w:t>
      </w:r>
    </w:p>
    <w:p>
      <w:pPr>
        <w:pBdr>
          <w:bottom w:val="single" w:color="0D7377" w:sz="8" w:space="4"/>
        </w:pBdr>
        <w:spacing w:after="120" w:before="240"/>
      </w:pPr>
      <w:r>
        <w:rPr>
          <w:rFonts w:ascii="Calibri" w:cs="Calibri" w:eastAsia="Calibri" w:hAnsi="Calibri"/>
          <w:b/>
          <w:bCs/>
          <w:color w:val="0A1628"/>
          <w:sz w:val="24"/>
          <w:szCs w:val="24"/>
        </w:rPr>
        <w:t xml:space="preserve">SELECTED PROJECTS AND PUBLICATIONS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sz w:val="21"/>
          <w:szCs w:val="21"/>
        </w:rPr>
        <w:t xml:space="preserve">Post-Quantum Cryptography Research — hands-on exploration of NIST PQC algorithm candidates applied to enterprise key management and threat modeling.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sz w:val="21"/>
          <w:szCs w:val="21"/>
        </w:rPr>
        <w:t xml:space="preserve">GenAI SOC Automation — designed and built AI-powered analyst triage workflows integrating the Claude API, Microsoft Sentinel, and custom MCP tooling to reduce alert fatigue.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sz w:val="21"/>
          <w:szCs w:val="21"/>
        </w:rPr>
        <w:t xml:space="preserve">Cyberdash — open-source security operations dashboard; available at github.com/tsummey/cyberdash.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sz w:val="21"/>
          <w:szCs w:val="21"/>
        </w:rPr>
        <w:t xml:space="preserve">MIT AI &amp; ML Capstone — applied machine learning techniques to enterprise security use cases including anomaly detection and behavioral analytics.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sz w:val="21"/>
          <w:szCs w:val="21"/>
        </w:rPr>
        <w:t xml:space="preserve">Published author on cybersecurity strategy, threat intelligence, and SOC modernization. Articles available at linkedin.com/in/tedsummey.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333333"/>
        <w:sz w:val="16"/>
        <w:szCs w:val="16"/>
      </w:rPr>
      <w:t xml:space="preserve">Ted Summey, CISSP  |  Confidential  |  Page </w:t>
    </w:r>
    <w:r>
      <w:rPr>
        <w:rFonts w:ascii="Calibri" w:cs="Calibri" w:eastAsia="Calibri" w:hAnsi="Calibri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333333"/>
        <w:sz w:val="16"/>
        <w:szCs w:val="16"/>
      </w:rPr>
      <w:t xml:space="preserve"> of </w:t>
    </w:r>
    <w:r>
      <w:rPr>
        <w:rFonts w:ascii="Calibri" w:cs="Calibri" w:eastAsia="Calibri" w:hAnsi="Calibri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▸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lxvr0bkdjdwlmylxsdpou" Type="http://schemas.openxmlformats.org/officeDocument/2006/relationships/hyperlink" Target="mailto:tsummey@tsummey.com" TargetMode="External"/><Relationship Id="rId7jgfj6fvdjergumgwbzq5" Type="http://schemas.openxmlformats.org/officeDocument/2006/relationships/hyperlink" Target="https://linkedin.com/in/tedsummey" TargetMode="External"/><Relationship Id="rIdrnkerymedepacfstnid9p" Type="http://schemas.openxmlformats.org/officeDocument/2006/relationships/hyperlink" Target="https://github.com/tsummey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2026-06-22T15:58:01.360Z</dcterms:created>
  <dcterms:modified xsi:type="dcterms:W3CDTF">2026-06-22T15:58:01.361Z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