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Yu Gothic" w:cs="Yu Gothic" w:eastAsia="Yu Gothic" w:hAnsi="Yu Gothic"/>
          <w:b/>
          <w:bCs/>
          <w:sz w:val="36"/>
          <w:szCs w:val="36"/>
        </w:rPr>
        <w:t xml:space="preserve">NOVARE 実験 実行計画書</w:t>
      </w:r>
    </w:p>
    <w:p>
      <w:pPr>
        <w:spacing w:after="60"/>
        <w:jc w:val="center"/>
      </w:pPr>
      <w:r>
        <w:rPr>
          <w:rFonts w:ascii="Yu Gothic" w:cs="Yu Gothic" w:eastAsia="Yu Gothic" w:hAnsi="Yu Gothic"/>
          <w:sz w:val="24"/>
          <w:szCs w:val="24"/>
        </w:rPr>
        <w:t xml:space="preserve">― データ分析および性能確認書の一貫出力 ―</w:t>
      </w:r>
    </w:p>
    <w:p>
      <w:pPr>
        <w:spacing w:after="400"/>
        <w:jc w:val="center"/>
      </w:pPr>
      <w:r>
        <w:rPr>
          <w:rFonts w:ascii="Yu Gothic" w:cs="Yu Gothic" w:eastAsia="Yu Gothic" w:hAnsi="Yu Gothic"/>
          <w:sz w:val="20"/>
          <w:szCs w:val="20"/>
        </w:rPr>
        <w:t xml:space="preserve">作成日：2026年7月5日　　版数：Rev.2（案）</w:t>
      </w:r>
    </w:p>
    <w:p>
      <w:pPr>
        <w:pStyle w:val="Heading1"/>
        <w:spacing w:after="200" w:before="320"/>
      </w:pPr>
      <w:r>
        <w:rPr>
          <w:rFonts w:ascii="Yu Gothic" w:cs="Yu Gothic" w:eastAsia="Yu Gothic" w:hAnsi="Yu Gothic"/>
          <w:b/>
          <w:bCs/>
          <w:sz w:val="26"/>
          <w:szCs w:val="26"/>
        </w:rPr>
        <w:t xml:space="preserve">1. 目的・背景</w:t>
      </w:r>
    </w:p>
    <w:p>
      <w:pPr>
        <w:spacing w:after="160" w:line="320"/>
      </w:pPr>
      <w:r>
        <w:rPr>
          <w:rFonts w:ascii="Yu Gothic" w:cs="Yu Gothic" w:eastAsia="Yu Gothic" w:hAnsi="Yu Gothic"/>
          <w:sz w:val="21"/>
          <w:szCs w:val="21"/>
        </w:rPr>
        <w:t xml:space="preserve">本計画書は、温故創新の森 NOVARE における実験の実施に先立ち、関係者の仕事内容（役割・タスク）を整理するとともに、実験データの分析から性能確認書の出力までを一貫して実行するための計画を定めるものである。</w:t>
      </w:r>
    </w:p>
    <w:p>
      <w:pPr>
        <w:spacing w:after="160" w:line="320"/>
      </w:pPr>
      <w:r>
        <w:rPr>
          <w:rFonts w:ascii="Yu Gothic" w:cs="Yu Gothic" w:eastAsia="Yu Gothic" w:hAnsi="Yu Gothic"/>
          <w:sz w:val="21"/>
          <w:szCs w:val="21"/>
        </w:rPr>
        <w:t xml:space="preserve">実験は、リニアスライダーの摩擦特性評価（ロードセルによる4点測定、偶力・スティックスリップの評価を含む）を対象として想定する。対象が異なる場合も、本計画書のデータ処理・帳票出力の枠組みはそのまま適用できる。</w:t>
      </w:r>
    </w:p>
    <w:p>
      <w:pPr>
        <w:spacing w:after="160" w:line="320"/>
      </w:pPr>
      <w:r>
        <w:rPr>
          <w:rFonts w:ascii="Yu Gothic" w:cs="Yu Gothic" w:eastAsia="Yu Gothic" w:hAnsi="Yu Gothic"/>
          <w:sz w:val="21"/>
          <w:szCs w:val="21"/>
        </w:rPr>
        <w:t xml:space="preserve">従来、測定データの整理・解析・帳票作成は手作業が中心であり、転記ミスや作業時間の増大が課題であった。本計画では、既存のグリッドサーチ自動化スクリプト（grid_search.py）を基盤とし、「測定 → 解析 → 性能確認書出力」を自動化パイプラインとして構築する。</w:t>
      </w:r>
    </w:p>
    <w:p>
      <w:pPr>
        <w:pStyle w:val="Heading1"/>
        <w:spacing w:after="200" w:before="320"/>
      </w:pPr>
      <w:r>
        <w:rPr>
          <w:rFonts w:ascii="Yu Gothic" w:cs="Yu Gothic" w:eastAsia="Yu Gothic" w:hAnsi="Yu Gothic"/>
          <w:b/>
          <w:bCs/>
          <w:sz w:val="26"/>
          <w:szCs w:val="26"/>
        </w:rPr>
        <w:t xml:space="preserve">2. 実施概要</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項目</w:t>
            </w:r>
          </w:p>
        </w:tc>
        <w:tc>
          <w:tcPr>
            <w:tcW w:type="dxa" w:w="70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内容</w:t>
            </w:r>
          </w:p>
        </w:tc>
      </w:tr>
      <w:tr>
        <w:tc>
          <w:tcPr>
            <w:tcW w:type="dxa" w:w="22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実施場所</w:t>
            </w:r>
          </w:p>
        </w:tc>
        <w:tc>
          <w:tcPr>
            <w:tcW w:type="dxa" w:w="70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温故創新の森 NOVARE（横浜市鶴見区）実験施設</w:t>
            </w:r>
          </w:p>
        </w:tc>
      </w:tr>
      <w:tr>
        <w:tc>
          <w:tcPr>
            <w:tcW w:type="dxa" w:w="22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実施期間</w:t>
            </w:r>
          </w:p>
        </w:tc>
        <w:tc>
          <w:tcPr>
            <w:tcW w:type="dxa" w:w="70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20XX年X月X日 〜 X月X日（準備・本試験・予備日を含む）</w:t>
            </w:r>
          </w:p>
        </w:tc>
      </w:tr>
      <w:tr>
        <w:tc>
          <w:tcPr>
            <w:tcW w:type="dxa" w:w="22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実験対象</w:t>
            </w:r>
          </w:p>
        </w:tc>
        <w:tc>
          <w:tcPr>
            <w:tcW w:type="dxa" w:w="70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リニアスライダー摩擦特性（想定。確定後に更新）</w:t>
            </w:r>
          </w:p>
        </w:tc>
      </w:tr>
      <w:tr>
        <w:tc>
          <w:tcPr>
            <w:tcW w:type="dxa" w:w="22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測定系</w:t>
            </w:r>
          </w:p>
        </w:tc>
        <w:tc>
          <w:tcPr>
            <w:tcW w:type="dxa" w:w="70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ロードセル4点（反力側配置）、変位計、加速度計（慣性力補正用）</w:t>
            </w:r>
          </w:p>
        </w:tc>
      </w:tr>
      <w:tr>
        <w:tc>
          <w:tcPr>
            <w:tcW w:type="dxa" w:w="22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最終成果物</w:t>
            </w:r>
          </w:p>
        </w:tc>
        <w:tc>
          <w:tcPr>
            <w:tcW w:type="dxa" w:w="70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性能確認書（Word/PDF）、解析結果CSV、可視化グラフ一式</w:t>
            </w:r>
          </w:p>
        </w:tc>
      </w:tr>
    </w:tbl>
    <w:p>
      <w:pPr>
        <w:pStyle w:val="Heading1"/>
        <w:spacing w:after="200" w:before="320"/>
      </w:pPr>
      <w:r>
        <w:rPr>
          <w:rFonts w:ascii="Yu Gothic" w:cs="Yu Gothic" w:eastAsia="Yu Gothic" w:hAnsi="Yu Gothic"/>
          <w:b/>
          <w:bCs/>
          <w:sz w:val="26"/>
          <w:szCs w:val="26"/>
        </w:rPr>
        <w:t xml:space="preserve">3. 実施体制と仕事内容の整理</w:t>
      </w:r>
    </w:p>
    <w:p>
      <w:pPr>
        <w:spacing w:after="160" w:line="320"/>
      </w:pPr>
      <w:r>
        <w:rPr>
          <w:rFonts w:ascii="Yu Gothic" w:cs="Yu Gothic" w:eastAsia="Yu Gothic" w:hAnsi="Yu Gothic"/>
          <w:sz w:val="21"/>
          <w:szCs w:val="21"/>
        </w:rPr>
        <w:t xml:space="preserve">実施体制は「人間」と「AIエージェント」の2層で構成する。実験の実施・判断・承認は人間が担い、データ分析から性能確認書出力までの一連の処理はオーケストレーターエージェント（CEO）がサブエージェントに割り振って実行し、結果を実験統括（社長）に報告する。エージェントへの具体的な割り振り内容は、別紙「CEOエージェント タスク指示書」に定める。</w:t>
      </w:r>
    </w:p>
    <w:p>
      <w:pPr>
        <w:pStyle w:val="Heading2"/>
        <w:spacing w:after="160" w:before="240"/>
      </w:pPr>
      <w:r>
        <w:rPr>
          <w:rFonts w:ascii="Yu Gothic" w:cs="Yu Gothic" w:eastAsia="Yu Gothic" w:hAnsi="Yu Gothic"/>
          <w:b/>
          <w:bCs/>
          <w:sz w:val="23"/>
          <w:szCs w:val="23"/>
        </w:rPr>
        <w:t xml:space="preserve">3.1 人間側の役割</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800"/>
      </w:tblGrid>
      <w:tr>
        <w:tc>
          <w:tcPr>
            <w:tcW w:type="dxa" w:w="24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役割</w:t>
            </w:r>
          </w:p>
        </w:tc>
        <w:tc>
          <w:tcPr>
            <w:tcW w:type="dxa" w:w="50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仕事内容</w:t>
            </w:r>
          </w:p>
        </w:tc>
        <w:tc>
          <w:tcPr>
            <w:tcW w:type="dxa" w:w="18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担当</w:t>
            </w:r>
          </w:p>
        </w:tc>
      </w:tr>
      <w:tr>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実験統括（社長）</w:t>
            </w:r>
          </w:p>
        </w:tc>
        <w:tc>
          <w:tcPr>
            <w:tcW w:type="dxa" w:w="50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計画全体の承認、判定基準の最終確認、CEOからの報告の受領、性能確認書の承認</w:t>
            </w:r>
          </w:p>
        </w:tc>
        <w:tc>
          <w:tcPr>
            <w:tcW w:type="dxa" w:w="1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本人</w:t>
            </w:r>
          </w:p>
        </w:tc>
      </w:tr>
      <w:tr>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実験担当</w:t>
            </w:r>
          </w:p>
        </w:tc>
        <w:tc>
          <w:tcPr>
            <w:tcW w:type="dxa" w:w="50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供試体・測定系のセットアップ、校正、試験実施、測定記録</w:t>
            </w:r>
          </w:p>
        </w:tc>
        <w:tc>
          <w:tcPr>
            <w:tcW w:type="dxa" w:w="1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（記入）</w:t>
            </w:r>
          </w:p>
        </w:tc>
      </w:tr>
      <w:tr>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計測担当</w:t>
            </w:r>
          </w:p>
        </w:tc>
        <w:tc>
          <w:tcPr>
            <w:tcW w:type="dxa" w:w="50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ロードセル・変位計・加速度計・DAQの設定、生データ保全</w:t>
            </w:r>
          </w:p>
        </w:tc>
        <w:tc>
          <w:tcPr>
            <w:tcW w:type="dxa" w:w="1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（記入）</w:t>
            </w:r>
          </w:p>
        </w:tc>
      </w:tr>
      <w:tr>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品質管理</w:t>
            </w:r>
          </w:p>
        </w:tc>
        <w:tc>
          <w:tcPr>
            <w:tcW w:type="dxa" w:w="50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手順の遵守確認、エージェント出力の抜き取り検証、記録保管</w:t>
            </w:r>
          </w:p>
        </w:tc>
        <w:tc>
          <w:tcPr>
            <w:tcW w:type="dxa" w:w="1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（記入）</w:t>
            </w:r>
          </w:p>
        </w:tc>
      </w:tr>
    </w:tbl>
    <w:p>
      <w:pPr>
        <w:pStyle w:val="Heading2"/>
        <w:spacing w:after="160" w:before="240"/>
      </w:pPr>
      <w:r>
        <w:rPr>
          <w:rFonts w:ascii="Yu Gothic" w:cs="Yu Gothic" w:eastAsia="Yu Gothic" w:hAnsi="Yu Gothic"/>
          <w:b/>
          <w:bCs/>
          <w:sz w:val="23"/>
          <w:szCs w:val="23"/>
        </w:rPr>
        <w:t xml:space="preserve">3.2 エージェント側の役割</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エージェント</w:t>
            </w:r>
          </w:p>
        </w:tc>
        <w:tc>
          <w:tcPr>
            <w:tcW w:type="dxa" w:w="68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仕事内容</w:t>
            </w:r>
          </w:p>
        </w:tc>
      </w:tr>
      <w:tr>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CEO（オーケストレーター）</w:t>
            </w:r>
          </w:p>
        </w:tc>
        <w:tc>
          <w:tcPr>
            <w:tcW w:type="dxa" w:w="6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下記サブエージェントへのタスク割り振り、進捗・成果物の統合、実験統括への報告</w:t>
            </w:r>
          </w:p>
        </w:tc>
      </w:tr>
      <w:tr>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データ収集エージェント</w:t>
            </w:r>
          </w:p>
        </w:tc>
        <w:tc>
          <w:tcPr>
            <w:tcW w:type="dxa" w:w="6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DAQ出力の集約、ファイル・条件IDの整合確認、欠測の検出</w:t>
            </w:r>
          </w:p>
        </w:tc>
      </w:tr>
      <w:tr>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解析エージェント</w:t>
            </w:r>
          </w:p>
        </w:tc>
        <w:tc>
          <w:tcPr>
            <w:tcW w:type="dxa" w:w="6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前処理、慣性力補正、Ceq・Keq・heq・偶力成分の算定（grid_search.py 基盤）</w:t>
            </w:r>
          </w:p>
        </w:tc>
      </w:tr>
      <w:tr>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可視化エージェント</w:t>
            </w:r>
          </w:p>
        </w:tc>
        <w:tc>
          <w:tcPr>
            <w:tcW w:type="dxa" w:w="6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ヒステリシスループ、ヒートマップ、時刻歴、4点反力比較の作図</w:t>
            </w:r>
          </w:p>
        </w:tc>
      </w:tr>
      <w:tr>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帳票エージェント</w:t>
            </w:r>
          </w:p>
        </w:tc>
        <w:tc>
          <w:tcPr>
            <w:tcW w:type="dxa" w:w="6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性能確認書（docx/PDF）の自動生成、判定結果の記載</w:t>
            </w:r>
          </w:p>
        </w:tc>
      </w:tr>
      <w:tr>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検証エージェント</w:t>
            </w:r>
          </w:p>
        </w:tc>
        <w:tc>
          <w:tcPr>
            <w:tcW w:type="dxa" w:w="6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算定値と生データの突合、判定基準との照合、異常の報告</w:t>
            </w:r>
          </w:p>
        </w:tc>
      </w:tr>
    </w:tbl>
    <w:p>
      <w:pPr>
        <w:spacing w:after="160" w:line="320"/>
      </w:pPr>
      <w:r>
        <w:rPr>
          <w:rFonts w:ascii="Yu Gothic" w:cs="Yu Gothic" w:eastAsia="Yu Gothic" w:hAnsi="Yu Gothic"/>
          <w:sz w:val="21"/>
          <w:szCs w:val="21"/>
        </w:rPr>
        <w:t xml:space="preserve">エージェントの出力はそのまま正式帳票とせず、品質管理担当の抜き取り検証と実験統括の承認を経て発効する。</w:t>
      </w:r>
    </w:p>
    <w:p>
      <w:pPr>
        <w:pStyle w:val="Heading1"/>
        <w:spacing w:after="200" w:before="320"/>
      </w:pPr>
      <w:r>
        <w:rPr>
          <w:rFonts w:ascii="Yu Gothic" w:cs="Yu Gothic" w:eastAsia="Yu Gothic" w:hAnsi="Yu Gothic"/>
          <w:b/>
          <w:bCs/>
          <w:sz w:val="26"/>
          <w:szCs w:val="26"/>
        </w:rPr>
        <w:t xml:space="preserve">4. 実験計画</w:t>
      </w:r>
    </w:p>
    <w:p>
      <w:pPr>
        <w:pStyle w:val="Heading2"/>
        <w:spacing w:after="160" w:before="240"/>
      </w:pPr>
      <w:r>
        <w:rPr>
          <w:rFonts w:ascii="Yu Gothic" w:cs="Yu Gothic" w:eastAsia="Yu Gothic" w:hAnsi="Yu Gothic"/>
          <w:b/>
          <w:bCs/>
          <w:sz w:val="23"/>
          <w:szCs w:val="23"/>
        </w:rPr>
        <w:t xml:space="preserve">4.1 試験条件</w:t>
      </w:r>
    </w:p>
    <w:p>
      <w:pPr>
        <w:spacing w:after="160" w:line="320"/>
      </w:pPr>
      <w:r>
        <w:rPr>
          <w:rFonts w:ascii="Yu Gothic" w:cs="Yu Gothic" w:eastAsia="Yu Gothic" w:hAnsi="Yu Gothic"/>
          <w:sz w:val="21"/>
          <w:szCs w:val="21"/>
        </w:rPr>
        <w:t xml:space="preserve">試験パラメータ（荷重、速度、ストローク等）は総当たり（グリッドサーチ）で振り、各条件で摩擦力の時刻歴を取得する。パラメータの組合せと水準は試験前に確定し、grid_search.py の PARAM_GRID に反映する。</w:t>
      </w:r>
    </w:p>
    <w:p>
      <w:pPr>
        <w:pStyle w:val="Heading2"/>
        <w:spacing w:after="160" w:before="240"/>
      </w:pPr>
      <w:r>
        <w:rPr>
          <w:rFonts w:ascii="Yu Gothic" w:cs="Yu Gothic" w:eastAsia="Yu Gothic" w:hAnsi="Yu Gothic"/>
          <w:b/>
          <w:bCs/>
          <w:sz w:val="23"/>
          <w:szCs w:val="23"/>
        </w:rPr>
        <w:t xml:space="preserve">4.2 測定項目</w:t>
      </w:r>
    </w:p>
    <w:p>
      <w:pPr>
        <w:pStyle w:val="ListParagraph"/>
        <w:numPr>
          <w:ilvl w:val="0"/>
          <w:numId w:val="2"/>
        </w:numPr>
        <w:spacing w:after="100" w:line="300"/>
      </w:pPr>
      <w:r>
        <w:rPr>
          <w:rFonts w:ascii="Yu Gothic" w:cs="Yu Gothic" w:eastAsia="Yu Gothic" w:hAnsi="Yu Gothic"/>
          <w:sz w:val="21"/>
          <w:szCs w:val="21"/>
        </w:rPr>
        <w:t xml:space="preserve">荷重：ロードセル4点による反力測定（各点の時刻歴および合力）</w:t>
      </w:r>
    </w:p>
    <w:p>
      <w:pPr>
        <w:pStyle w:val="ListParagraph"/>
        <w:numPr>
          <w:ilvl w:val="0"/>
          <w:numId w:val="2"/>
        </w:numPr>
        <w:spacing w:after="100" w:line="300"/>
      </w:pPr>
      <w:r>
        <w:rPr>
          <w:rFonts w:ascii="Yu Gothic" w:cs="Yu Gothic" w:eastAsia="Yu Gothic" w:hAnsi="Yu Gothic"/>
          <w:sz w:val="21"/>
          <w:szCs w:val="21"/>
        </w:rPr>
        <w:t xml:space="preserve">変位：供試体の相対変位（Ceq算定の振幅 X₀ に使用）</w:t>
      </w:r>
    </w:p>
    <w:p>
      <w:pPr>
        <w:pStyle w:val="ListParagraph"/>
        <w:numPr>
          <w:ilvl w:val="0"/>
          <w:numId w:val="2"/>
        </w:numPr>
        <w:spacing w:after="100" w:line="300"/>
      </w:pPr>
      <w:r>
        <w:rPr>
          <w:rFonts w:ascii="Yu Gothic" w:cs="Yu Gothic" w:eastAsia="Yu Gothic" w:hAnsi="Yu Gothic"/>
          <w:sz w:val="21"/>
          <w:szCs w:val="21"/>
        </w:rPr>
        <w:t xml:space="preserve">加速度：可動部の加速度（慣性力補正に使用。変位の2階微分で代用する場合はノイズ処理を規定）</w:t>
      </w:r>
    </w:p>
    <w:p>
      <w:pPr>
        <w:pStyle w:val="ListParagraph"/>
        <w:numPr>
          <w:ilvl w:val="0"/>
          <w:numId w:val="2"/>
        </w:numPr>
        <w:spacing w:after="100" w:line="300"/>
      </w:pPr>
      <w:r>
        <w:rPr>
          <w:rFonts w:ascii="Yu Gothic" w:cs="Yu Gothic" w:eastAsia="Yu Gothic" w:hAnsi="Yu Gothic"/>
          <w:sz w:val="21"/>
          <w:szCs w:val="21"/>
        </w:rPr>
        <w:t xml:space="preserve">偶力の評価（対角点の符号反転の確認、M = Σ rᵢ × Fᵢ）</w:t>
      </w:r>
    </w:p>
    <w:p>
      <w:pPr>
        <w:pStyle w:val="ListParagraph"/>
        <w:numPr>
          <w:ilvl w:val="0"/>
          <w:numId w:val="2"/>
        </w:numPr>
        <w:spacing w:after="100" w:line="300"/>
      </w:pPr>
      <w:r>
        <w:rPr>
          <w:rFonts w:ascii="Yu Gothic" w:cs="Yu Gothic" w:eastAsia="Yu Gothic" w:hAnsi="Yu Gothic"/>
          <w:sz w:val="21"/>
          <w:szCs w:val="21"/>
        </w:rPr>
        <w:t xml:space="preserve">スティックスリップの有無（時刻歴波形の振動成分）</w:t>
      </w:r>
    </w:p>
    <w:p>
      <w:pPr>
        <w:pStyle w:val="ListParagraph"/>
        <w:numPr>
          <w:ilvl w:val="0"/>
          <w:numId w:val="2"/>
        </w:numPr>
        <w:spacing w:after="100" w:line="300"/>
      </w:pPr>
      <w:r>
        <w:rPr>
          <w:rFonts w:ascii="Yu Gothic" w:cs="Yu Gothic" w:eastAsia="Yu Gothic" w:hAnsi="Yu Gothic"/>
          <w:sz w:val="21"/>
          <w:szCs w:val="21"/>
        </w:rPr>
        <w:t xml:space="preserve">環境条件（温度・湿度）および供試体状態の記録</w:t>
      </w:r>
    </w:p>
    <w:p>
      <w:pPr>
        <w:pStyle w:val="Heading2"/>
        <w:spacing w:after="160" w:before="240"/>
      </w:pPr>
      <w:r>
        <w:rPr>
          <w:rFonts w:ascii="Yu Gothic" w:cs="Yu Gothic" w:eastAsia="Yu Gothic" w:hAnsi="Yu Gothic"/>
          <w:b/>
          <w:bCs/>
          <w:sz w:val="23"/>
          <w:szCs w:val="23"/>
        </w:rPr>
        <w:t xml:space="preserve">4.3 実施手順</w:t>
      </w:r>
    </w:p>
    <w:p>
      <w:pPr>
        <w:spacing w:after="160" w:line="320"/>
      </w:pPr>
      <w:r>
        <w:rPr>
          <w:rFonts w:ascii="Yu Gothic" w:cs="Yu Gothic" w:eastAsia="Yu Gothic" w:hAnsi="Yu Gothic"/>
          <w:sz w:val="21"/>
          <w:szCs w:val="21"/>
        </w:rPr>
        <w:t xml:space="preserve">①校正・ゼロ点確認 → ②予備試験（1条件）でデータ品質を確認 → ③本試験（全条件） → ④欠測・異常条件の再試験、の順で実施する。予備試験のデータで解析パイプライン全体を通し、本試験前に出力まで動作確認する。</w:t>
      </w:r>
    </w:p>
    <w:p>
      <w:pPr>
        <w:pStyle w:val="Heading1"/>
        <w:spacing w:after="200" w:before="320"/>
      </w:pPr>
      <w:r>
        <w:rPr>
          <w:rFonts w:ascii="Yu Gothic" w:cs="Yu Gothic" w:eastAsia="Yu Gothic" w:hAnsi="Yu Gothic"/>
          <w:b/>
          <w:bCs/>
          <w:sz w:val="26"/>
          <w:szCs w:val="26"/>
        </w:rPr>
        <w:t xml:space="preserve">5. データ分析計画</w:t>
      </w:r>
    </w:p>
    <w:p>
      <w:pPr>
        <w:pStyle w:val="Heading2"/>
        <w:spacing w:after="160" w:before="240"/>
      </w:pPr>
      <w:r>
        <w:rPr>
          <w:rFonts w:ascii="Yu Gothic" w:cs="Yu Gothic" w:eastAsia="Yu Gothic" w:hAnsi="Yu Gothic"/>
          <w:b/>
          <w:bCs/>
          <w:sz w:val="23"/>
          <w:szCs w:val="23"/>
        </w:rPr>
        <w:t xml:space="preserve">5.1 処理フロー</w:t>
      </w:r>
    </w:p>
    <w:p>
      <w:pPr>
        <w:spacing w:after="160" w:line="320"/>
      </w:pPr>
      <w:r>
        <w:rPr>
          <w:rFonts w:ascii="Yu Gothic" w:cs="Yu Gothic" w:eastAsia="Yu Gothic" w:hAnsi="Yu Gothic"/>
          <w:sz w:val="21"/>
          <w:szCs w:val="21"/>
        </w:rPr>
        <w:t xml:space="preserve">データ処理は次の5段階で構成し、全段階をスクリプトで自動実行する。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段階</w:t>
            </w:r>
          </w:p>
        </w:tc>
        <w:tc>
          <w:tcPr>
            <w:tcW w:type="dxa" w:w="78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処理内容</w:t>
            </w:r>
          </w:p>
        </w:tc>
      </w:tr>
      <w:tr>
        <w:tc>
          <w:tcPr>
            <w:tcW w:type="dxa" w:w="1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収集</w:t>
            </w:r>
          </w:p>
        </w:tc>
        <w:tc>
          <w:tcPr>
            <w:tcW w:type="dxa" w:w="7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DAQ出力（CSV/テキスト）を条件IDと紐付けて所定フォルダへ集約</w:t>
            </w:r>
          </w:p>
        </w:tc>
      </w:tr>
      <w:tr>
        <w:tc>
          <w:tcPr>
            <w:tcW w:type="dxa" w:w="1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前処理</w:t>
            </w:r>
          </w:p>
        </w:tc>
        <w:tc>
          <w:tcPr>
            <w:tcW w:type="dxa" w:w="7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単位換算、ゼロ点補正、フィルタリング、異常値の検出とフラグ付け</w:t>
            </w:r>
          </w:p>
        </w:tc>
      </w:tr>
      <w:tr>
        <w:tc>
          <w:tcPr>
            <w:tcW w:type="dxa" w:w="1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解析</w:t>
            </w:r>
          </w:p>
        </w:tc>
        <w:tc>
          <w:tcPr>
            <w:tcW w:type="dxa" w:w="7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慣性力補正、定常区間の平均摩擦力、Ceq・Keq・heq、偶力成分、スティックスリップ指標の算出</w:t>
            </w:r>
          </w:p>
        </w:tc>
      </w:tr>
      <w:tr>
        <w:tc>
          <w:tcPr>
            <w:tcW w:type="dxa" w:w="1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集計</w:t>
            </w:r>
          </w:p>
        </w:tc>
        <w:tc>
          <w:tcPr>
            <w:tcW w:type="dxa" w:w="7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全条件の結果を1つのDataFrameに統合し、results.csv として保存</w:t>
            </w:r>
          </w:p>
        </w:tc>
      </w:tr>
      <w:tr>
        <w:tc>
          <w:tcPr>
            <w:tcW w:type="dxa" w:w="1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可視化</w:t>
            </w:r>
          </w:p>
        </w:tc>
        <w:tc>
          <w:tcPr>
            <w:tcW w:type="dxa" w:w="78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条件×結果のヒートマップ、時刻歴波形、4点比較グラフを自動生成</w:t>
            </w:r>
          </w:p>
        </w:tc>
      </w:tr>
    </w:tbl>
    <w:p>
      <w:pPr>
        <w:pStyle w:val="Heading2"/>
        <w:spacing w:after="160" w:before="240"/>
      </w:pPr>
      <w:r>
        <w:rPr>
          <w:rFonts w:ascii="Yu Gothic" w:cs="Yu Gothic" w:eastAsia="Yu Gothic" w:hAnsi="Yu Gothic"/>
          <w:b/>
          <w:bCs/>
          <w:sz w:val="23"/>
          <w:szCs w:val="23"/>
        </w:rPr>
        <w:t xml:space="preserve">5.2 慣性力の補正と反力の取扱い</w:t>
      </w:r>
    </w:p>
    <w:p>
      <w:pPr>
        <w:spacing w:after="160" w:line="320"/>
      </w:pPr>
      <w:r>
        <w:rPr>
          <w:rFonts w:ascii="Yu Gothic" w:cs="Yu Gothic" w:eastAsia="Yu Gothic" w:hAnsi="Yu Gothic"/>
          <w:sz w:val="21"/>
          <w:szCs w:val="21"/>
        </w:rPr>
        <w:t xml:space="preserve">動的加振では、ロードセルの測定値に治具・可動部の慣性力が重畳するため、供試体の真の抵抗力は次式で補正して求める。</w:t>
      </w:r>
    </w:p>
    <w:p>
      <w:pPr>
        <w:spacing w:after="120"/>
        <w:jc w:val="center"/>
      </w:pPr>
      <w:r>
        <w:rPr>
          <w:rFonts w:ascii="Yu Gothic" w:cs="Yu Gothic" w:eastAsia="Yu Gothic" w:hAnsi="Yu Gothic"/>
          <w:b/>
          <w:bCs/>
          <w:sz w:val="22"/>
          <w:szCs w:val="22"/>
        </w:rPr>
        <w:t xml:space="preserve">F_d(t) ＝ F_測定(t) − m・a(t)</w:t>
      </w:r>
    </w:p>
    <w:p>
      <w:pPr>
        <w:spacing w:after="160" w:line="320"/>
      </w:pPr>
      <w:r>
        <w:rPr>
          <w:rFonts w:ascii="Yu Gothic" w:cs="Yu Gothic" w:eastAsia="Yu Gothic" w:hAnsi="Yu Gothic"/>
          <w:sz w:val="21"/>
          <w:szCs w:val="21"/>
        </w:rPr>
        <w:t xml:space="preserve">ここで m はロードセルと供試体の間に介在する可動部（治具等）の質量、a(t) は可動部の加速度である。m は試験前に実測し、設定ファイルに登録する。加速度計を設置しない場合は変位の2階数値微分で代用するが、微分ノイズが増幅するためローパスフィルタの遮断周波数を事前に規定する。低速加振（準静的）では慣性力は無視できるため、補正の要否は加振条件ごとに判断し、判断結果を性能確認書に明記する。</w:t>
      </w:r>
    </w:p>
    <w:p>
      <w:pPr>
        <w:spacing w:after="160" w:line="320"/>
      </w:pPr>
      <w:r>
        <w:rPr>
          <w:rFonts w:ascii="Yu Gothic" w:cs="Yu Gothic" w:eastAsia="Yu Gothic" w:hAnsi="Yu Gothic"/>
          <w:sz w:val="21"/>
          <w:szCs w:val="21"/>
        </w:rPr>
        <w:t xml:space="preserve">反力については次を管理する。①ロードセルは反力側（固定側）に4点配置し、各点反力の合計を供試体反力とする。②4点の反力分担の偏りと対角符号の反転から偏心・偶力の影響を評価し、許容範囲を超える場合はセットアップを是正する。③反力フレーム・治具の剛性と固定状態を試験前に確認し、反力系の変形が変位測定に混入しないよう変位計の基準点を供試体近傍に取る。</w:t>
      </w:r>
    </w:p>
    <w:p>
      <w:pPr>
        <w:pStyle w:val="Heading2"/>
        <w:spacing w:after="160" w:before="240"/>
      </w:pPr>
      <w:r>
        <w:rPr>
          <w:rFonts w:ascii="Yu Gothic" w:cs="Yu Gothic" w:eastAsia="Yu Gothic" w:hAnsi="Yu Gothic"/>
          <w:b/>
          <w:bCs/>
          <w:sz w:val="23"/>
          <w:szCs w:val="23"/>
        </w:rPr>
        <w:t xml:space="preserve">5.3 評価指標（Ceq 等）の算定</w:t>
      </w:r>
    </w:p>
    <w:p>
      <w:pPr>
        <w:spacing w:after="160" w:line="320"/>
      </w:pPr>
      <w:r>
        <w:rPr>
          <w:rFonts w:ascii="Yu Gothic" w:cs="Yu Gothic" w:eastAsia="Yu Gothic" w:hAnsi="Yu Gothic"/>
          <w:sz w:val="21"/>
          <w:szCs w:val="21"/>
        </w:rPr>
        <w:t xml:space="preserve">荷重－変位の履歴曲線（ヒステリシスループ）から、サイクルごとに次の指標を自動算定する。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指標</w:t>
            </w:r>
          </w:p>
        </w:tc>
        <w:tc>
          <w:tcPr>
            <w:tcW w:type="dxa" w:w="66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算定方法</w:t>
            </w:r>
          </w:p>
        </w:tc>
      </w:tr>
      <w:tr>
        <w:tc>
          <w:tcPr>
            <w:tcW w:type="dxa" w:w="26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1サイクル吸収エネルギー ΔW</w:t>
            </w:r>
          </w:p>
        </w:tc>
        <w:tc>
          <w:tcPr>
            <w:tcW w:type="dxa" w:w="66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補正後荷重 F_d と変位の閉ループ面積（数値積分。閉曲線の面積計算にはシューレース公式を適用）</w:t>
            </w:r>
          </w:p>
        </w:tc>
      </w:tr>
      <w:tr>
        <w:tc>
          <w:tcPr>
            <w:tcW w:type="dxa" w:w="26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等価剛性 Keq</w:t>
            </w:r>
          </w:p>
        </w:tc>
        <w:tc>
          <w:tcPr>
            <w:tcW w:type="dxa" w:w="66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Keq ＝ (F_max − F_min) ／ (X_max − X_min)</w:t>
            </w:r>
          </w:p>
        </w:tc>
      </w:tr>
      <w:tr>
        <w:tc>
          <w:tcPr>
            <w:tcW w:type="dxa" w:w="26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等価減衰係数 Ceq</w:t>
            </w:r>
          </w:p>
        </w:tc>
        <w:tc>
          <w:tcPr>
            <w:tcW w:type="dxa" w:w="66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Ceq ＝ ΔW ／ (π・ω・X₀²)　（ω：加振円振動数、X₀：変位振幅）</w:t>
            </w:r>
          </w:p>
        </w:tc>
      </w:tr>
      <w:tr>
        <w:tc>
          <w:tcPr>
            <w:tcW w:type="dxa" w:w="26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等価減衰定数 heq</w:t>
            </w:r>
          </w:p>
        </w:tc>
        <w:tc>
          <w:tcPr>
            <w:tcW w:type="dxa" w:w="66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heq ＝ ΔW ／ (4π・We)、We ＝ (1/2)・Keq・X₀²</w:t>
            </w:r>
          </w:p>
        </w:tc>
      </w:tr>
    </w:tbl>
    <w:p>
      <w:pPr>
        <w:spacing w:after="160" w:line="320"/>
      </w:pPr>
      <w:r>
        <w:rPr>
          <w:rFonts w:ascii="Yu Gothic" w:cs="Yu Gothic" w:eastAsia="Yu Gothic" w:hAnsi="Yu Gothic"/>
          <w:sz w:val="21"/>
          <w:szCs w:val="21"/>
        </w:rPr>
        <w:t xml:space="preserve">Ceq・heq は定常状態のサイクル（例：3〜5サイクル目の平均）で代表値を求め、採用サイクルの範囲を性能確認書に記載する。慣性力補正の前後で ΔW・Ceq がどの程度変化したかも併記し、補正の妥当性を示す。</w:t>
      </w:r>
    </w:p>
    <w:p>
      <w:pPr>
        <w:pStyle w:val="Heading2"/>
        <w:spacing w:after="160" w:before="240"/>
      </w:pPr>
      <w:r>
        <w:rPr>
          <w:rFonts w:ascii="Yu Gothic" w:cs="Yu Gothic" w:eastAsia="Yu Gothic" w:hAnsi="Yu Gothic"/>
          <w:b/>
          <w:bCs/>
          <w:sz w:val="23"/>
          <w:szCs w:val="23"/>
        </w:rPr>
        <w:t xml:space="preserve">5.4 使用ツール</w:t>
      </w:r>
    </w:p>
    <w:p>
      <w:pPr>
        <w:spacing w:after="160" w:line="320"/>
      </w:pPr>
      <w:r>
        <w:rPr>
          <w:rFonts w:ascii="Yu Gothic" w:cs="Yu Gothic" w:eastAsia="Yu Gothic" w:hAnsi="Yu Gothic"/>
          <w:sz w:val="21"/>
          <w:szCs w:val="21"/>
        </w:rPr>
        <w:t xml:space="preserve">解析基盤にはリファクタリング済みの grid_search.py（Config／Runner／GridSearch 構造）を使用する。実験装置のCLI実行が不要な場合は、Runner を「既存データ読込」に差し替えるだけで同じ集計・可視化系統が利用できる。実行環境は Python（pandas, matplotlib）とし、リモートサーバで解析する場合は SSHRunner を用いる。</w:t>
      </w:r>
    </w:p>
    <w:p>
      <w:pPr>
        <w:pStyle w:val="Heading2"/>
        <w:spacing w:after="160" w:before="240"/>
      </w:pPr>
      <w:r>
        <w:rPr>
          <w:rFonts w:ascii="Yu Gothic" w:cs="Yu Gothic" w:eastAsia="Yu Gothic" w:hAnsi="Yu Gothic"/>
          <w:b/>
          <w:bCs/>
          <w:sz w:val="23"/>
          <w:szCs w:val="23"/>
        </w:rPr>
        <w:t xml:space="preserve">5.5 判定基準</w:t>
      </w:r>
    </w:p>
    <w:p>
      <w:pPr>
        <w:spacing w:after="160" w:line="320"/>
      </w:pPr>
      <w:r>
        <w:rPr>
          <w:rFonts w:ascii="Yu Gothic" w:cs="Yu Gothic" w:eastAsia="Yu Gothic" w:hAnsi="Yu Gothic"/>
          <w:sz w:val="21"/>
          <w:szCs w:val="21"/>
        </w:rPr>
        <w:t xml:space="preserve">性能確認の合否判定基準（例：Ceq の規定値±許容偏差、平均摩擦係数の上限値、偶力成分の許容値）は実験統括が事前に定め、スクリプトの設定ファイルに数値として登録する。判定はスクリプトが自動で行い、性能確認書に合否と根拠値を明記する。</w:t>
      </w:r>
    </w:p>
    <w:p>
      <w:pPr>
        <w:pStyle w:val="Heading1"/>
        <w:spacing w:after="200" w:before="320"/>
      </w:pPr>
      <w:r>
        <w:rPr>
          <w:rFonts w:ascii="Yu Gothic" w:cs="Yu Gothic" w:eastAsia="Yu Gothic" w:hAnsi="Yu Gothic"/>
          <w:b/>
          <w:bCs/>
          <w:sz w:val="26"/>
          <w:szCs w:val="26"/>
        </w:rPr>
        <w:t xml:space="preserve">6. 性能確認書の一貫出力</w:t>
      </w:r>
    </w:p>
    <w:p>
      <w:pPr>
        <w:pStyle w:val="Heading2"/>
        <w:spacing w:after="160" w:before="240"/>
      </w:pPr>
      <w:r>
        <w:rPr>
          <w:rFonts w:ascii="Yu Gothic" w:cs="Yu Gothic" w:eastAsia="Yu Gothic" w:hAnsi="Yu Gothic"/>
          <w:b/>
          <w:bCs/>
          <w:sz w:val="23"/>
          <w:szCs w:val="23"/>
        </w:rPr>
        <w:t xml:space="preserve">6.1 出力パイプライン</w:t>
      </w:r>
    </w:p>
    <w:p>
      <w:pPr>
        <w:spacing w:after="160" w:line="320"/>
      </w:pPr>
      <w:r>
        <w:rPr>
          <w:rFonts w:ascii="Yu Gothic" w:cs="Yu Gothic" w:eastAsia="Yu Gothic" w:hAnsi="Yu Gothic"/>
          <w:sz w:val="21"/>
          <w:szCs w:val="21"/>
        </w:rPr>
        <w:t xml:space="preserve">解析結果（results.csv＋グラフ画像）から、性能確認書を自動生成する。フローは「results.csv 読込 → 判定基準と照合 → Wordテンプレートへ値・グラフを差込 → docx生成 → PDF変換」とし、1コマンドで完結させる。</w:t>
      </w:r>
    </w:p>
    <w:p>
      <w:pPr>
        <w:pStyle w:val="Heading2"/>
        <w:spacing w:after="160" w:before="240"/>
      </w:pPr>
      <w:r>
        <w:rPr>
          <w:rFonts w:ascii="Yu Gothic" w:cs="Yu Gothic" w:eastAsia="Yu Gothic" w:hAnsi="Yu Gothic"/>
          <w:b/>
          <w:bCs/>
          <w:sz w:val="23"/>
          <w:szCs w:val="23"/>
        </w:rPr>
        <w:t xml:space="preserve">6.2 性能確認書の構成（案）</w:t>
      </w:r>
    </w:p>
    <w:p>
      <w:pPr>
        <w:pStyle w:val="ListParagraph"/>
        <w:numPr>
          <w:ilvl w:val="0"/>
          <w:numId w:val="2"/>
        </w:numPr>
        <w:spacing w:after="100" w:line="300"/>
      </w:pPr>
      <w:r>
        <w:rPr>
          <w:rFonts w:ascii="Yu Gothic" w:cs="Yu Gothic" w:eastAsia="Yu Gothic" w:hAnsi="Yu Gothic"/>
          <w:sz w:val="21"/>
          <w:szCs w:val="21"/>
        </w:rPr>
        <w:t xml:space="preserve">表紙（件名、試験日、場所：NOVARE、承認欄）</w:t>
      </w:r>
    </w:p>
    <w:p>
      <w:pPr>
        <w:pStyle w:val="ListParagraph"/>
        <w:numPr>
          <w:ilvl w:val="0"/>
          <w:numId w:val="2"/>
        </w:numPr>
        <w:spacing w:after="100" w:line="300"/>
      </w:pPr>
      <w:r>
        <w:rPr>
          <w:rFonts w:ascii="Yu Gothic" w:cs="Yu Gothic" w:eastAsia="Yu Gothic" w:hAnsi="Yu Gothic"/>
          <w:sz w:val="21"/>
          <w:szCs w:val="21"/>
        </w:rPr>
        <w:t xml:space="preserve">試験概要（目的、供試体、測定系、試験条件一覧）</w:t>
      </w:r>
    </w:p>
    <w:p>
      <w:pPr>
        <w:pStyle w:val="ListParagraph"/>
        <w:numPr>
          <w:ilvl w:val="0"/>
          <w:numId w:val="2"/>
        </w:numPr>
        <w:spacing w:after="100" w:line="300"/>
      </w:pPr>
      <w:r>
        <w:rPr>
          <w:rFonts w:ascii="Yu Gothic" w:cs="Yu Gothic" w:eastAsia="Yu Gothic" w:hAnsi="Yu Gothic"/>
          <w:sz w:val="21"/>
          <w:szCs w:val="21"/>
        </w:rPr>
        <w:t xml:space="preserve">結果一覧表（条件ごとの測定値・Ceq・Keq・heq・合否）</w:t>
      </w:r>
    </w:p>
    <w:p>
      <w:pPr>
        <w:pStyle w:val="ListParagraph"/>
        <w:numPr>
          <w:ilvl w:val="0"/>
          <w:numId w:val="2"/>
        </w:numPr>
        <w:spacing w:after="100" w:line="300"/>
      </w:pPr>
      <w:r>
        <w:rPr>
          <w:rFonts w:ascii="Yu Gothic" w:cs="Yu Gothic" w:eastAsia="Yu Gothic" w:hAnsi="Yu Gothic"/>
          <w:sz w:val="21"/>
          <w:szCs w:val="21"/>
        </w:rPr>
        <w:t xml:space="preserve">履歴曲線（補正前後のヒステリシスループ）およびグラフ（ヒートマップ、代表時刻歴、4点反力比較）</w:t>
      </w:r>
    </w:p>
    <w:p>
      <w:pPr>
        <w:pStyle w:val="ListParagraph"/>
        <w:numPr>
          <w:ilvl w:val="0"/>
          <w:numId w:val="2"/>
        </w:numPr>
        <w:spacing w:after="100" w:line="300"/>
      </w:pPr>
      <w:r>
        <w:rPr>
          <w:rFonts w:ascii="Yu Gothic" w:cs="Yu Gothic" w:eastAsia="Yu Gothic" w:hAnsi="Yu Gothic"/>
          <w:sz w:val="21"/>
          <w:szCs w:val="21"/>
        </w:rPr>
        <w:t xml:space="preserve">慣性力補正の条件（可動部質量 m、補正の要否判断、フィルタ条件）</w:t>
      </w:r>
    </w:p>
    <w:p>
      <w:pPr>
        <w:pStyle w:val="ListParagraph"/>
        <w:numPr>
          <w:ilvl w:val="0"/>
          <w:numId w:val="2"/>
        </w:numPr>
        <w:spacing w:after="100" w:line="300"/>
      </w:pPr>
      <w:r>
        <w:rPr>
          <w:rFonts w:ascii="Yu Gothic" w:cs="Yu Gothic" w:eastAsia="Yu Gothic" w:hAnsi="Yu Gothic"/>
          <w:sz w:val="21"/>
          <w:szCs w:val="21"/>
        </w:rPr>
        <w:t xml:space="preserve">判定（基準値との対比、総合判定）</w:t>
      </w:r>
    </w:p>
    <w:p>
      <w:pPr>
        <w:pStyle w:val="ListParagraph"/>
        <w:numPr>
          <w:ilvl w:val="0"/>
          <w:numId w:val="2"/>
        </w:numPr>
        <w:spacing w:after="100" w:line="300"/>
      </w:pPr>
      <w:r>
        <w:rPr>
          <w:rFonts w:ascii="Yu Gothic" w:cs="Yu Gothic" w:eastAsia="Yu Gothic" w:hAnsi="Yu Gothic"/>
          <w:sz w:val="21"/>
          <w:szCs w:val="21"/>
        </w:rPr>
        <w:t xml:space="preserve">付属資料（校正記録、生データ保管場所）</w:t>
      </w:r>
    </w:p>
    <w:p>
      <w:pPr>
        <w:pStyle w:val="Heading2"/>
        <w:spacing w:after="160" w:before="240"/>
      </w:pPr>
      <w:r>
        <w:rPr>
          <w:rFonts w:ascii="Yu Gothic" w:cs="Yu Gothic" w:eastAsia="Yu Gothic" w:hAnsi="Yu Gothic"/>
          <w:b/>
          <w:bCs/>
          <w:sz w:val="23"/>
          <w:szCs w:val="23"/>
        </w:rPr>
        <w:t xml:space="preserve">6.3 開発・検証の進め方</w:t>
      </w:r>
    </w:p>
    <w:p>
      <w:pPr>
        <w:spacing w:after="160" w:line="320"/>
      </w:pPr>
      <w:r>
        <w:rPr>
          <w:rFonts w:ascii="Yu Gothic" w:cs="Yu Gothic" w:eastAsia="Yu Gothic" w:hAnsi="Yu Gothic"/>
          <w:sz w:val="21"/>
          <w:szCs w:val="21"/>
        </w:rPr>
        <w:t xml:space="preserve">帳票テンプレート（プレースホルダ入りWordファイル）を先に確定し、予備試験データで出力までの一貫動作を検証する。体裁の確認は帳票担当が行い、数値の正しさはデータ分析担当が元データと突合して確認する。</w:t>
      </w:r>
    </w:p>
    <w:p>
      <w:pPr>
        <w:pStyle w:val="Heading1"/>
        <w:spacing w:after="200" w:before="320"/>
      </w:pPr>
      <w:r>
        <w:rPr>
          <w:rFonts w:ascii="Yu Gothic" w:cs="Yu Gothic" w:eastAsia="Yu Gothic" w:hAnsi="Yu Gothic"/>
          <w:b/>
          <w:bCs/>
          <w:sz w:val="26"/>
          <w:szCs w:val="26"/>
        </w:rPr>
        <w:t xml:space="preserve">7. スケジュール（案）</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400"/>
      </w:tblGrid>
      <w:tr>
        <w:tc>
          <w:tcPr>
            <w:tcW w:type="dxa" w:w="34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工程</w:t>
            </w:r>
          </w:p>
        </w:tc>
        <w:tc>
          <w:tcPr>
            <w:tcW w:type="dxa" w:w="24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期間（目安）</w:t>
            </w:r>
          </w:p>
        </w:tc>
        <w:tc>
          <w:tcPr>
            <w:tcW w:type="dxa" w:w="34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完了条件</w:t>
            </w:r>
          </w:p>
        </w:tc>
      </w:tr>
      <w:tr>
        <w:tc>
          <w:tcPr>
            <w:tcW w:type="dxa" w:w="3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判定基準・試験条件の確定</w:t>
            </w:r>
          </w:p>
        </w:tc>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第1週</w:t>
            </w:r>
          </w:p>
        </w:tc>
        <w:tc>
          <w:tcPr>
            <w:tcW w:type="dxa" w:w="3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実験統括の承認</w:t>
            </w:r>
          </w:p>
        </w:tc>
      </w:tr>
      <w:tr>
        <w:tc>
          <w:tcPr>
            <w:tcW w:type="dxa" w:w="3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解析スクリプト整備・帳票テンプレート作成</w:t>
            </w:r>
          </w:p>
        </w:tc>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第1〜2週</w:t>
            </w:r>
          </w:p>
        </w:tc>
        <w:tc>
          <w:tcPr>
            <w:tcW w:type="dxa" w:w="3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ダミーデータで一貫出力成功</w:t>
            </w:r>
          </w:p>
        </w:tc>
      </w:tr>
      <w:tr>
        <w:tc>
          <w:tcPr>
            <w:tcW w:type="dxa" w:w="3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予備試験＋パイプライン通し検証</w:t>
            </w:r>
          </w:p>
        </w:tc>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第2週</w:t>
            </w:r>
          </w:p>
        </w:tc>
        <w:tc>
          <w:tcPr>
            <w:tcW w:type="dxa" w:w="3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予備試験データで性能確認書出力</w:t>
            </w:r>
          </w:p>
        </w:tc>
      </w:tr>
      <w:tr>
        <w:tc>
          <w:tcPr>
            <w:tcW w:type="dxa" w:w="3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本試験（全条件）</w:t>
            </w:r>
          </w:p>
        </w:tc>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第3週</w:t>
            </w:r>
          </w:p>
        </w:tc>
        <w:tc>
          <w:tcPr>
            <w:tcW w:type="dxa" w:w="3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全条件のデータ取得完了</w:t>
            </w:r>
          </w:p>
        </w:tc>
      </w:tr>
      <w:tr>
        <w:tc>
          <w:tcPr>
            <w:tcW w:type="dxa" w:w="3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解析・性能確認書発行・承認</w:t>
            </w:r>
          </w:p>
        </w:tc>
        <w:tc>
          <w:tcPr>
            <w:tcW w:type="dxa" w:w="2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第4週</w:t>
            </w:r>
          </w:p>
        </w:tc>
        <w:tc>
          <w:tcPr>
            <w:tcW w:type="dxa" w:w="34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承認済み性能確認書の発行</w:t>
            </w:r>
          </w:p>
        </w:tc>
      </w:tr>
    </w:tbl>
    <w:p>
      <w:pPr>
        <w:pStyle w:val="Heading1"/>
        <w:spacing w:after="200" w:before="320"/>
      </w:pPr>
      <w:r>
        <w:rPr>
          <w:rFonts w:ascii="Yu Gothic" w:cs="Yu Gothic" w:eastAsia="Yu Gothic" w:hAnsi="Yu Gothic"/>
          <w:b/>
          <w:bCs/>
          <w:sz w:val="26"/>
          <w:szCs w:val="26"/>
        </w:rPr>
        <w:t xml:space="preserve">8. リスクと対策</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リスク</w:t>
            </w:r>
          </w:p>
        </w:tc>
        <w:tc>
          <w:tcPr>
            <w:tcW w:type="dxa" w:w="31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影響</w:t>
            </w:r>
          </w:p>
        </w:tc>
        <w:tc>
          <w:tcPr>
            <w:tcW w:type="dxa" w:w="3100"/>
            <w:shd w:fill="D9E2F3" w:val="clear"/>
            <w:tcMar>
              <w:top w:type="dxa" w:w="80"/>
              <w:left w:type="dxa" w:w="120"/>
              <w:bottom w:type="dxa" w:w="80"/>
              <w:right w:type="dxa" w:w="120"/>
            </w:tcMar>
          </w:tcPr>
          <w:p>
            <w:pPr>
              <w:spacing w:after="0"/>
            </w:pPr>
            <w:r>
              <w:rPr>
                <w:rFonts w:ascii="Yu Gothic" w:cs="Yu Gothic" w:eastAsia="Yu Gothic" w:hAnsi="Yu Gothic"/>
                <w:b/>
                <w:bCs/>
                <w:sz w:val="21"/>
                <w:szCs w:val="21"/>
              </w:rPr>
              <w:t xml:space="preserve">対策</w:t>
            </w:r>
          </w:p>
        </w:tc>
      </w:tr>
      <w:tr>
        <w:tc>
          <w:tcPr>
            <w:tcW w:type="dxa" w:w="30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測定データの欠損・破損</w:t>
            </w:r>
          </w:p>
        </w:tc>
        <w:tc>
          <w:tcPr>
            <w:tcW w:type="dxa" w:w="31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再試験による工程遅延</w:t>
            </w:r>
          </w:p>
        </w:tc>
        <w:tc>
          <w:tcPr>
            <w:tcW w:type="dxa" w:w="31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生データを取得直後に二重保管、条件ごとに即時バックアップ</w:t>
            </w:r>
          </w:p>
        </w:tc>
      </w:tr>
      <w:tr>
        <w:tc>
          <w:tcPr>
            <w:tcW w:type="dxa" w:w="30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解析スクリプトの不具合</w:t>
            </w:r>
          </w:p>
        </w:tc>
        <w:tc>
          <w:tcPr>
            <w:tcW w:type="dxa" w:w="31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帳票の数値誤り</w:t>
            </w:r>
          </w:p>
        </w:tc>
        <w:tc>
          <w:tcPr>
            <w:tcW w:type="dxa" w:w="31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予備試験での通し検証、既知解のダミーデータによる単体テスト</w:t>
            </w:r>
          </w:p>
        </w:tc>
      </w:tr>
      <w:tr>
        <w:tc>
          <w:tcPr>
            <w:tcW w:type="dxa" w:w="30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判定基準の未確定</w:t>
            </w:r>
          </w:p>
        </w:tc>
        <w:tc>
          <w:tcPr>
            <w:tcW w:type="dxa" w:w="31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出力・承認の手戻り</w:t>
            </w:r>
          </w:p>
        </w:tc>
        <w:tc>
          <w:tcPr>
            <w:tcW w:type="dxa" w:w="31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第1週で基準を確定し設定ファイルに固定、変更は版数管理</w:t>
            </w:r>
          </w:p>
        </w:tc>
      </w:tr>
      <w:tr>
        <w:tc>
          <w:tcPr>
            <w:tcW w:type="dxa" w:w="30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装置・計測系の不調</w:t>
            </w:r>
          </w:p>
        </w:tc>
        <w:tc>
          <w:tcPr>
            <w:tcW w:type="dxa" w:w="31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試験中断</w:t>
            </w:r>
          </w:p>
        </w:tc>
        <w:tc>
          <w:tcPr>
            <w:tcW w:type="dxa" w:w="3100"/>
            <w:tcMar>
              <w:top w:type="dxa" w:w="80"/>
              <w:left w:type="dxa" w:w="120"/>
              <w:bottom w:type="dxa" w:w="80"/>
              <w:right w:type="dxa" w:w="120"/>
            </w:tcMar>
          </w:tcPr>
          <w:p>
            <w:pPr>
              <w:spacing w:after="0"/>
            </w:pPr>
            <w:r>
              <w:rPr>
                <w:rFonts w:ascii="Yu Gothic" w:cs="Yu Gothic" w:eastAsia="Yu Gothic" w:hAnsi="Yu Gothic"/>
                <w:b w:val="false"/>
                <w:bCs w:val="false"/>
                <w:sz w:val="21"/>
                <w:szCs w:val="21"/>
              </w:rPr>
              <w:t xml:space="preserve">予備日の確保、校正記録の事前確認</w:t>
            </w:r>
          </w:p>
        </w:tc>
      </w:tr>
    </w:tbl>
    <w:p>
      <w:pPr>
        <w:pStyle w:val="Heading1"/>
        <w:spacing w:after="200" w:before="320"/>
      </w:pPr>
      <w:r>
        <w:rPr>
          <w:rFonts w:ascii="Yu Gothic" w:cs="Yu Gothic" w:eastAsia="Yu Gothic" w:hAnsi="Yu Gothic"/>
          <w:b/>
          <w:bCs/>
          <w:sz w:val="26"/>
          <w:szCs w:val="26"/>
        </w:rPr>
        <w:t xml:space="preserve">9. 記録・品質管理</w:t>
      </w:r>
    </w:p>
    <w:p>
      <w:pPr>
        <w:spacing w:after="160" w:line="320"/>
      </w:pPr>
      <w:r>
        <w:rPr>
          <w:rFonts w:ascii="Yu Gothic" w:cs="Yu Gothic" w:eastAsia="Yu Gothic" w:hAnsi="Yu Gothic"/>
          <w:sz w:val="21"/>
          <w:szCs w:val="21"/>
        </w:rPr>
        <w:t xml:space="preserve">生データ、解析スクリプト、設定ファイル、出力帳票はすべて版数管理し、性能確認書の数値から生データまで遡れる状態（トレーサビリティ）を維持する。スクリプトと設定の変更は履歴を残し、発行済み帳票の再現に必要な一式を保管する。</w:t>
      </w:r>
    </w:p>
    <w:p>
      <w:pPr>
        <w:spacing w:after="160" w:line="320"/>
      </w:pPr>
      <w:r>
        <w:rPr>
          <w:rFonts w:ascii="Yu Gothic" w:cs="Yu Gothic" w:eastAsia="Yu Gothic" w:hAnsi="Yu Gothic"/>
          <w:sz w:val="21"/>
          <w:szCs w:val="21"/>
        </w:rPr>
        <w:t xml:space="preserve">本計画書は Rev.0（案）であり、実験対象・体制・日程の確定後に更新のうえ、実験統括の承認をもって発効とする。</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8"/>
        <w:szCs w:val="18"/>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2026-07-05T09:57:14.108Z</dcterms:created>
  <dcterms:modified xsi:type="dcterms:W3CDTF">2026-07-05T09:57:14.131Z</dcterms:modified>
</cp:coreProperties>
</file>

<file path=docProps/custom.xml><?xml version="1.0" encoding="utf-8"?>
<Properties xmlns="http://schemas.openxmlformats.org/officeDocument/2006/custom-properties" xmlns:vt="http://schemas.openxmlformats.org/officeDocument/2006/docPropsVTypes"/>
</file>