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87AC6" w14:textId="77777777" w:rsidR="000C4F5E" w:rsidRDefault="00000000">
      <w:pPr>
        <w:spacing w:after="80" w:line="220" w:lineRule="auto"/>
        <w:jc w:val="center"/>
      </w:pPr>
      <w:r>
        <w:rPr>
          <w:rFonts w:ascii="Aptos Display" w:hAnsi="Aptos Display"/>
          <w:b/>
          <w:color w:val="1F4E79"/>
          <w:sz w:val="36"/>
          <w:szCs w:val="36"/>
        </w:rPr>
        <w:t>Thesis Revision Log and Detailed Audit</w:t>
      </w:r>
    </w:p>
    <w:p w14:paraId="1DFAB993" w14:textId="77777777" w:rsidR="000C4F5E" w:rsidRDefault="00000000">
      <w:pPr>
        <w:spacing w:after="220" w:line="220" w:lineRule="auto"/>
        <w:jc w:val="center"/>
      </w:pPr>
      <w:r>
        <w:rPr>
          <w:i/>
          <w:color w:val="5B6573"/>
          <w:sz w:val="22"/>
        </w:rPr>
        <w:t>Reviewer Corrections for the Revised Thesis</w:t>
      </w:r>
    </w:p>
    <w:p w14:paraId="501E3BC3" w14:textId="77777777" w:rsidR="000C4F5E" w:rsidRDefault="00000000">
      <w:pPr>
        <w:keepNext/>
        <w:spacing w:before="180" w:after="70" w:line="220" w:lineRule="auto"/>
      </w:pPr>
      <w:r>
        <w:rPr>
          <w:b/>
          <w:color w:val="1F4E79"/>
          <w:sz w:val="26"/>
          <w:szCs w:val="26"/>
        </w:rPr>
        <w:t>Review Summary</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500"/>
        <w:gridCol w:w="2400"/>
        <w:gridCol w:w="2500"/>
        <w:gridCol w:w="4200"/>
      </w:tblGrid>
      <w:tr w:rsidR="000C4F5E" w14:paraId="37723BB8" w14:textId="77777777">
        <w:trPr>
          <w:tblHeader/>
        </w:trPr>
        <w:tc>
          <w:tcPr>
            <w:tcW w:w="500" w:type="dxa"/>
            <w:shd w:val="clear" w:color="auto" w:fill="1F4E79"/>
            <w:tcMar>
              <w:top w:w="80" w:type="dxa"/>
              <w:left w:w="100" w:type="dxa"/>
              <w:bottom w:w="80" w:type="dxa"/>
              <w:right w:w="100" w:type="dxa"/>
            </w:tcMar>
          </w:tcPr>
          <w:p w14:paraId="32E77D69" w14:textId="77777777" w:rsidR="000C4F5E" w:rsidRDefault="00000000">
            <w:pPr>
              <w:spacing w:after="40" w:line="220" w:lineRule="auto"/>
            </w:pPr>
            <w:r>
              <w:rPr>
                <w:rFonts w:ascii="Aptos" w:hAnsi="Aptos"/>
                <w:b/>
                <w:color w:val="FFFFFF"/>
                <w:sz w:val="18"/>
                <w:szCs w:val="18"/>
              </w:rPr>
              <w:t>#</w:t>
            </w:r>
          </w:p>
        </w:tc>
        <w:tc>
          <w:tcPr>
            <w:tcW w:w="2400" w:type="dxa"/>
            <w:shd w:val="clear" w:color="auto" w:fill="1F4E79"/>
            <w:tcMar>
              <w:top w:w="80" w:type="dxa"/>
              <w:left w:w="100" w:type="dxa"/>
              <w:bottom w:w="80" w:type="dxa"/>
              <w:right w:w="100" w:type="dxa"/>
            </w:tcMar>
          </w:tcPr>
          <w:p w14:paraId="75C2E940" w14:textId="77777777" w:rsidR="000C4F5E" w:rsidRDefault="00000000">
            <w:pPr>
              <w:spacing w:after="40" w:line="220" w:lineRule="auto"/>
            </w:pPr>
            <w:r>
              <w:rPr>
                <w:rFonts w:ascii="Aptos" w:hAnsi="Aptos"/>
                <w:b/>
                <w:color w:val="FFFFFF"/>
                <w:sz w:val="18"/>
                <w:szCs w:val="18"/>
              </w:rPr>
              <w:t>Review Point</w:t>
            </w:r>
          </w:p>
        </w:tc>
        <w:tc>
          <w:tcPr>
            <w:tcW w:w="2500" w:type="dxa"/>
            <w:shd w:val="clear" w:color="auto" w:fill="1F4E79"/>
            <w:tcMar>
              <w:top w:w="80" w:type="dxa"/>
              <w:left w:w="100" w:type="dxa"/>
              <w:bottom w:w="80" w:type="dxa"/>
              <w:right w:w="100" w:type="dxa"/>
            </w:tcMar>
          </w:tcPr>
          <w:p w14:paraId="517B40B9" w14:textId="77777777" w:rsidR="000C4F5E" w:rsidRDefault="00000000">
            <w:pPr>
              <w:spacing w:after="40" w:line="220" w:lineRule="auto"/>
            </w:pPr>
            <w:r>
              <w:rPr>
                <w:rFonts w:ascii="Aptos" w:hAnsi="Aptos"/>
                <w:b/>
                <w:color w:val="FFFFFF"/>
                <w:sz w:val="18"/>
                <w:szCs w:val="18"/>
              </w:rPr>
              <w:t>Decision</w:t>
            </w:r>
          </w:p>
        </w:tc>
        <w:tc>
          <w:tcPr>
            <w:tcW w:w="4200" w:type="dxa"/>
            <w:shd w:val="clear" w:color="auto" w:fill="1F4E79"/>
            <w:tcMar>
              <w:top w:w="80" w:type="dxa"/>
              <w:left w:w="100" w:type="dxa"/>
              <w:bottom w:w="80" w:type="dxa"/>
              <w:right w:w="100" w:type="dxa"/>
            </w:tcMar>
          </w:tcPr>
          <w:p w14:paraId="006ED872" w14:textId="77777777" w:rsidR="000C4F5E" w:rsidRDefault="00000000">
            <w:pPr>
              <w:spacing w:after="40" w:line="220" w:lineRule="auto"/>
            </w:pPr>
            <w:r>
              <w:rPr>
                <w:rFonts w:ascii="Aptos" w:hAnsi="Aptos"/>
                <w:b/>
                <w:color w:val="FFFFFF"/>
                <w:sz w:val="18"/>
                <w:szCs w:val="18"/>
              </w:rPr>
              <w:t>Thesis Location</w:t>
            </w:r>
          </w:p>
        </w:tc>
      </w:tr>
      <w:tr w:rsidR="000C4F5E" w14:paraId="0DCD5EA4" w14:textId="77777777">
        <w:tc>
          <w:tcPr>
            <w:tcW w:w="500" w:type="dxa"/>
            <w:shd w:val="clear" w:color="auto" w:fill="FFFFFF"/>
            <w:tcMar>
              <w:top w:w="80" w:type="dxa"/>
              <w:left w:w="100" w:type="dxa"/>
              <w:bottom w:w="80" w:type="dxa"/>
              <w:right w:w="100" w:type="dxa"/>
            </w:tcMar>
          </w:tcPr>
          <w:p w14:paraId="3469E56D" w14:textId="77777777" w:rsidR="000C4F5E" w:rsidRDefault="00000000">
            <w:pPr>
              <w:spacing w:after="40" w:line="220" w:lineRule="auto"/>
            </w:pPr>
            <w:r>
              <w:rPr>
                <w:rFonts w:ascii="Aptos" w:hAnsi="Aptos"/>
                <w:color w:val="202020"/>
                <w:sz w:val="20"/>
                <w:szCs w:val="20"/>
              </w:rPr>
              <w:t>1</w:t>
            </w:r>
          </w:p>
        </w:tc>
        <w:tc>
          <w:tcPr>
            <w:tcW w:w="2400" w:type="dxa"/>
            <w:shd w:val="clear" w:color="auto" w:fill="FFFFFF"/>
            <w:tcMar>
              <w:top w:w="80" w:type="dxa"/>
              <w:left w:w="100" w:type="dxa"/>
              <w:bottom w:w="80" w:type="dxa"/>
              <w:right w:w="100" w:type="dxa"/>
            </w:tcMar>
          </w:tcPr>
          <w:p w14:paraId="5D9354E5" w14:textId="77777777" w:rsidR="000C4F5E" w:rsidRDefault="00000000">
            <w:pPr>
              <w:spacing w:after="40" w:line="220" w:lineRule="auto"/>
            </w:pPr>
            <w:r>
              <w:rPr>
                <w:rFonts w:ascii="Aptos" w:hAnsi="Aptos"/>
                <w:color w:val="202020"/>
                <w:sz w:val="20"/>
                <w:szCs w:val="20"/>
              </w:rPr>
              <w:t>Equation 4.17</w:t>
            </w:r>
          </w:p>
        </w:tc>
        <w:tc>
          <w:tcPr>
            <w:tcW w:w="2500" w:type="dxa"/>
            <w:shd w:val="clear" w:color="auto" w:fill="EAF0F4"/>
            <w:tcMar>
              <w:top w:w="80" w:type="dxa"/>
              <w:left w:w="100" w:type="dxa"/>
              <w:bottom w:w="80" w:type="dxa"/>
              <w:right w:w="100" w:type="dxa"/>
            </w:tcMar>
          </w:tcPr>
          <w:p w14:paraId="782CCE46"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69F241A6" w14:textId="77777777" w:rsidR="000C4F5E" w:rsidRDefault="00000000">
            <w:pPr>
              <w:spacing w:after="40" w:line="220" w:lineRule="auto"/>
            </w:pPr>
            <w:r>
              <w:rPr>
                <w:rFonts w:ascii="Aptos" w:hAnsi="Aptos"/>
                <w:color w:val="202020"/>
                <w:sz w:val="20"/>
                <w:szCs w:val="20"/>
              </w:rPr>
              <w:t>Section 4.1.7, Equation 4.11; Section 4.2.4.2, Equation 4.17; Section 4.2.4.3 and Algorithm 4.5; Tables 4.13-4.19; Figures 4.16-4.17.</w:t>
            </w:r>
          </w:p>
        </w:tc>
      </w:tr>
      <w:tr w:rsidR="000C4F5E" w14:paraId="588CF0E7" w14:textId="77777777">
        <w:tc>
          <w:tcPr>
            <w:tcW w:w="500" w:type="dxa"/>
            <w:shd w:val="clear" w:color="auto" w:fill="FFFFFF"/>
            <w:tcMar>
              <w:top w:w="80" w:type="dxa"/>
              <w:left w:w="100" w:type="dxa"/>
              <w:bottom w:w="80" w:type="dxa"/>
              <w:right w:w="100" w:type="dxa"/>
            </w:tcMar>
          </w:tcPr>
          <w:p w14:paraId="1AB46B2F" w14:textId="77777777" w:rsidR="000C4F5E" w:rsidRDefault="00000000">
            <w:pPr>
              <w:spacing w:after="40" w:line="220" w:lineRule="auto"/>
            </w:pPr>
            <w:r>
              <w:rPr>
                <w:rFonts w:ascii="Aptos" w:hAnsi="Aptos"/>
                <w:color w:val="202020"/>
                <w:sz w:val="20"/>
                <w:szCs w:val="20"/>
              </w:rPr>
              <w:t>2</w:t>
            </w:r>
          </w:p>
        </w:tc>
        <w:tc>
          <w:tcPr>
            <w:tcW w:w="2400" w:type="dxa"/>
            <w:shd w:val="clear" w:color="auto" w:fill="FFFFFF"/>
            <w:tcMar>
              <w:top w:w="80" w:type="dxa"/>
              <w:left w:w="100" w:type="dxa"/>
              <w:bottom w:w="80" w:type="dxa"/>
              <w:right w:w="100" w:type="dxa"/>
            </w:tcMar>
          </w:tcPr>
          <w:p w14:paraId="1680A6FE" w14:textId="77777777" w:rsidR="000C4F5E" w:rsidRDefault="00000000">
            <w:pPr>
              <w:spacing w:after="40" w:line="220" w:lineRule="auto"/>
            </w:pPr>
            <w:r>
              <w:rPr>
                <w:rFonts w:ascii="Aptos" w:hAnsi="Aptos"/>
                <w:color w:val="202020"/>
                <w:sz w:val="20"/>
                <w:szCs w:val="20"/>
              </w:rPr>
              <w:t>Mathematical Expressions</w:t>
            </w:r>
          </w:p>
        </w:tc>
        <w:tc>
          <w:tcPr>
            <w:tcW w:w="2500" w:type="dxa"/>
            <w:shd w:val="clear" w:color="auto" w:fill="EAF0F4"/>
            <w:tcMar>
              <w:top w:w="80" w:type="dxa"/>
              <w:left w:w="100" w:type="dxa"/>
              <w:bottom w:w="80" w:type="dxa"/>
              <w:right w:w="100" w:type="dxa"/>
            </w:tcMar>
          </w:tcPr>
          <w:p w14:paraId="60932B99"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08FC77CF" w14:textId="77777777" w:rsidR="000C4F5E" w:rsidRDefault="00000000">
            <w:pPr>
              <w:spacing w:after="40" w:line="220" w:lineRule="auto"/>
            </w:pPr>
            <w:r>
              <w:rPr>
                <w:rFonts w:ascii="Aptos" w:hAnsi="Aptos"/>
                <w:color w:val="202020"/>
                <w:sz w:val="20"/>
                <w:szCs w:val="20"/>
              </w:rPr>
              <w:t>Sections 4.1.5-4.1.7, Equations 4.6-4.14; Section 4.2.4.2, Equation 4.17; Algorithm 4.5; Algorithm 4.9; figure, table, and algorithm captions in Chapters 3-4.</w:t>
            </w:r>
          </w:p>
        </w:tc>
      </w:tr>
      <w:tr w:rsidR="000C4F5E" w14:paraId="709AECA0" w14:textId="77777777">
        <w:tc>
          <w:tcPr>
            <w:tcW w:w="500" w:type="dxa"/>
            <w:shd w:val="clear" w:color="auto" w:fill="FFFFFF"/>
            <w:tcMar>
              <w:top w:w="80" w:type="dxa"/>
              <w:left w:w="100" w:type="dxa"/>
              <w:bottom w:w="80" w:type="dxa"/>
              <w:right w:w="100" w:type="dxa"/>
            </w:tcMar>
          </w:tcPr>
          <w:p w14:paraId="3202AA4E" w14:textId="77777777" w:rsidR="000C4F5E" w:rsidRDefault="00000000">
            <w:pPr>
              <w:spacing w:after="40" w:line="220" w:lineRule="auto"/>
            </w:pPr>
            <w:r>
              <w:rPr>
                <w:rFonts w:ascii="Aptos" w:hAnsi="Aptos"/>
                <w:color w:val="202020"/>
                <w:sz w:val="20"/>
                <w:szCs w:val="20"/>
              </w:rPr>
              <w:t>3</w:t>
            </w:r>
          </w:p>
        </w:tc>
        <w:tc>
          <w:tcPr>
            <w:tcW w:w="2400" w:type="dxa"/>
            <w:shd w:val="clear" w:color="auto" w:fill="FFFFFF"/>
            <w:tcMar>
              <w:top w:w="80" w:type="dxa"/>
              <w:left w:w="100" w:type="dxa"/>
              <w:bottom w:w="80" w:type="dxa"/>
              <w:right w:w="100" w:type="dxa"/>
            </w:tcMar>
          </w:tcPr>
          <w:p w14:paraId="2B4C4AC1" w14:textId="77777777" w:rsidR="000C4F5E" w:rsidRDefault="00000000">
            <w:pPr>
              <w:spacing w:after="40" w:line="220" w:lineRule="auto"/>
            </w:pPr>
            <w:r>
              <w:rPr>
                <w:rFonts w:ascii="Aptos" w:hAnsi="Aptos"/>
                <w:color w:val="202020"/>
                <w:sz w:val="20"/>
                <w:szCs w:val="20"/>
              </w:rPr>
              <w:t>Statistical Validation</w:t>
            </w:r>
          </w:p>
        </w:tc>
        <w:tc>
          <w:tcPr>
            <w:tcW w:w="2500" w:type="dxa"/>
            <w:shd w:val="clear" w:color="auto" w:fill="EAF0F4"/>
            <w:tcMar>
              <w:top w:w="80" w:type="dxa"/>
              <w:left w:w="100" w:type="dxa"/>
              <w:bottom w:w="80" w:type="dxa"/>
              <w:right w:w="100" w:type="dxa"/>
            </w:tcMar>
          </w:tcPr>
          <w:p w14:paraId="28DC8E7A"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3052B949" w14:textId="77777777" w:rsidR="000C4F5E" w:rsidRDefault="00000000">
            <w:pPr>
              <w:spacing w:after="40" w:line="220" w:lineRule="auto"/>
            </w:pPr>
            <w:r>
              <w:rPr>
                <w:rFonts w:ascii="Aptos" w:hAnsi="Aptos"/>
                <w:color w:val="202020"/>
                <w:sz w:val="20"/>
                <w:szCs w:val="20"/>
              </w:rPr>
              <w:t>Sections 4.1.5-4.1.7 and 4.2.6-4.2.7; Tables 4.2, 4.8, 4.12, and 4.18.</w:t>
            </w:r>
          </w:p>
        </w:tc>
      </w:tr>
      <w:tr w:rsidR="000C4F5E" w14:paraId="2C7F0EDD" w14:textId="77777777">
        <w:tc>
          <w:tcPr>
            <w:tcW w:w="500" w:type="dxa"/>
            <w:shd w:val="clear" w:color="auto" w:fill="FFFFFF"/>
            <w:tcMar>
              <w:top w:w="80" w:type="dxa"/>
              <w:left w:w="100" w:type="dxa"/>
              <w:bottom w:w="80" w:type="dxa"/>
              <w:right w:w="100" w:type="dxa"/>
            </w:tcMar>
          </w:tcPr>
          <w:p w14:paraId="02749E6E" w14:textId="77777777" w:rsidR="000C4F5E" w:rsidRDefault="00000000">
            <w:pPr>
              <w:spacing w:after="40" w:line="220" w:lineRule="auto"/>
            </w:pPr>
            <w:r>
              <w:rPr>
                <w:rFonts w:ascii="Aptos" w:hAnsi="Aptos"/>
                <w:color w:val="202020"/>
                <w:sz w:val="20"/>
                <w:szCs w:val="20"/>
              </w:rPr>
              <w:t>4</w:t>
            </w:r>
          </w:p>
        </w:tc>
        <w:tc>
          <w:tcPr>
            <w:tcW w:w="2400" w:type="dxa"/>
            <w:shd w:val="clear" w:color="auto" w:fill="FFFFFF"/>
            <w:tcMar>
              <w:top w:w="80" w:type="dxa"/>
              <w:left w:w="100" w:type="dxa"/>
              <w:bottom w:w="80" w:type="dxa"/>
              <w:right w:w="100" w:type="dxa"/>
            </w:tcMar>
          </w:tcPr>
          <w:p w14:paraId="4EEE8F71" w14:textId="77777777" w:rsidR="000C4F5E" w:rsidRDefault="00000000">
            <w:pPr>
              <w:spacing w:after="40" w:line="220" w:lineRule="auto"/>
            </w:pPr>
            <w:r>
              <w:rPr>
                <w:rFonts w:ascii="Aptos" w:hAnsi="Aptos"/>
                <w:color w:val="202020"/>
                <w:sz w:val="20"/>
                <w:szCs w:val="20"/>
              </w:rPr>
              <w:t>Reproducibility of Experiments</w:t>
            </w:r>
          </w:p>
        </w:tc>
        <w:tc>
          <w:tcPr>
            <w:tcW w:w="2500" w:type="dxa"/>
            <w:shd w:val="clear" w:color="auto" w:fill="EAF0F4"/>
            <w:tcMar>
              <w:top w:w="80" w:type="dxa"/>
              <w:left w:w="100" w:type="dxa"/>
              <w:bottom w:w="80" w:type="dxa"/>
              <w:right w:w="100" w:type="dxa"/>
            </w:tcMar>
          </w:tcPr>
          <w:p w14:paraId="3101C5B6"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2C0A9190" w14:textId="77777777" w:rsidR="000C4F5E" w:rsidRDefault="00000000">
            <w:pPr>
              <w:spacing w:after="40" w:line="220" w:lineRule="auto"/>
            </w:pPr>
            <w:r>
              <w:rPr>
                <w:rFonts w:ascii="Aptos" w:hAnsi="Aptos"/>
                <w:color w:val="202020"/>
                <w:sz w:val="20"/>
                <w:szCs w:val="20"/>
              </w:rPr>
              <w:t>Sections 3.1.5-3.1.5.3, 4.1.5-4.1.6, and 4.2.7; Tables 4.1, 4.2, 4.10, and 4.12.</w:t>
            </w:r>
          </w:p>
        </w:tc>
      </w:tr>
      <w:tr w:rsidR="000C4F5E" w14:paraId="60F7DF74" w14:textId="77777777">
        <w:tc>
          <w:tcPr>
            <w:tcW w:w="500" w:type="dxa"/>
            <w:shd w:val="clear" w:color="auto" w:fill="FFFFFF"/>
            <w:tcMar>
              <w:top w:w="80" w:type="dxa"/>
              <w:left w:w="100" w:type="dxa"/>
              <w:bottom w:w="80" w:type="dxa"/>
              <w:right w:w="100" w:type="dxa"/>
            </w:tcMar>
          </w:tcPr>
          <w:p w14:paraId="216A0E0D" w14:textId="77777777" w:rsidR="000C4F5E" w:rsidRDefault="00000000">
            <w:pPr>
              <w:spacing w:after="40" w:line="220" w:lineRule="auto"/>
            </w:pPr>
            <w:r>
              <w:rPr>
                <w:rFonts w:ascii="Aptos" w:hAnsi="Aptos"/>
                <w:color w:val="202020"/>
                <w:sz w:val="20"/>
                <w:szCs w:val="20"/>
              </w:rPr>
              <w:t>5</w:t>
            </w:r>
          </w:p>
        </w:tc>
        <w:tc>
          <w:tcPr>
            <w:tcW w:w="2400" w:type="dxa"/>
            <w:shd w:val="clear" w:color="auto" w:fill="FFFFFF"/>
            <w:tcMar>
              <w:top w:w="80" w:type="dxa"/>
              <w:left w:w="100" w:type="dxa"/>
              <w:bottom w:w="80" w:type="dxa"/>
              <w:right w:w="100" w:type="dxa"/>
            </w:tcMar>
          </w:tcPr>
          <w:p w14:paraId="7CA9D36C" w14:textId="77777777" w:rsidR="000C4F5E" w:rsidRDefault="00000000">
            <w:pPr>
              <w:spacing w:after="40" w:line="220" w:lineRule="auto"/>
            </w:pPr>
            <w:r>
              <w:rPr>
                <w:rFonts w:ascii="Aptos" w:hAnsi="Aptos"/>
                <w:color w:val="202020"/>
                <w:sz w:val="20"/>
                <w:szCs w:val="20"/>
              </w:rPr>
              <w:t>Blockchain Performance and Scalability</w:t>
            </w:r>
          </w:p>
        </w:tc>
        <w:tc>
          <w:tcPr>
            <w:tcW w:w="2500" w:type="dxa"/>
            <w:shd w:val="clear" w:color="auto" w:fill="EAF0F4"/>
            <w:tcMar>
              <w:top w:w="80" w:type="dxa"/>
              <w:left w:w="100" w:type="dxa"/>
              <w:bottom w:w="80" w:type="dxa"/>
              <w:right w:w="100" w:type="dxa"/>
            </w:tcMar>
          </w:tcPr>
          <w:p w14:paraId="1A20DA1C"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795C3205" w14:textId="77777777" w:rsidR="000C4F5E" w:rsidRDefault="00000000">
            <w:pPr>
              <w:spacing w:after="40" w:line="220" w:lineRule="auto"/>
            </w:pPr>
            <w:r>
              <w:rPr>
                <w:rFonts w:ascii="Aptos" w:hAnsi="Aptos"/>
                <w:color w:val="202020"/>
                <w:sz w:val="20"/>
                <w:szCs w:val="20"/>
              </w:rPr>
              <w:t>Sections 3.1.7-3.1.8, 5.4, and 6.8.1-6.8.6.</w:t>
            </w:r>
          </w:p>
        </w:tc>
      </w:tr>
      <w:tr w:rsidR="000C4F5E" w14:paraId="26D14DB3" w14:textId="77777777">
        <w:tc>
          <w:tcPr>
            <w:tcW w:w="500" w:type="dxa"/>
            <w:shd w:val="clear" w:color="auto" w:fill="FFFFFF"/>
            <w:tcMar>
              <w:top w:w="80" w:type="dxa"/>
              <w:left w:w="100" w:type="dxa"/>
              <w:bottom w:w="80" w:type="dxa"/>
              <w:right w:w="100" w:type="dxa"/>
            </w:tcMar>
          </w:tcPr>
          <w:p w14:paraId="204445BA" w14:textId="77777777" w:rsidR="000C4F5E" w:rsidRDefault="00000000">
            <w:pPr>
              <w:spacing w:after="40" w:line="220" w:lineRule="auto"/>
            </w:pPr>
            <w:r>
              <w:rPr>
                <w:rFonts w:ascii="Aptos" w:hAnsi="Aptos"/>
                <w:color w:val="202020"/>
                <w:sz w:val="20"/>
                <w:szCs w:val="20"/>
              </w:rPr>
              <w:t>6</w:t>
            </w:r>
          </w:p>
        </w:tc>
        <w:tc>
          <w:tcPr>
            <w:tcW w:w="2400" w:type="dxa"/>
            <w:shd w:val="clear" w:color="auto" w:fill="FFFFFF"/>
            <w:tcMar>
              <w:top w:w="80" w:type="dxa"/>
              <w:left w:w="100" w:type="dxa"/>
              <w:bottom w:w="80" w:type="dxa"/>
              <w:right w:w="100" w:type="dxa"/>
            </w:tcMar>
          </w:tcPr>
          <w:p w14:paraId="7633A937" w14:textId="77777777" w:rsidR="000C4F5E" w:rsidRDefault="00000000">
            <w:pPr>
              <w:spacing w:after="40" w:line="220" w:lineRule="auto"/>
            </w:pPr>
            <w:r>
              <w:rPr>
                <w:rFonts w:ascii="Aptos" w:hAnsi="Aptos"/>
                <w:color w:val="202020"/>
                <w:sz w:val="20"/>
                <w:szCs w:val="20"/>
              </w:rPr>
              <w:t>Formal Threat Model</w:t>
            </w:r>
          </w:p>
        </w:tc>
        <w:tc>
          <w:tcPr>
            <w:tcW w:w="2500" w:type="dxa"/>
            <w:shd w:val="clear" w:color="auto" w:fill="EAF0F4"/>
            <w:tcMar>
              <w:top w:w="80" w:type="dxa"/>
              <w:left w:w="100" w:type="dxa"/>
              <w:bottom w:w="80" w:type="dxa"/>
              <w:right w:w="100" w:type="dxa"/>
            </w:tcMar>
          </w:tcPr>
          <w:p w14:paraId="36EF891C"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1E6BC0D4" w14:textId="77777777" w:rsidR="000C4F5E" w:rsidRDefault="00000000">
            <w:pPr>
              <w:spacing w:after="40" w:line="220" w:lineRule="auto"/>
            </w:pPr>
            <w:r>
              <w:rPr>
                <w:rFonts w:ascii="Aptos" w:hAnsi="Aptos"/>
                <w:color w:val="202020"/>
                <w:sz w:val="20"/>
                <w:szCs w:val="20"/>
              </w:rPr>
              <w:t>Sections 3.1.1-3.1.6, 3.2.3-3.2.7, and 5.2.1-5.2.2; Tables 5.2, 5.4, 5.5, and 5.6.</w:t>
            </w:r>
          </w:p>
        </w:tc>
      </w:tr>
      <w:tr w:rsidR="000C4F5E" w14:paraId="5F39C02D" w14:textId="77777777">
        <w:tc>
          <w:tcPr>
            <w:tcW w:w="500" w:type="dxa"/>
            <w:shd w:val="clear" w:color="auto" w:fill="FFFFFF"/>
            <w:tcMar>
              <w:top w:w="80" w:type="dxa"/>
              <w:left w:w="100" w:type="dxa"/>
              <w:bottom w:w="80" w:type="dxa"/>
              <w:right w:w="100" w:type="dxa"/>
            </w:tcMar>
          </w:tcPr>
          <w:p w14:paraId="469E86D9" w14:textId="77777777" w:rsidR="000C4F5E" w:rsidRDefault="00000000">
            <w:pPr>
              <w:spacing w:after="40" w:line="220" w:lineRule="auto"/>
            </w:pPr>
            <w:r>
              <w:rPr>
                <w:rFonts w:ascii="Aptos" w:hAnsi="Aptos"/>
                <w:color w:val="202020"/>
                <w:sz w:val="20"/>
                <w:szCs w:val="20"/>
              </w:rPr>
              <w:t>7</w:t>
            </w:r>
          </w:p>
        </w:tc>
        <w:tc>
          <w:tcPr>
            <w:tcW w:w="2400" w:type="dxa"/>
            <w:shd w:val="clear" w:color="auto" w:fill="FFFFFF"/>
            <w:tcMar>
              <w:top w:w="80" w:type="dxa"/>
              <w:left w:w="100" w:type="dxa"/>
              <w:bottom w:w="80" w:type="dxa"/>
              <w:right w:w="100" w:type="dxa"/>
            </w:tcMar>
          </w:tcPr>
          <w:p w14:paraId="4AA7FCDC" w14:textId="77777777" w:rsidR="000C4F5E" w:rsidRDefault="00000000">
            <w:pPr>
              <w:spacing w:after="40" w:line="220" w:lineRule="auto"/>
            </w:pPr>
            <w:r>
              <w:rPr>
                <w:rFonts w:ascii="Aptos" w:hAnsi="Aptos"/>
                <w:color w:val="202020"/>
                <w:sz w:val="20"/>
                <w:szCs w:val="20"/>
              </w:rPr>
              <w:t>Privacy Claims</w:t>
            </w:r>
          </w:p>
        </w:tc>
        <w:tc>
          <w:tcPr>
            <w:tcW w:w="2500" w:type="dxa"/>
            <w:shd w:val="clear" w:color="auto" w:fill="EAF0F4"/>
            <w:tcMar>
              <w:top w:w="80" w:type="dxa"/>
              <w:left w:w="100" w:type="dxa"/>
              <w:bottom w:w="80" w:type="dxa"/>
              <w:right w:w="100" w:type="dxa"/>
            </w:tcMar>
          </w:tcPr>
          <w:p w14:paraId="299C6F72"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716C34FD" w14:textId="77777777" w:rsidR="000C4F5E" w:rsidRDefault="00000000">
            <w:pPr>
              <w:spacing w:after="40" w:line="220" w:lineRule="auto"/>
            </w:pPr>
            <w:r>
              <w:rPr>
                <w:rFonts w:ascii="Aptos" w:hAnsi="Aptos"/>
                <w:color w:val="202020"/>
                <w:sz w:val="20"/>
                <w:szCs w:val="20"/>
              </w:rPr>
              <w:t>Sections 3.1.3, 3.1.10, 3.2.6-3.2.7, 5.4, and 6.8.1-6.8.6.</w:t>
            </w:r>
          </w:p>
        </w:tc>
      </w:tr>
      <w:tr w:rsidR="000C4F5E" w14:paraId="5A475820" w14:textId="77777777">
        <w:tc>
          <w:tcPr>
            <w:tcW w:w="500" w:type="dxa"/>
            <w:shd w:val="clear" w:color="auto" w:fill="FFFFFF"/>
            <w:tcMar>
              <w:top w:w="80" w:type="dxa"/>
              <w:left w:w="100" w:type="dxa"/>
              <w:bottom w:w="80" w:type="dxa"/>
              <w:right w:w="100" w:type="dxa"/>
            </w:tcMar>
          </w:tcPr>
          <w:p w14:paraId="458E5856" w14:textId="77777777" w:rsidR="000C4F5E" w:rsidRDefault="00000000">
            <w:pPr>
              <w:spacing w:after="40" w:line="220" w:lineRule="auto"/>
            </w:pPr>
            <w:r>
              <w:rPr>
                <w:rFonts w:ascii="Aptos" w:hAnsi="Aptos"/>
                <w:color w:val="202020"/>
                <w:sz w:val="20"/>
                <w:szCs w:val="20"/>
              </w:rPr>
              <w:t>8</w:t>
            </w:r>
          </w:p>
        </w:tc>
        <w:tc>
          <w:tcPr>
            <w:tcW w:w="2400" w:type="dxa"/>
            <w:shd w:val="clear" w:color="auto" w:fill="FFFFFF"/>
            <w:tcMar>
              <w:top w:w="80" w:type="dxa"/>
              <w:left w:w="100" w:type="dxa"/>
              <w:bottom w:w="80" w:type="dxa"/>
              <w:right w:w="100" w:type="dxa"/>
            </w:tcMar>
          </w:tcPr>
          <w:p w14:paraId="00DFBADB" w14:textId="77777777" w:rsidR="000C4F5E" w:rsidRDefault="00000000">
            <w:pPr>
              <w:spacing w:after="40" w:line="220" w:lineRule="auto"/>
            </w:pPr>
            <w:r>
              <w:rPr>
                <w:rFonts w:ascii="Aptos" w:hAnsi="Aptos"/>
                <w:color w:val="202020"/>
                <w:sz w:val="20"/>
                <w:szCs w:val="20"/>
              </w:rPr>
              <w:t>Contributions, Objectives, and Research Questions</w:t>
            </w:r>
          </w:p>
        </w:tc>
        <w:tc>
          <w:tcPr>
            <w:tcW w:w="2500" w:type="dxa"/>
            <w:shd w:val="clear" w:color="auto" w:fill="EAF0F4"/>
            <w:tcMar>
              <w:top w:w="80" w:type="dxa"/>
              <w:left w:w="100" w:type="dxa"/>
              <w:bottom w:w="80" w:type="dxa"/>
              <w:right w:w="100" w:type="dxa"/>
            </w:tcMar>
          </w:tcPr>
          <w:p w14:paraId="22100E58"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5D0314F1" w14:textId="77777777" w:rsidR="000C4F5E" w:rsidRDefault="00000000">
            <w:pPr>
              <w:spacing w:after="40" w:line="220" w:lineRule="auto"/>
            </w:pPr>
            <w:r>
              <w:rPr>
                <w:rFonts w:ascii="Aptos" w:hAnsi="Aptos"/>
                <w:color w:val="202020"/>
                <w:sz w:val="20"/>
                <w:szCs w:val="20"/>
              </w:rPr>
              <w:t>Tables 1.2, 1.3, 2.5, 6.1, and 6.2; Sections 1.4-1.6, 2.11, and 6.4-6.6.</w:t>
            </w:r>
          </w:p>
        </w:tc>
      </w:tr>
      <w:tr w:rsidR="000C4F5E" w14:paraId="69AB70C7" w14:textId="77777777">
        <w:tc>
          <w:tcPr>
            <w:tcW w:w="500" w:type="dxa"/>
            <w:shd w:val="clear" w:color="auto" w:fill="FFFFFF"/>
            <w:tcMar>
              <w:top w:w="80" w:type="dxa"/>
              <w:left w:w="100" w:type="dxa"/>
              <w:bottom w:w="80" w:type="dxa"/>
              <w:right w:w="100" w:type="dxa"/>
            </w:tcMar>
          </w:tcPr>
          <w:p w14:paraId="7E0C9B70" w14:textId="77777777" w:rsidR="000C4F5E" w:rsidRDefault="00000000">
            <w:pPr>
              <w:spacing w:after="40" w:line="220" w:lineRule="auto"/>
            </w:pPr>
            <w:r>
              <w:rPr>
                <w:rFonts w:ascii="Aptos" w:hAnsi="Aptos"/>
                <w:color w:val="202020"/>
                <w:sz w:val="20"/>
                <w:szCs w:val="20"/>
              </w:rPr>
              <w:t>9</w:t>
            </w:r>
          </w:p>
        </w:tc>
        <w:tc>
          <w:tcPr>
            <w:tcW w:w="2400" w:type="dxa"/>
            <w:shd w:val="clear" w:color="auto" w:fill="FFFFFF"/>
            <w:tcMar>
              <w:top w:w="80" w:type="dxa"/>
              <w:left w:w="100" w:type="dxa"/>
              <w:bottom w:w="80" w:type="dxa"/>
              <w:right w:w="100" w:type="dxa"/>
            </w:tcMar>
          </w:tcPr>
          <w:p w14:paraId="44B41365" w14:textId="77777777" w:rsidR="000C4F5E" w:rsidRDefault="00000000">
            <w:pPr>
              <w:spacing w:after="40" w:line="220" w:lineRule="auto"/>
            </w:pPr>
            <w:r>
              <w:rPr>
                <w:rFonts w:ascii="Aptos" w:hAnsi="Aptos"/>
                <w:color w:val="202020"/>
                <w:sz w:val="20"/>
                <w:szCs w:val="20"/>
              </w:rPr>
              <w:t>Terminology Standardization</w:t>
            </w:r>
          </w:p>
        </w:tc>
        <w:tc>
          <w:tcPr>
            <w:tcW w:w="2500" w:type="dxa"/>
            <w:shd w:val="clear" w:color="auto" w:fill="EAF0F4"/>
            <w:tcMar>
              <w:top w:w="80" w:type="dxa"/>
              <w:left w:w="100" w:type="dxa"/>
              <w:bottom w:w="80" w:type="dxa"/>
              <w:right w:w="100" w:type="dxa"/>
            </w:tcMar>
          </w:tcPr>
          <w:p w14:paraId="4B58DF56"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2B7CB152" w14:textId="77777777" w:rsidR="000C4F5E" w:rsidRDefault="00000000">
            <w:pPr>
              <w:spacing w:after="40" w:line="220" w:lineRule="auto"/>
            </w:pPr>
            <w:r>
              <w:rPr>
                <w:rFonts w:ascii="Aptos" w:hAnsi="Aptos"/>
                <w:color w:val="202020"/>
                <w:sz w:val="20"/>
                <w:szCs w:val="20"/>
              </w:rPr>
              <w:t>Sections 3.1.1 and 3.1.4; Figure 3.3; Table of Contents and List of Figures entries.</w:t>
            </w:r>
          </w:p>
        </w:tc>
      </w:tr>
      <w:tr w:rsidR="000C4F5E" w14:paraId="054A65C3" w14:textId="77777777">
        <w:tc>
          <w:tcPr>
            <w:tcW w:w="500" w:type="dxa"/>
            <w:shd w:val="clear" w:color="auto" w:fill="FFFFFF"/>
            <w:tcMar>
              <w:top w:w="80" w:type="dxa"/>
              <w:left w:w="100" w:type="dxa"/>
              <w:bottom w:w="80" w:type="dxa"/>
              <w:right w:w="100" w:type="dxa"/>
            </w:tcMar>
          </w:tcPr>
          <w:p w14:paraId="711261E6" w14:textId="77777777" w:rsidR="000C4F5E" w:rsidRDefault="00000000">
            <w:pPr>
              <w:spacing w:after="40" w:line="220" w:lineRule="auto"/>
            </w:pPr>
            <w:r>
              <w:rPr>
                <w:rFonts w:ascii="Aptos" w:hAnsi="Aptos"/>
                <w:color w:val="202020"/>
                <w:sz w:val="20"/>
                <w:szCs w:val="20"/>
              </w:rPr>
              <w:t>10</w:t>
            </w:r>
          </w:p>
        </w:tc>
        <w:tc>
          <w:tcPr>
            <w:tcW w:w="2400" w:type="dxa"/>
            <w:shd w:val="clear" w:color="auto" w:fill="FFFFFF"/>
            <w:tcMar>
              <w:top w:w="80" w:type="dxa"/>
              <w:left w:w="100" w:type="dxa"/>
              <w:bottom w:w="80" w:type="dxa"/>
              <w:right w:w="100" w:type="dxa"/>
            </w:tcMar>
          </w:tcPr>
          <w:p w14:paraId="6942AC10" w14:textId="77777777" w:rsidR="000C4F5E" w:rsidRDefault="00000000">
            <w:pPr>
              <w:spacing w:after="40" w:line="220" w:lineRule="auto"/>
            </w:pPr>
            <w:r>
              <w:rPr>
                <w:rFonts w:ascii="Aptos" w:hAnsi="Aptos"/>
                <w:color w:val="202020"/>
                <w:sz w:val="20"/>
                <w:szCs w:val="20"/>
              </w:rPr>
              <w:t>Data Integrity and Truthfulness</w:t>
            </w:r>
          </w:p>
        </w:tc>
        <w:tc>
          <w:tcPr>
            <w:tcW w:w="2500" w:type="dxa"/>
            <w:shd w:val="clear" w:color="auto" w:fill="EAF0F4"/>
            <w:tcMar>
              <w:top w:w="80" w:type="dxa"/>
              <w:left w:w="100" w:type="dxa"/>
              <w:bottom w:w="80" w:type="dxa"/>
              <w:right w:w="100" w:type="dxa"/>
            </w:tcMar>
          </w:tcPr>
          <w:p w14:paraId="3DCFD73A"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698097BF" w14:textId="77777777" w:rsidR="000C4F5E" w:rsidRDefault="00000000">
            <w:pPr>
              <w:spacing w:after="40" w:line="220" w:lineRule="auto"/>
            </w:pPr>
            <w:r>
              <w:rPr>
                <w:rFonts w:ascii="Aptos" w:hAnsi="Aptos"/>
                <w:color w:val="202020"/>
                <w:sz w:val="20"/>
                <w:szCs w:val="20"/>
              </w:rPr>
              <w:t>Section 3.2.3, especially the Decentralized Web Service Registry Using Blockchain Technology discussion and the following publication steps.</w:t>
            </w:r>
          </w:p>
        </w:tc>
      </w:tr>
      <w:tr w:rsidR="000C4F5E" w14:paraId="7FEBAECE" w14:textId="77777777">
        <w:tc>
          <w:tcPr>
            <w:tcW w:w="500" w:type="dxa"/>
            <w:shd w:val="clear" w:color="auto" w:fill="FFFFFF"/>
            <w:tcMar>
              <w:top w:w="80" w:type="dxa"/>
              <w:left w:w="100" w:type="dxa"/>
              <w:bottom w:w="80" w:type="dxa"/>
              <w:right w:w="100" w:type="dxa"/>
            </w:tcMar>
          </w:tcPr>
          <w:p w14:paraId="122EA87C" w14:textId="77777777" w:rsidR="000C4F5E" w:rsidRDefault="00000000">
            <w:pPr>
              <w:spacing w:after="40" w:line="220" w:lineRule="auto"/>
            </w:pPr>
            <w:r>
              <w:rPr>
                <w:rFonts w:ascii="Aptos" w:hAnsi="Aptos"/>
                <w:color w:val="202020"/>
                <w:sz w:val="20"/>
                <w:szCs w:val="20"/>
              </w:rPr>
              <w:t>11</w:t>
            </w:r>
          </w:p>
        </w:tc>
        <w:tc>
          <w:tcPr>
            <w:tcW w:w="2400" w:type="dxa"/>
            <w:shd w:val="clear" w:color="auto" w:fill="FFFFFF"/>
            <w:tcMar>
              <w:top w:w="80" w:type="dxa"/>
              <w:left w:w="100" w:type="dxa"/>
              <w:bottom w:w="80" w:type="dxa"/>
              <w:right w:w="100" w:type="dxa"/>
            </w:tcMar>
          </w:tcPr>
          <w:p w14:paraId="23024AD5" w14:textId="77777777" w:rsidR="000C4F5E" w:rsidRDefault="00000000">
            <w:pPr>
              <w:spacing w:after="40" w:line="220" w:lineRule="auto"/>
            </w:pPr>
            <w:r>
              <w:rPr>
                <w:rFonts w:ascii="Aptos" w:hAnsi="Aptos"/>
                <w:color w:val="202020"/>
                <w:sz w:val="20"/>
                <w:szCs w:val="20"/>
              </w:rPr>
              <w:t>Focus and Synthesis of Chapter 2</w:t>
            </w:r>
          </w:p>
        </w:tc>
        <w:tc>
          <w:tcPr>
            <w:tcW w:w="2500" w:type="dxa"/>
            <w:shd w:val="clear" w:color="auto" w:fill="EAF0F4"/>
            <w:tcMar>
              <w:top w:w="80" w:type="dxa"/>
              <w:left w:w="100" w:type="dxa"/>
              <w:bottom w:w="80" w:type="dxa"/>
              <w:right w:w="100" w:type="dxa"/>
            </w:tcMar>
          </w:tcPr>
          <w:p w14:paraId="29FD802F"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7D2B4464" w14:textId="77777777" w:rsidR="000C4F5E" w:rsidRDefault="00000000">
            <w:pPr>
              <w:spacing w:after="40" w:line="220" w:lineRule="auto"/>
            </w:pPr>
            <w:r>
              <w:rPr>
                <w:rFonts w:ascii="Aptos" w:hAnsi="Aptos"/>
                <w:color w:val="202020"/>
                <w:sz w:val="20"/>
                <w:szCs w:val="20"/>
              </w:rPr>
              <w:t>Chapter 2, especially Sections 2.1-2.11 and Table 2.5.</w:t>
            </w:r>
          </w:p>
        </w:tc>
      </w:tr>
      <w:tr w:rsidR="000C4F5E" w14:paraId="66BE9043" w14:textId="77777777">
        <w:tc>
          <w:tcPr>
            <w:tcW w:w="500" w:type="dxa"/>
            <w:shd w:val="clear" w:color="auto" w:fill="FFFFFF"/>
            <w:tcMar>
              <w:top w:w="80" w:type="dxa"/>
              <w:left w:w="100" w:type="dxa"/>
              <w:bottom w:w="80" w:type="dxa"/>
              <w:right w:w="100" w:type="dxa"/>
            </w:tcMar>
          </w:tcPr>
          <w:p w14:paraId="0F9E060E" w14:textId="77777777" w:rsidR="000C4F5E" w:rsidRDefault="00000000">
            <w:pPr>
              <w:spacing w:after="40" w:line="220" w:lineRule="auto"/>
            </w:pPr>
            <w:r>
              <w:rPr>
                <w:rFonts w:ascii="Aptos" w:hAnsi="Aptos"/>
                <w:color w:val="202020"/>
                <w:sz w:val="20"/>
                <w:szCs w:val="20"/>
              </w:rPr>
              <w:t>12</w:t>
            </w:r>
          </w:p>
        </w:tc>
        <w:tc>
          <w:tcPr>
            <w:tcW w:w="2400" w:type="dxa"/>
            <w:shd w:val="clear" w:color="auto" w:fill="FFFFFF"/>
            <w:tcMar>
              <w:top w:w="80" w:type="dxa"/>
              <w:left w:w="100" w:type="dxa"/>
              <w:bottom w:w="80" w:type="dxa"/>
              <w:right w:w="100" w:type="dxa"/>
            </w:tcMar>
          </w:tcPr>
          <w:p w14:paraId="3C5B0C3F" w14:textId="77777777" w:rsidR="000C4F5E" w:rsidRDefault="00000000">
            <w:pPr>
              <w:spacing w:after="40" w:line="220" w:lineRule="auto"/>
            </w:pPr>
            <w:r>
              <w:rPr>
                <w:rFonts w:ascii="Aptos" w:hAnsi="Aptos"/>
                <w:color w:val="202020"/>
                <w:sz w:val="20"/>
                <w:szCs w:val="20"/>
              </w:rPr>
              <w:t>Absolute Novelty Claims</w:t>
            </w:r>
          </w:p>
        </w:tc>
        <w:tc>
          <w:tcPr>
            <w:tcW w:w="2500" w:type="dxa"/>
            <w:shd w:val="clear" w:color="auto" w:fill="EAF0F4"/>
            <w:tcMar>
              <w:top w:w="80" w:type="dxa"/>
              <w:left w:w="100" w:type="dxa"/>
              <w:bottom w:w="80" w:type="dxa"/>
              <w:right w:w="100" w:type="dxa"/>
            </w:tcMar>
          </w:tcPr>
          <w:p w14:paraId="0BF19978"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4E993622" w14:textId="77777777" w:rsidR="000C4F5E" w:rsidRDefault="00000000">
            <w:pPr>
              <w:spacing w:after="40" w:line="220" w:lineRule="auto"/>
            </w:pPr>
            <w:r>
              <w:rPr>
                <w:rFonts w:ascii="Aptos" w:hAnsi="Aptos"/>
                <w:color w:val="202020"/>
                <w:sz w:val="20"/>
                <w:szCs w:val="20"/>
              </w:rPr>
              <w:t>Section 2.8, immediately before Section 2.9.</w:t>
            </w:r>
          </w:p>
        </w:tc>
      </w:tr>
      <w:tr w:rsidR="000C4F5E" w14:paraId="285FB147" w14:textId="77777777">
        <w:tc>
          <w:tcPr>
            <w:tcW w:w="500" w:type="dxa"/>
            <w:shd w:val="clear" w:color="auto" w:fill="FFFFFF"/>
            <w:tcMar>
              <w:top w:w="80" w:type="dxa"/>
              <w:left w:w="100" w:type="dxa"/>
              <w:bottom w:w="80" w:type="dxa"/>
              <w:right w:w="100" w:type="dxa"/>
            </w:tcMar>
          </w:tcPr>
          <w:p w14:paraId="37B15958" w14:textId="77777777" w:rsidR="000C4F5E" w:rsidRDefault="00000000">
            <w:pPr>
              <w:spacing w:after="40" w:line="220" w:lineRule="auto"/>
            </w:pPr>
            <w:r>
              <w:rPr>
                <w:rFonts w:ascii="Aptos" w:hAnsi="Aptos"/>
                <w:color w:val="202020"/>
                <w:sz w:val="20"/>
                <w:szCs w:val="20"/>
              </w:rPr>
              <w:t>13</w:t>
            </w:r>
          </w:p>
        </w:tc>
        <w:tc>
          <w:tcPr>
            <w:tcW w:w="2400" w:type="dxa"/>
            <w:shd w:val="clear" w:color="auto" w:fill="FFFFFF"/>
            <w:tcMar>
              <w:top w:w="80" w:type="dxa"/>
              <w:left w:w="100" w:type="dxa"/>
              <w:bottom w:w="80" w:type="dxa"/>
              <w:right w:w="100" w:type="dxa"/>
            </w:tcMar>
          </w:tcPr>
          <w:p w14:paraId="29BD5A3D" w14:textId="77777777" w:rsidR="000C4F5E" w:rsidRDefault="00000000">
            <w:pPr>
              <w:spacing w:after="40" w:line="220" w:lineRule="auto"/>
            </w:pPr>
            <w:r>
              <w:rPr>
                <w:rFonts w:ascii="Aptos" w:hAnsi="Aptos"/>
                <w:color w:val="202020"/>
                <w:sz w:val="20"/>
                <w:szCs w:val="20"/>
              </w:rPr>
              <w:t>Integrated Case Study</w:t>
            </w:r>
          </w:p>
        </w:tc>
        <w:tc>
          <w:tcPr>
            <w:tcW w:w="2500" w:type="dxa"/>
            <w:shd w:val="clear" w:color="auto" w:fill="EAF0F4"/>
            <w:tcMar>
              <w:top w:w="80" w:type="dxa"/>
              <w:left w:w="100" w:type="dxa"/>
              <w:bottom w:w="80" w:type="dxa"/>
              <w:right w:w="100" w:type="dxa"/>
            </w:tcMar>
          </w:tcPr>
          <w:p w14:paraId="603BA4C2" w14:textId="77777777" w:rsidR="000C4F5E" w:rsidRDefault="00000000">
            <w:pPr>
              <w:spacing w:after="40" w:line="220" w:lineRule="auto"/>
            </w:pPr>
            <w:r>
              <w:rPr>
                <w:rFonts w:ascii="Aptos" w:hAnsi="Aptos"/>
                <w:color w:val="202020"/>
                <w:sz w:val="20"/>
                <w:szCs w:val="20"/>
              </w:rPr>
              <w:t>No Change Required / Already Satisfied</w:t>
            </w:r>
          </w:p>
        </w:tc>
        <w:tc>
          <w:tcPr>
            <w:tcW w:w="4200" w:type="dxa"/>
            <w:shd w:val="clear" w:color="auto" w:fill="FFFFFF"/>
            <w:tcMar>
              <w:top w:w="80" w:type="dxa"/>
              <w:left w:w="100" w:type="dxa"/>
              <w:bottom w:w="80" w:type="dxa"/>
              <w:right w:w="100" w:type="dxa"/>
            </w:tcMar>
          </w:tcPr>
          <w:p w14:paraId="6B2C9512" w14:textId="77777777" w:rsidR="000C4F5E" w:rsidRDefault="00000000">
            <w:pPr>
              <w:spacing w:after="40" w:line="220" w:lineRule="auto"/>
            </w:pPr>
            <w:r>
              <w:rPr>
                <w:rFonts w:ascii="Aptos" w:hAnsi="Aptos"/>
                <w:color w:val="202020"/>
                <w:sz w:val="20"/>
                <w:szCs w:val="20"/>
              </w:rPr>
              <w:t>Chapter 5, especially Sections 5.1-5.4; Sections 3.1.5 and 6.8.1-6.8.6.</w:t>
            </w:r>
          </w:p>
        </w:tc>
      </w:tr>
      <w:tr w:rsidR="000C4F5E" w14:paraId="3597224F" w14:textId="77777777">
        <w:tc>
          <w:tcPr>
            <w:tcW w:w="500" w:type="dxa"/>
            <w:shd w:val="clear" w:color="auto" w:fill="FFFFFF"/>
            <w:tcMar>
              <w:top w:w="80" w:type="dxa"/>
              <w:left w:w="100" w:type="dxa"/>
              <w:bottom w:w="80" w:type="dxa"/>
              <w:right w:w="100" w:type="dxa"/>
            </w:tcMar>
          </w:tcPr>
          <w:p w14:paraId="7A20AD42" w14:textId="77777777" w:rsidR="000C4F5E" w:rsidRDefault="00000000">
            <w:pPr>
              <w:spacing w:after="40" w:line="220" w:lineRule="auto"/>
            </w:pPr>
            <w:r>
              <w:rPr>
                <w:rFonts w:ascii="Aptos" w:hAnsi="Aptos"/>
                <w:color w:val="202020"/>
                <w:sz w:val="20"/>
                <w:szCs w:val="20"/>
              </w:rPr>
              <w:t>14</w:t>
            </w:r>
          </w:p>
        </w:tc>
        <w:tc>
          <w:tcPr>
            <w:tcW w:w="2400" w:type="dxa"/>
            <w:shd w:val="clear" w:color="auto" w:fill="FFFFFF"/>
            <w:tcMar>
              <w:top w:w="80" w:type="dxa"/>
              <w:left w:w="100" w:type="dxa"/>
              <w:bottom w:w="80" w:type="dxa"/>
              <w:right w:w="100" w:type="dxa"/>
            </w:tcMar>
          </w:tcPr>
          <w:p w14:paraId="52A3AD38" w14:textId="77777777" w:rsidR="000C4F5E" w:rsidRDefault="00000000">
            <w:pPr>
              <w:spacing w:after="40" w:line="220" w:lineRule="auto"/>
            </w:pPr>
            <w:r>
              <w:rPr>
                <w:rFonts w:ascii="Aptos" w:hAnsi="Aptos"/>
                <w:color w:val="202020"/>
                <w:sz w:val="20"/>
                <w:szCs w:val="20"/>
              </w:rPr>
              <w:t>Conclusions</w:t>
            </w:r>
          </w:p>
        </w:tc>
        <w:tc>
          <w:tcPr>
            <w:tcW w:w="2500" w:type="dxa"/>
            <w:shd w:val="clear" w:color="auto" w:fill="EAF0F4"/>
            <w:tcMar>
              <w:top w:w="80" w:type="dxa"/>
              <w:left w:w="100" w:type="dxa"/>
              <w:bottom w:w="80" w:type="dxa"/>
              <w:right w:w="100" w:type="dxa"/>
            </w:tcMar>
          </w:tcPr>
          <w:p w14:paraId="6C391AED"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65CAF147" w14:textId="77777777" w:rsidR="000C4F5E" w:rsidRDefault="00000000">
            <w:pPr>
              <w:spacing w:after="40" w:line="220" w:lineRule="auto"/>
            </w:pPr>
            <w:r>
              <w:rPr>
                <w:rFonts w:ascii="Aptos" w:hAnsi="Aptos"/>
                <w:color w:val="202020"/>
                <w:sz w:val="20"/>
                <w:szCs w:val="20"/>
              </w:rPr>
              <w:t>Section 5.4; Chapter 5 summary; Section 6.4; Sections 6.5-6.6; Chapter 6 summary.</w:t>
            </w:r>
          </w:p>
        </w:tc>
      </w:tr>
      <w:tr w:rsidR="000C4F5E" w14:paraId="23C8D3B7" w14:textId="77777777">
        <w:tc>
          <w:tcPr>
            <w:tcW w:w="500" w:type="dxa"/>
            <w:shd w:val="clear" w:color="auto" w:fill="FFFFFF"/>
            <w:tcMar>
              <w:top w:w="80" w:type="dxa"/>
              <w:left w:w="100" w:type="dxa"/>
              <w:bottom w:w="80" w:type="dxa"/>
              <w:right w:w="100" w:type="dxa"/>
            </w:tcMar>
          </w:tcPr>
          <w:p w14:paraId="020C11A9" w14:textId="77777777" w:rsidR="000C4F5E" w:rsidRDefault="00000000">
            <w:pPr>
              <w:spacing w:after="40" w:line="220" w:lineRule="auto"/>
            </w:pPr>
            <w:r>
              <w:rPr>
                <w:rFonts w:ascii="Aptos" w:hAnsi="Aptos"/>
                <w:color w:val="202020"/>
                <w:sz w:val="20"/>
                <w:szCs w:val="20"/>
              </w:rPr>
              <w:t>15</w:t>
            </w:r>
          </w:p>
        </w:tc>
        <w:tc>
          <w:tcPr>
            <w:tcW w:w="2400" w:type="dxa"/>
            <w:shd w:val="clear" w:color="auto" w:fill="FFFFFF"/>
            <w:tcMar>
              <w:top w:w="80" w:type="dxa"/>
              <w:left w:w="100" w:type="dxa"/>
              <w:bottom w:w="80" w:type="dxa"/>
              <w:right w:w="100" w:type="dxa"/>
            </w:tcMar>
          </w:tcPr>
          <w:p w14:paraId="240E3585" w14:textId="77777777" w:rsidR="000C4F5E" w:rsidRDefault="00000000">
            <w:pPr>
              <w:spacing w:after="40" w:line="220" w:lineRule="auto"/>
            </w:pPr>
            <w:r>
              <w:rPr>
                <w:rFonts w:ascii="Aptos" w:hAnsi="Aptos"/>
                <w:color w:val="202020"/>
                <w:sz w:val="20"/>
                <w:szCs w:val="20"/>
              </w:rPr>
              <w:t>Types of Performance</w:t>
            </w:r>
          </w:p>
        </w:tc>
        <w:tc>
          <w:tcPr>
            <w:tcW w:w="2500" w:type="dxa"/>
            <w:shd w:val="clear" w:color="auto" w:fill="EAF0F4"/>
            <w:tcMar>
              <w:top w:w="80" w:type="dxa"/>
              <w:left w:w="100" w:type="dxa"/>
              <w:bottom w:w="80" w:type="dxa"/>
              <w:right w:w="100" w:type="dxa"/>
            </w:tcMar>
          </w:tcPr>
          <w:p w14:paraId="502800D7"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29B51A90" w14:textId="77777777" w:rsidR="000C4F5E" w:rsidRDefault="00000000">
            <w:pPr>
              <w:spacing w:after="40" w:line="220" w:lineRule="auto"/>
            </w:pPr>
            <w:r>
              <w:rPr>
                <w:rFonts w:ascii="Aptos" w:hAnsi="Aptos"/>
                <w:color w:val="202020"/>
                <w:sz w:val="20"/>
                <w:szCs w:val="20"/>
              </w:rPr>
              <w:t>Sections 3.1.7-3.1.8, 4.1, 4.2, 5.4, and 6.8.1-6.8.6.</w:t>
            </w:r>
          </w:p>
        </w:tc>
      </w:tr>
      <w:tr w:rsidR="000C4F5E" w14:paraId="5222BAA4" w14:textId="77777777">
        <w:tc>
          <w:tcPr>
            <w:tcW w:w="500" w:type="dxa"/>
            <w:shd w:val="clear" w:color="auto" w:fill="FFFFFF"/>
            <w:tcMar>
              <w:top w:w="80" w:type="dxa"/>
              <w:left w:w="100" w:type="dxa"/>
              <w:bottom w:w="80" w:type="dxa"/>
              <w:right w:w="100" w:type="dxa"/>
            </w:tcMar>
          </w:tcPr>
          <w:p w14:paraId="6A6EDF4E" w14:textId="77777777" w:rsidR="000C4F5E" w:rsidRDefault="00000000">
            <w:pPr>
              <w:spacing w:after="40" w:line="220" w:lineRule="auto"/>
            </w:pPr>
            <w:r>
              <w:rPr>
                <w:rFonts w:ascii="Aptos" w:hAnsi="Aptos"/>
                <w:color w:val="202020"/>
                <w:sz w:val="20"/>
                <w:szCs w:val="20"/>
              </w:rPr>
              <w:t>16</w:t>
            </w:r>
          </w:p>
        </w:tc>
        <w:tc>
          <w:tcPr>
            <w:tcW w:w="2400" w:type="dxa"/>
            <w:shd w:val="clear" w:color="auto" w:fill="FFFFFF"/>
            <w:tcMar>
              <w:top w:w="80" w:type="dxa"/>
              <w:left w:w="100" w:type="dxa"/>
              <w:bottom w:w="80" w:type="dxa"/>
              <w:right w:w="100" w:type="dxa"/>
            </w:tcMar>
          </w:tcPr>
          <w:p w14:paraId="3A79ACA5" w14:textId="77777777" w:rsidR="000C4F5E" w:rsidRDefault="00000000">
            <w:pPr>
              <w:spacing w:after="40" w:line="220" w:lineRule="auto"/>
            </w:pPr>
            <w:r>
              <w:rPr>
                <w:rFonts w:ascii="Aptos" w:hAnsi="Aptos"/>
                <w:color w:val="202020"/>
                <w:sz w:val="20"/>
                <w:szCs w:val="20"/>
              </w:rPr>
              <w:t>Academic Writing Style</w:t>
            </w:r>
          </w:p>
        </w:tc>
        <w:tc>
          <w:tcPr>
            <w:tcW w:w="2500" w:type="dxa"/>
            <w:shd w:val="clear" w:color="auto" w:fill="EAF0F4"/>
            <w:tcMar>
              <w:top w:w="80" w:type="dxa"/>
              <w:left w:w="100" w:type="dxa"/>
              <w:bottom w:w="80" w:type="dxa"/>
              <w:right w:w="100" w:type="dxa"/>
            </w:tcMar>
          </w:tcPr>
          <w:p w14:paraId="68E112B3"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1D975849" w14:textId="77777777" w:rsidR="000C4F5E" w:rsidRDefault="00000000">
            <w:pPr>
              <w:spacing w:after="40" w:line="220" w:lineRule="auto"/>
            </w:pPr>
            <w:r>
              <w:rPr>
                <w:rFonts w:ascii="Aptos" w:hAnsi="Aptos"/>
                <w:color w:val="202020"/>
                <w:sz w:val="20"/>
                <w:szCs w:val="20"/>
              </w:rPr>
              <w:t>Chapter 2: Sections 2.1.1, 2.3, 2.9.4, and 2.9.6; corresponding Table of Contents entries.</w:t>
            </w:r>
          </w:p>
        </w:tc>
      </w:tr>
      <w:tr w:rsidR="000C4F5E" w14:paraId="43AB68AF" w14:textId="77777777">
        <w:tc>
          <w:tcPr>
            <w:tcW w:w="500" w:type="dxa"/>
            <w:shd w:val="clear" w:color="auto" w:fill="FFFFFF"/>
            <w:tcMar>
              <w:top w:w="80" w:type="dxa"/>
              <w:left w:w="100" w:type="dxa"/>
              <w:bottom w:w="80" w:type="dxa"/>
              <w:right w:w="100" w:type="dxa"/>
            </w:tcMar>
          </w:tcPr>
          <w:p w14:paraId="195F026B" w14:textId="77777777" w:rsidR="000C4F5E" w:rsidRDefault="00000000">
            <w:pPr>
              <w:spacing w:after="40" w:line="220" w:lineRule="auto"/>
            </w:pPr>
            <w:r>
              <w:rPr>
                <w:rFonts w:ascii="Aptos" w:hAnsi="Aptos"/>
                <w:color w:val="202020"/>
                <w:sz w:val="20"/>
                <w:szCs w:val="20"/>
              </w:rPr>
              <w:t>17</w:t>
            </w:r>
          </w:p>
        </w:tc>
        <w:tc>
          <w:tcPr>
            <w:tcW w:w="2400" w:type="dxa"/>
            <w:shd w:val="clear" w:color="auto" w:fill="FFFFFF"/>
            <w:tcMar>
              <w:top w:w="80" w:type="dxa"/>
              <w:left w:w="100" w:type="dxa"/>
              <w:bottom w:w="80" w:type="dxa"/>
              <w:right w:w="100" w:type="dxa"/>
            </w:tcMar>
          </w:tcPr>
          <w:p w14:paraId="6CEC785E" w14:textId="77777777" w:rsidR="000C4F5E" w:rsidRDefault="00000000">
            <w:pPr>
              <w:spacing w:after="40" w:line="220" w:lineRule="auto"/>
            </w:pPr>
            <w:r>
              <w:rPr>
                <w:rFonts w:ascii="Aptos" w:hAnsi="Aptos"/>
                <w:color w:val="202020"/>
                <w:sz w:val="20"/>
                <w:szCs w:val="20"/>
              </w:rPr>
              <w:t>Chapter 2 Organization</w:t>
            </w:r>
          </w:p>
        </w:tc>
        <w:tc>
          <w:tcPr>
            <w:tcW w:w="2500" w:type="dxa"/>
            <w:shd w:val="clear" w:color="auto" w:fill="EAF0F4"/>
            <w:tcMar>
              <w:top w:w="80" w:type="dxa"/>
              <w:left w:w="100" w:type="dxa"/>
              <w:bottom w:w="80" w:type="dxa"/>
              <w:right w:w="100" w:type="dxa"/>
            </w:tcMar>
          </w:tcPr>
          <w:p w14:paraId="46D2A283"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19B158E1" w14:textId="77777777" w:rsidR="000C4F5E" w:rsidRDefault="00000000">
            <w:pPr>
              <w:spacing w:after="40" w:line="220" w:lineRule="auto"/>
            </w:pPr>
            <w:r>
              <w:rPr>
                <w:rFonts w:ascii="Aptos" w:hAnsi="Aptos"/>
                <w:color w:val="202020"/>
                <w:sz w:val="20"/>
                <w:szCs w:val="20"/>
              </w:rPr>
              <w:t>Chapter 2; static Table of Contents entries for Sections 2.1.1, 2.3, 2.9.4, and 2.9.6.</w:t>
            </w:r>
          </w:p>
        </w:tc>
      </w:tr>
      <w:tr w:rsidR="000C4F5E" w14:paraId="6B6E4717" w14:textId="77777777">
        <w:tc>
          <w:tcPr>
            <w:tcW w:w="500" w:type="dxa"/>
            <w:shd w:val="clear" w:color="auto" w:fill="FFFFFF"/>
            <w:tcMar>
              <w:top w:w="80" w:type="dxa"/>
              <w:left w:w="100" w:type="dxa"/>
              <w:bottom w:w="80" w:type="dxa"/>
              <w:right w:w="100" w:type="dxa"/>
            </w:tcMar>
          </w:tcPr>
          <w:p w14:paraId="21DBDD37" w14:textId="77777777" w:rsidR="000C4F5E" w:rsidRDefault="00000000">
            <w:pPr>
              <w:spacing w:after="40" w:line="220" w:lineRule="auto"/>
            </w:pPr>
            <w:r>
              <w:rPr>
                <w:rFonts w:ascii="Aptos" w:hAnsi="Aptos"/>
                <w:color w:val="202020"/>
                <w:sz w:val="20"/>
                <w:szCs w:val="20"/>
              </w:rPr>
              <w:t>18</w:t>
            </w:r>
          </w:p>
        </w:tc>
        <w:tc>
          <w:tcPr>
            <w:tcW w:w="2400" w:type="dxa"/>
            <w:shd w:val="clear" w:color="auto" w:fill="FFFFFF"/>
            <w:tcMar>
              <w:top w:w="80" w:type="dxa"/>
              <w:left w:w="100" w:type="dxa"/>
              <w:bottom w:w="80" w:type="dxa"/>
              <w:right w:w="100" w:type="dxa"/>
            </w:tcMar>
          </w:tcPr>
          <w:p w14:paraId="0AC24014" w14:textId="77777777" w:rsidR="000C4F5E" w:rsidRDefault="00000000">
            <w:pPr>
              <w:spacing w:after="40" w:line="220" w:lineRule="auto"/>
            </w:pPr>
            <w:r>
              <w:rPr>
                <w:rFonts w:ascii="Aptos" w:hAnsi="Aptos"/>
                <w:color w:val="202020"/>
                <w:sz w:val="20"/>
                <w:szCs w:val="20"/>
              </w:rPr>
              <w:t xml:space="preserve">Thesis Title and Scope </w:t>
            </w:r>
            <w:r>
              <w:rPr>
                <w:rFonts w:ascii="Aptos" w:hAnsi="Aptos"/>
                <w:color w:val="202020"/>
                <w:sz w:val="20"/>
                <w:szCs w:val="20"/>
              </w:rPr>
              <w:lastRenderedPageBreak/>
              <w:t>Alignment</w:t>
            </w:r>
          </w:p>
        </w:tc>
        <w:tc>
          <w:tcPr>
            <w:tcW w:w="2500" w:type="dxa"/>
            <w:shd w:val="clear" w:color="auto" w:fill="EAF0F4"/>
            <w:tcMar>
              <w:top w:w="80" w:type="dxa"/>
              <w:left w:w="100" w:type="dxa"/>
              <w:bottom w:w="80" w:type="dxa"/>
              <w:right w:w="100" w:type="dxa"/>
            </w:tcMar>
          </w:tcPr>
          <w:p w14:paraId="5921027A" w14:textId="77777777" w:rsidR="000C4F5E" w:rsidRDefault="00000000">
            <w:pPr>
              <w:spacing w:after="40" w:line="220" w:lineRule="auto"/>
            </w:pPr>
            <w:r>
              <w:rPr>
                <w:rFonts w:ascii="Aptos" w:hAnsi="Aptos"/>
                <w:color w:val="202020"/>
                <w:sz w:val="20"/>
                <w:szCs w:val="20"/>
              </w:rPr>
              <w:lastRenderedPageBreak/>
              <w:t xml:space="preserve">No Change Required / </w:t>
            </w:r>
            <w:r>
              <w:rPr>
                <w:rFonts w:ascii="Aptos" w:hAnsi="Aptos"/>
                <w:color w:val="202020"/>
                <w:sz w:val="20"/>
                <w:szCs w:val="20"/>
              </w:rPr>
              <w:lastRenderedPageBreak/>
              <w:t>Already Satisfied</w:t>
            </w:r>
          </w:p>
        </w:tc>
        <w:tc>
          <w:tcPr>
            <w:tcW w:w="4200" w:type="dxa"/>
            <w:shd w:val="clear" w:color="auto" w:fill="FFFFFF"/>
            <w:tcMar>
              <w:top w:w="80" w:type="dxa"/>
              <w:left w:w="100" w:type="dxa"/>
              <w:bottom w:w="80" w:type="dxa"/>
              <w:right w:w="100" w:type="dxa"/>
            </w:tcMar>
          </w:tcPr>
          <w:p w14:paraId="6268D989" w14:textId="77777777" w:rsidR="000C4F5E" w:rsidRDefault="00000000">
            <w:pPr>
              <w:spacing w:after="40" w:line="220" w:lineRule="auto"/>
            </w:pPr>
            <w:r>
              <w:rPr>
                <w:rFonts w:ascii="Aptos" w:hAnsi="Aptos"/>
                <w:color w:val="202020"/>
                <w:sz w:val="20"/>
                <w:szCs w:val="20"/>
              </w:rPr>
              <w:lastRenderedPageBreak/>
              <w:t>Thesis title page and the reviewer request.</w:t>
            </w:r>
          </w:p>
        </w:tc>
      </w:tr>
      <w:tr w:rsidR="000C4F5E" w14:paraId="3621CEFE" w14:textId="77777777">
        <w:tc>
          <w:tcPr>
            <w:tcW w:w="500" w:type="dxa"/>
            <w:shd w:val="clear" w:color="auto" w:fill="FFFFFF"/>
            <w:tcMar>
              <w:top w:w="80" w:type="dxa"/>
              <w:left w:w="100" w:type="dxa"/>
              <w:bottom w:w="80" w:type="dxa"/>
              <w:right w:w="100" w:type="dxa"/>
            </w:tcMar>
          </w:tcPr>
          <w:p w14:paraId="00AA33E5" w14:textId="77777777" w:rsidR="000C4F5E" w:rsidRDefault="00000000">
            <w:pPr>
              <w:spacing w:after="40" w:line="220" w:lineRule="auto"/>
            </w:pPr>
            <w:r>
              <w:rPr>
                <w:rFonts w:ascii="Aptos" w:hAnsi="Aptos"/>
                <w:color w:val="202020"/>
                <w:sz w:val="20"/>
                <w:szCs w:val="20"/>
              </w:rPr>
              <w:t>19</w:t>
            </w:r>
          </w:p>
        </w:tc>
        <w:tc>
          <w:tcPr>
            <w:tcW w:w="2400" w:type="dxa"/>
            <w:shd w:val="clear" w:color="auto" w:fill="FFFFFF"/>
            <w:tcMar>
              <w:top w:w="80" w:type="dxa"/>
              <w:left w:w="100" w:type="dxa"/>
              <w:bottom w:w="80" w:type="dxa"/>
              <w:right w:w="100" w:type="dxa"/>
            </w:tcMar>
          </w:tcPr>
          <w:p w14:paraId="1C95994E" w14:textId="77777777" w:rsidR="000C4F5E" w:rsidRDefault="00000000">
            <w:pPr>
              <w:spacing w:after="40" w:line="220" w:lineRule="auto"/>
            </w:pPr>
            <w:r>
              <w:rPr>
                <w:rFonts w:ascii="Aptos" w:hAnsi="Aptos"/>
                <w:color w:val="202020"/>
                <w:sz w:val="20"/>
                <w:szCs w:val="20"/>
              </w:rPr>
              <w:t>Final Technical and Editorial Audit</w:t>
            </w:r>
          </w:p>
        </w:tc>
        <w:tc>
          <w:tcPr>
            <w:tcW w:w="2500" w:type="dxa"/>
            <w:shd w:val="clear" w:color="auto" w:fill="EAF0F4"/>
            <w:tcMar>
              <w:top w:w="80" w:type="dxa"/>
              <w:left w:w="100" w:type="dxa"/>
              <w:bottom w:w="80" w:type="dxa"/>
              <w:right w:w="100" w:type="dxa"/>
            </w:tcMar>
          </w:tcPr>
          <w:p w14:paraId="32271942" w14:textId="77777777" w:rsidR="000C4F5E" w:rsidRDefault="00000000">
            <w:pPr>
              <w:spacing w:after="40" w:line="220" w:lineRule="auto"/>
            </w:pPr>
            <w:r>
              <w:rPr>
                <w:rFonts w:ascii="Aptos" w:hAnsi="Aptos"/>
                <w:color w:val="202020"/>
                <w:sz w:val="20"/>
                <w:szCs w:val="20"/>
              </w:rPr>
              <w:t>Fixed / Changed</w:t>
            </w:r>
          </w:p>
        </w:tc>
        <w:tc>
          <w:tcPr>
            <w:tcW w:w="4200" w:type="dxa"/>
            <w:shd w:val="clear" w:color="auto" w:fill="FFFFFF"/>
            <w:tcMar>
              <w:top w:w="80" w:type="dxa"/>
              <w:left w:w="100" w:type="dxa"/>
              <w:bottom w:w="80" w:type="dxa"/>
              <w:right w:w="100" w:type="dxa"/>
            </w:tcMar>
          </w:tcPr>
          <w:p w14:paraId="2100C8BD" w14:textId="77777777" w:rsidR="000C4F5E" w:rsidRDefault="00000000">
            <w:pPr>
              <w:spacing w:after="40" w:line="220" w:lineRule="auto"/>
            </w:pPr>
            <w:r>
              <w:rPr>
                <w:rFonts w:ascii="Aptos" w:hAnsi="Aptos"/>
                <w:color w:val="202020"/>
                <w:sz w:val="20"/>
                <w:szCs w:val="20"/>
              </w:rPr>
              <w:t>Whole thesis, with focused checks of Chapters 2-6, the Table of Contents, List of Figures, List of Tables, equations, captions, and revised passages.</w:t>
            </w:r>
          </w:p>
        </w:tc>
      </w:tr>
    </w:tbl>
    <w:p w14:paraId="4A0EBDAD" w14:textId="77777777" w:rsidR="000C4F5E" w:rsidRDefault="00000000">
      <w:r>
        <w:br w:type="page"/>
      </w:r>
    </w:p>
    <w:p w14:paraId="328F7E73" w14:textId="77777777" w:rsidR="000C4F5E" w:rsidRDefault="00000000">
      <w:pPr>
        <w:keepNext/>
        <w:spacing w:after="80" w:line="220" w:lineRule="auto"/>
      </w:pPr>
      <w:r>
        <w:rPr>
          <w:b/>
          <w:color w:val="1F4E79"/>
          <w:sz w:val="26"/>
          <w:szCs w:val="26"/>
        </w:rPr>
        <w:lastRenderedPageBreak/>
        <w:t>Detailed Review Point Record</w:t>
      </w:r>
    </w:p>
    <w:p w14:paraId="45F2CB22" w14:textId="77777777" w:rsidR="000C4F5E" w:rsidRDefault="00000000">
      <w:pPr>
        <w:keepNext/>
        <w:shd w:val="clear" w:color="auto" w:fill="1F4E79"/>
        <w:spacing w:before="180" w:after="60" w:line="220" w:lineRule="auto"/>
        <w:ind w:left="120"/>
      </w:pPr>
      <w:r>
        <w:rPr>
          <w:b/>
          <w:color w:val="FFFFFF"/>
          <w:szCs w:val="24"/>
        </w:rPr>
        <w:t>Review Point 1 - Equation 4.17</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527D1783" w14:textId="77777777">
        <w:tc>
          <w:tcPr>
            <w:tcW w:w="2700" w:type="dxa"/>
            <w:shd w:val="clear" w:color="auto" w:fill="D9EAF7"/>
            <w:tcMar>
              <w:top w:w="80" w:type="dxa"/>
              <w:left w:w="100" w:type="dxa"/>
              <w:bottom w:w="80" w:type="dxa"/>
              <w:right w:w="100" w:type="dxa"/>
            </w:tcMar>
          </w:tcPr>
          <w:p w14:paraId="0E67AA86"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3A05A1FC" w14:textId="77777777" w:rsidR="000C4F5E" w:rsidRDefault="00000000">
            <w:pPr>
              <w:spacing w:after="40" w:line="220" w:lineRule="auto"/>
            </w:pPr>
            <w:r>
              <w:rPr>
                <w:rFonts w:ascii="Aptos" w:hAnsi="Aptos"/>
                <w:color w:val="202020"/>
                <w:sz w:val="20"/>
                <w:szCs w:val="20"/>
              </w:rPr>
              <w:t>The reviewer requested four checks: confirm the formula used for precision, determine whether the displayed expression is a presentation error or an implementation error, update dependent results only if required, and make precision consistent throughout the thesis.</w:t>
            </w:r>
          </w:p>
          <w:p w14:paraId="05240915" w14:textId="77777777" w:rsidR="000C4F5E" w:rsidRDefault="00000000">
            <w:pPr>
              <w:spacing w:after="40" w:line="220" w:lineRule="auto"/>
            </w:pPr>
            <w:r>
              <w:rPr>
                <w:rFonts w:ascii="Aptos" w:hAnsi="Aptos"/>
                <w:color w:val="202020"/>
                <w:sz w:val="20"/>
                <w:szCs w:val="20"/>
              </w:rPr>
              <w:t>The supplied workspace contains no experimental source-code files. Therefore, the audit does not make a claim about the formula used by the implementation. The thesis itself provides a direct internal comparison: Equation 4.11 defines precision using false positives, while Equation 4.17 had used true negatives for the same metric.</w:t>
            </w:r>
          </w:p>
        </w:tc>
      </w:tr>
      <w:tr w:rsidR="000C4F5E" w14:paraId="24295849" w14:textId="77777777">
        <w:tc>
          <w:tcPr>
            <w:tcW w:w="2700" w:type="dxa"/>
            <w:shd w:val="clear" w:color="auto" w:fill="D9EAF7"/>
            <w:tcMar>
              <w:top w:w="80" w:type="dxa"/>
              <w:left w:w="100" w:type="dxa"/>
              <w:bottom w:w="80" w:type="dxa"/>
              <w:right w:w="100" w:type="dxa"/>
            </w:tcMar>
          </w:tcPr>
          <w:p w14:paraId="23FBCEDD"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0E3BB8B3" w14:textId="77777777" w:rsidR="000C4F5E" w:rsidRDefault="00000000">
            <w:pPr>
              <w:spacing w:after="40" w:line="220" w:lineRule="auto"/>
            </w:pPr>
            <w:r>
              <w:rPr>
                <w:rFonts w:ascii="Aptos" w:hAnsi="Aptos"/>
                <w:color w:val="202020"/>
                <w:sz w:val="20"/>
                <w:szCs w:val="20"/>
              </w:rPr>
              <w:t>Section 4.1.7, Equation 4.11; Section 4.2.4.2, Equation 4.17; Section 4.2.4.3 and Algorithm 4.5; Tables 4.13-4.19; Figures 4.16-4.17.</w:t>
            </w:r>
          </w:p>
        </w:tc>
      </w:tr>
      <w:tr w:rsidR="000C4F5E" w14:paraId="3B65DB4A" w14:textId="77777777">
        <w:tc>
          <w:tcPr>
            <w:tcW w:w="2700" w:type="dxa"/>
            <w:shd w:val="clear" w:color="auto" w:fill="D9EAF7"/>
            <w:tcMar>
              <w:top w:w="80" w:type="dxa"/>
              <w:left w:w="100" w:type="dxa"/>
              <w:bottom w:w="80" w:type="dxa"/>
              <w:right w:w="100" w:type="dxa"/>
            </w:tcMar>
          </w:tcPr>
          <w:p w14:paraId="612CB744"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0B7FA83D" w14:textId="77777777" w:rsidR="000C4F5E" w:rsidRDefault="00000000">
            <w:pPr>
              <w:spacing w:after="40" w:line="220" w:lineRule="auto"/>
            </w:pPr>
            <w:r>
              <w:rPr>
                <w:rFonts w:ascii="Aptos" w:hAnsi="Aptos"/>
                <w:color w:val="202020"/>
                <w:sz w:val="20"/>
                <w:szCs w:val="20"/>
              </w:rPr>
              <w:t>Fixed / Changed</w:t>
            </w:r>
          </w:p>
        </w:tc>
      </w:tr>
      <w:tr w:rsidR="000C4F5E" w14:paraId="4DF0C606" w14:textId="77777777">
        <w:tc>
          <w:tcPr>
            <w:tcW w:w="2700" w:type="dxa"/>
            <w:shd w:val="clear" w:color="auto" w:fill="D9EAF7"/>
            <w:tcMar>
              <w:top w:w="80" w:type="dxa"/>
              <w:left w:w="100" w:type="dxa"/>
              <w:bottom w:w="80" w:type="dxa"/>
              <w:right w:w="100" w:type="dxa"/>
            </w:tcMar>
          </w:tcPr>
          <w:p w14:paraId="4D9A8963"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3C957D32" w14:textId="77777777" w:rsidR="000C4F5E" w:rsidRDefault="00000000">
            <w:pPr>
              <w:spacing w:after="40" w:line="220" w:lineRule="auto"/>
            </w:pPr>
            <w:r>
              <w:rPr>
                <w:rFonts w:ascii="Aptos" w:hAnsi="Aptos"/>
                <w:color w:val="202020"/>
                <w:sz w:val="20"/>
                <w:szCs w:val="20"/>
              </w:rPr>
              <w:t>Only the displayed Equation 4.17 and its immediately following symbol definition were corrected. No dependent table, figure, algorithm, or conclusion was changed.</w:t>
            </w:r>
          </w:p>
        </w:tc>
      </w:tr>
      <w:tr w:rsidR="000C4F5E" w14:paraId="1441A53D" w14:textId="77777777">
        <w:tc>
          <w:tcPr>
            <w:tcW w:w="2700" w:type="dxa"/>
            <w:shd w:val="clear" w:color="auto" w:fill="D9EAF7"/>
            <w:tcMar>
              <w:top w:w="80" w:type="dxa"/>
              <w:left w:w="100" w:type="dxa"/>
              <w:bottom w:w="80" w:type="dxa"/>
              <w:right w:w="100" w:type="dxa"/>
            </w:tcMar>
          </w:tcPr>
          <w:p w14:paraId="28E9AC5F"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27868A56" w14:textId="77777777" w:rsidR="000C4F5E" w:rsidRDefault="00000000">
            <w:pPr>
              <w:spacing w:after="40" w:line="220" w:lineRule="auto"/>
            </w:pPr>
            <w:r>
              <w:rPr>
                <w:rFonts w:ascii="Courier New" w:hAnsi="Courier New"/>
                <w:color w:val="202020"/>
                <w:sz w:val="20"/>
                <w:szCs w:val="20"/>
              </w:rPr>
              <w:t>Precision = TP / (TP + TN) (4.17)</w:t>
            </w:r>
          </w:p>
          <w:p w14:paraId="6F75C634" w14:textId="77777777" w:rsidR="000C4F5E" w:rsidRDefault="00000000">
            <w:pPr>
              <w:spacing w:after="40" w:line="220" w:lineRule="auto"/>
            </w:pPr>
            <w:r>
              <w:rPr>
                <w:rFonts w:ascii="Courier New" w:hAnsi="Courier New"/>
                <w:color w:val="202020"/>
                <w:sz w:val="20"/>
                <w:szCs w:val="20"/>
              </w:rPr>
              <w:t>where TP is the number of true positives and TN the number of true negatives.</w:t>
            </w:r>
          </w:p>
        </w:tc>
      </w:tr>
      <w:tr w:rsidR="000C4F5E" w14:paraId="2DF62282" w14:textId="77777777">
        <w:tc>
          <w:tcPr>
            <w:tcW w:w="2700" w:type="dxa"/>
            <w:shd w:val="clear" w:color="auto" w:fill="D9EAF7"/>
            <w:tcMar>
              <w:top w:w="80" w:type="dxa"/>
              <w:left w:w="100" w:type="dxa"/>
              <w:bottom w:w="80" w:type="dxa"/>
              <w:right w:w="100" w:type="dxa"/>
            </w:tcMar>
          </w:tcPr>
          <w:p w14:paraId="356CE1AA"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2D19FBB1" w14:textId="77777777" w:rsidR="000C4F5E" w:rsidRDefault="00000000">
            <w:pPr>
              <w:spacing w:after="40" w:line="220" w:lineRule="auto"/>
            </w:pPr>
            <w:r>
              <w:rPr>
                <w:rFonts w:ascii="Courier New" w:hAnsi="Courier New"/>
                <w:color w:val="202020"/>
                <w:sz w:val="20"/>
                <w:szCs w:val="20"/>
              </w:rPr>
              <w:t>Precision = TP / (TP + FP) (4.17)</w:t>
            </w:r>
          </w:p>
          <w:p w14:paraId="58D99356" w14:textId="77777777" w:rsidR="000C4F5E" w:rsidRDefault="00000000">
            <w:pPr>
              <w:spacing w:after="40" w:line="220" w:lineRule="auto"/>
            </w:pPr>
            <w:r>
              <w:rPr>
                <w:rFonts w:ascii="Courier New" w:hAnsi="Courier New"/>
                <w:color w:val="202020"/>
                <w:sz w:val="20"/>
                <w:szCs w:val="20"/>
              </w:rPr>
              <w:t>where TP is the number of true positives and FP the number of false positives.</w:t>
            </w:r>
          </w:p>
        </w:tc>
      </w:tr>
      <w:tr w:rsidR="000C4F5E" w14:paraId="7C38C3C0" w14:textId="77777777">
        <w:tc>
          <w:tcPr>
            <w:tcW w:w="2700" w:type="dxa"/>
            <w:shd w:val="clear" w:color="auto" w:fill="D9EAF7"/>
            <w:tcMar>
              <w:top w:w="80" w:type="dxa"/>
              <w:left w:w="100" w:type="dxa"/>
              <w:bottom w:w="80" w:type="dxa"/>
              <w:right w:w="100" w:type="dxa"/>
            </w:tcMar>
          </w:tcPr>
          <w:p w14:paraId="5696AE04"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6D9EB2A8" w14:textId="77777777" w:rsidR="000C4F5E" w:rsidRDefault="00000000">
            <w:pPr>
              <w:spacing w:after="40" w:line="220" w:lineRule="auto"/>
            </w:pPr>
            <w:r>
              <w:rPr>
                <w:rFonts w:ascii="Aptos" w:hAnsi="Aptos"/>
                <w:color w:val="202020"/>
                <w:sz w:val="20"/>
                <w:szCs w:val="20"/>
              </w:rPr>
              <w:t>Equation 4.11 already states Precision = TP / (TP + FP). Since both passages use the term precision and Equation 4.17 is explicitly the validation-precision fitness measure, the conflicting displayed denominator and definition required correction. The revision is limited to presentation consistency within the thesis; it does not state that experimental computations were changed.</w:t>
            </w:r>
          </w:p>
        </w:tc>
      </w:tr>
      <w:tr w:rsidR="000C4F5E" w14:paraId="76AC24D0" w14:textId="77777777">
        <w:tc>
          <w:tcPr>
            <w:tcW w:w="2700" w:type="dxa"/>
            <w:shd w:val="clear" w:color="auto" w:fill="D9EAF7"/>
            <w:tcMar>
              <w:top w:w="80" w:type="dxa"/>
              <w:left w:w="100" w:type="dxa"/>
              <w:bottom w:w="80" w:type="dxa"/>
              <w:right w:w="100" w:type="dxa"/>
            </w:tcMar>
          </w:tcPr>
          <w:p w14:paraId="28BA8C2C"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17A02B5C" w14:textId="77777777" w:rsidR="000C4F5E" w:rsidRDefault="00000000">
            <w:pPr>
              <w:spacing w:after="40" w:line="220" w:lineRule="auto"/>
            </w:pPr>
            <w:r>
              <w:rPr>
                <w:rFonts w:ascii="Aptos" w:hAnsi="Aptos"/>
                <w:color w:val="202020"/>
                <w:sz w:val="20"/>
                <w:szCs w:val="20"/>
              </w:rPr>
              <w:t>The revised Equation 4.17 matches Equation 4.11. The surrounding workflow and Algorithm 4.5 continue to identify validation precision as the fitness measure. The related result tables and figures were reviewed and retained because the supplied materials contain no direct evidence that their values require alteration.</w:t>
            </w:r>
          </w:p>
        </w:tc>
      </w:tr>
    </w:tbl>
    <w:p w14:paraId="450D28D6" w14:textId="77777777" w:rsidR="000C4F5E" w:rsidRDefault="00000000">
      <w:pPr>
        <w:keepNext/>
        <w:shd w:val="clear" w:color="auto" w:fill="1F4E79"/>
        <w:spacing w:before="180" w:after="60" w:line="220" w:lineRule="auto"/>
        <w:ind w:left="120"/>
      </w:pPr>
      <w:r>
        <w:rPr>
          <w:b/>
          <w:color w:val="FFFFFF"/>
          <w:szCs w:val="24"/>
        </w:rPr>
        <w:t>Review Point 2 - Mathematical Expressions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44DB2646" w14:textId="77777777">
        <w:tc>
          <w:tcPr>
            <w:tcW w:w="2700" w:type="dxa"/>
            <w:shd w:val="clear" w:color="auto" w:fill="D9EAF7"/>
            <w:tcMar>
              <w:top w:w="80" w:type="dxa"/>
              <w:left w:w="100" w:type="dxa"/>
              <w:bottom w:w="80" w:type="dxa"/>
              <w:right w:w="100" w:type="dxa"/>
            </w:tcMar>
          </w:tcPr>
          <w:p w14:paraId="24E47B87"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6C639F17" w14:textId="77777777" w:rsidR="000C4F5E" w:rsidRDefault="00000000">
            <w:pPr>
              <w:spacing w:after="40" w:line="220" w:lineRule="auto"/>
            </w:pPr>
            <w:r>
              <w:rPr>
                <w:rFonts w:ascii="Aptos" w:hAnsi="Aptos"/>
                <w:color w:val="202020"/>
                <w:sz w:val="20"/>
                <w:szCs w:val="20"/>
              </w:rPr>
              <w:t>The reviewer requested an audit of equations, algorithms, symbols, notation, equation numbering, and cross-references. The focus of this revision was to correct demonstrable internal inconsistencies without rewriting equations that already matched their surrounding definitions.</w:t>
            </w:r>
          </w:p>
        </w:tc>
      </w:tr>
      <w:tr w:rsidR="000C4F5E" w14:paraId="16A07FEC" w14:textId="77777777">
        <w:tc>
          <w:tcPr>
            <w:tcW w:w="2700" w:type="dxa"/>
            <w:shd w:val="clear" w:color="auto" w:fill="D9EAF7"/>
            <w:tcMar>
              <w:top w:w="80" w:type="dxa"/>
              <w:left w:w="100" w:type="dxa"/>
              <w:bottom w:w="80" w:type="dxa"/>
              <w:right w:w="100" w:type="dxa"/>
            </w:tcMar>
          </w:tcPr>
          <w:p w14:paraId="26581B15"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1D13AB54" w14:textId="77777777" w:rsidR="000C4F5E" w:rsidRDefault="00000000">
            <w:pPr>
              <w:spacing w:after="40" w:line="220" w:lineRule="auto"/>
            </w:pPr>
            <w:r>
              <w:rPr>
                <w:rFonts w:ascii="Aptos" w:hAnsi="Aptos"/>
                <w:color w:val="202020"/>
                <w:sz w:val="20"/>
                <w:szCs w:val="20"/>
              </w:rPr>
              <w:t>Sections 4.1.5-4.1.7, Equations 4.6-4.14; Section 4.2.4.2, Equation 4.17; Algorithm 4.5; Algorithm 4.9; figure, table, and algorithm captions in Chapters 3-4.</w:t>
            </w:r>
          </w:p>
        </w:tc>
      </w:tr>
      <w:tr w:rsidR="000C4F5E" w14:paraId="7BE7969B" w14:textId="77777777">
        <w:tc>
          <w:tcPr>
            <w:tcW w:w="2700" w:type="dxa"/>
            <w:shd w:val="clear" w:color="auto" w:fill="D9EAF7"/>
            <w:tcMar>
              <w:top w:w="80" w:type="dxa"/>
              <w:left w:w="100" w:type="dxa"/>
              <w:bottom w:w="80" w:type="dxa"/>
              <w:right w:w="100" w:type="dxa"/>
            </w:tcMar>
          </w:tcPr>
          <w:p w14:paraId="26584260"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22F714D9" w14:textId="77777777" w:rsidR="000C4F5E" w:rsidRDefault="00000000">
            <w:pPr>
              <w:spacing w:after="40" w:line="220" w:lineRule="auto"/>
            </w:pPr>
            <w:r>
              <w:rPr>
                <w:rFonts w:ascii="Aptos" w:hAnsi="Aptos"/>
                <w:color w:val="202020"/>
                <w:sz w:val="20"/>
                <w:szCs w:val="20"/>
              </w:rPr>
              <w:t>Fixed / Changed</w:t>
            </w:r>
          </w:p>
        </w:tc>
      </w:tr>
      <w:tr w:rsidR="000C4F5E" w14:paraId="49923842" w14:textId="77777777">
        <w:tc>
          <w:tcPr>
            <w:tcW w:w="2700" w:type="dxa"/>
            <w:shd w:val="clear" w:color="auto" w:fill="D9EAF7"/>
            <w:tcMar>
              <w:top w:w="80" w:type="dxa"/>
              <w:left w:w="100" w:type="dxa"/>
              <w:bottom w:w="80" w:type="dxa"/>
              <w:right w:w="100" w:type="dxa"/>
            </w:tcMar>
          </w:tcPr>
          <w:p w14:paraId="7E89A6F9"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01D7A99A" w14:textId="77777777" w:rsidR="000C4F5E" w:rsidRDefault="00000000">
            <w:pPr>
              <w:spacing w:after="40" w:line="220" w:lineRule="auto"/>
            </w:pPr>
            <w:r>
              <w:rPr>
                <w:rFonts w:ascii="Aptos" w:hAnsi="Aptos"/>
                <w:color w:val="202020"/>
                <w:sz w:val="20"/>
                <w:szCs w:val="20"/>
              </w:rPr>
              <w:t>The precision notation conflict identified at Equation 4.17 was corrected. No other equation, algorithm formula, or notation was changed.</w:t>
            </w:r>
          </w:p>
        </w:tc>
      </w:tr>
      <w:tr w:rsidR="000C4F5E" w14:paraId="324C720B" w14:textId="77777777">
        <w:tc>
          <w:tcPr>
            <w:tcW w:w="2700" w:type="dxa"/>
            <w:shd w:val="clear" w:color="auto" w:fill="D9EAF7"/>
            <w:tcMar>
              <w:top w:w="80" w:type="dxa"/>
              <w:left w:w="100" w:type="dxa"/>
              <w:bottom w:w="80" w:type="dxa"/>
              <w:right w:w="100" w:type="dxa"/>
            </w:tcMar>
          </w:tcPr>
          <w:p w14:paraId="0985287B"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546E9B66" w14:textId="77777777" w:rsidR="000C4F5E" w:rsidRDefault="00000000">
            <w:pPr>
              <w:spacing w:after="40" w:line="220" w:lineRule="auto"/>
            </w:pPr>
            <w:r>
              <w:rPr>
                <w:rFonts w:ascii="Courier New" w:hAnsi="Courier New"/>
                <w:color w:val="202020"/>
                <w:sz w:val="20"/>
                <w:szCs w:val="20"/>
              </w:rPr>
              <w:t>Equation 4.11 used TP / (TP + FP), while Equation 4.17 used TP / (TP + TN).</w:t>
            </w:r>
          </w:p>
        </w:tc>
      </w:tr>
      <w:tr w:rsidR="000C4F5E" w14:paraId="2CFDFD7B" w14:textId="77777777">
        <w:tc>
          <w:tcPr>
            <w:tcW w:w="2700" w:type="dxa"/>
            <w:shd w:val="clear" w:color="auto" w:fill="D9EAF7"/>
            <w:tcMar>
              <w:top w:w="80" w:type="dxa"/>
              <w:left w:w="100" w:type="dxa"/>
              <w:bottom w:w="80" w:type="dxa"/>
              <w:right w:w="100" w:type="dxa"/>
            </w:tcMar>
          </w:tcPr>
          <w:p w14:paraId="39BFEF9B"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357DE76" w14:textId="77777777" w:rsidR="000C4F5E" w:rsidRDefault="00000000">
            <w:pPr>
              <w:spacing w:after="40" w:line="220" w:lineRule="auto"/>
            </w:pPr>
            <w:r>
              <w:rPr>
                <w:rFonts w:ascii="Courier New" w:hAnsi="Courier New"/>
                <w:color w:val="202020"/>
                <w:sz w:val="20"/>
                <w:szCs w:val="20"/>
              </w:rPr>
              <w:t>Both Equation 4.11 and Equation 4.17 use TP / (TP + FP) for precision.</w:t>
            </w:r>
          </w:p>
        </w:tc>
      </w:tr>
      <w:tr w:rsidR="000C4F5E" w14:paraId="4FF6B7EB" w14:textId="77777777">
        <w:tc>
          <w:tcPr>
            <w:tcW w:w="2700" w:type="dxa"/>
            <w:shd w:val="clear" w:color="auto" w:fill="D9EAF7"/>
            <w:tcMar>
              <w:top w:w="80" w:type="dxa"/>
              <w:left w:w="100" w:type="dxa"/>
              <w:bottom w:w="80" w:type="dxa"/>
              <w:right w:w="100" w:type="dxa"/>
            </w:tcMar>
          </w:tcPr>
          <w:p w14:paraId="26F21C65"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313817D3" w14:textId="77777777" w:rsidR="000C4F5E" w:rsidRDefault="00000000">
            <w:pPr>
              <w:spacing w:after="40" w:line="220" w:lineRule="auto"/>
            </w:pPr>
            <w:r>
              <w:rPr>
                <w:rFonts w:ascii="Aptos" w:hAnsi="Aptos"/>
                <w:color w:val="202020"/>
                <w:sz w:val="20"/>
                <w:szCs w:val="20"/>
              </w:rPr>
              <w:t xml:space="preserve">The reviewer specifically identified the precision inconsistency. No broader </w:t>
            </w:r>
            <w:r>
              <w:rPr>
                <w:rFonts w:ascii="Aptos" w:hAnsi="Aptos"/>
                <w:color w:val="202020"/>
                <w:sz w:val="20"/>
                <w:szCs w:val="20"/>
              </w:rPr>
              <w:lastRenderedPageBreak/>
              <w:t>changes were made because the remaining inspected expressions retained their stated symbols, equation labels, and surrounding explanations.</w:t>
            </w:r>
          </w:p>
        </w:tc>
      </w:tr>
      <w:tr w:rsidR="000C4F5E" w14:paraId="36608272" w14:textId="77777777">
        <w:tc>
          <w:tcPr>
            <w:tcW w:w="2700" w:type="dxa"/>
            <w:shd w:val="clear" w:color="auto" w:fill="D9EAF7"/>
            <w:tcMar>
              <w:top w:w="80" w:type="dxa"/>
              <w:left w:w="100" w:type="dxa"/>
              <w:bottom w:w="80" w:type="dxa"/>
              <w:right w:w="100" w:type="dxa"/>
            </w:tcMar>
          </w:tcPr>
          <w:p w14:paraId="46FA8A09" w14:textId="77777777" w:rsidR="000C4F5E" w:rsidRDefault="00000000">
            <w:pPr>
              <w:spacing w:after="40" w:line="220" w:lineRule="auto"/>
            </w:pPr>
            <w:r>
              <w:rPr>
                <w:rFonts w:ascii="Aptos" w:hAnsi="Aptos"/>
                <w:b/>
                <w:color w:val="1F1F1F"/>
                <w:sz w:val="18"/>
                <w:szCs w:val="18"/>
              </w:rPr>
              <w:lastRenderedPageBreak/>
              <w:t>Evidence / Verification Basis</w:t>
            </w:r>
          </w:p>
        </w:tc>
        <w:tc>
          <w:tcPr>
            <w:tcW w:w="6900" w:type="dxa"/>
            <w:shd w:val="clear" w:color="auto" w:fill="FFFFFF"/>
            <w:tcMar>
              <w:top w:w="80" w:type="dxa"/>
              <w:left w:w="100" w:type="dxa"/>
              <w:bottom w:w="80" w:type="dxa"/>
              <w:right w:w="100" w:type="dxa"/>
            </w:tcMar>
          </w:tcPr>
          <w:p w14:paraId="148E690B" w14:textId="77777777" w:rsidR="000C4F5E" w:rsidRDefault="00000000">
            <w:pPr>
              <w:spacing w:after="40" w:line="220" w:lineRule="auto"/>
            </w:pPr>
            <w:r>
              <w:rPr>
                <w:rFonts w:ascii="Aptos" w:hAnsi="Aptos"/>
                <w:color w:val="202020"/>
                <w:sz w:val="20"/>
                <w:szCs w:val="20"/>
              </w:rPr>
              <w:t>The audit checked the performance-measure section, the fitness-evaluation section, and the related GA workflow. The corrected equation is numbered 4.17 and remains in its original location. Existing equation, figure, table, and algorithm identifiers were retained.</w:t>
            </w:r>
          </w:p>
        </w:tc>
      </w:tr>
    </w:tbl>
    <w:p w14:paraId="2F7912C7" w14:textId="77777777" w:rsidR="000C4F5E" w:rsidRDefault="00000000">
      <w:pPr>
        <w:keepNext/>
        <w:shd w:val="clear" w:color="auto" w:fill="1F4E79"/>
        <w:spacing w:before="180" w:after="60" w:line="220" w:lineRule="auto"/>
        <w:ind w:left="120"/>
      </w:pPr>
      <w:r>
        <w:rPr>
          <w:b/>
          <w:color w:val="FFFFFF"/>
          <w:szCs w:val="24"/>
        </w:rPr>
        <w:t>Review Point 3 - Statistical Validation</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1AEAD50B" w14:textId="77777777">
        <w:tc>
          <w:tcPr>
            <w:tcW w:w="2700" w:type="dxa"/>
            <w:shd w:val="clear" w:color="auto" w:fill="D9EAF7"/>
            <w:tcMar>
              <w:top w:w="80" w:type="dxa"/>
              <w:left w:w="100" w:type="dxa"/>
              <w:bottom w:w="80" w:type="dxa"/>
              <w:right w:w="100" w:type="dxa"/>
            </w:tcMar>
          </w:tcPr>
          <w:p w14:paraId="52D21B15"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6165D6B5" w14:textId="77777777" w:rsidR="000C4F5E" w:rsidRDefault="00000000">
            <w:pPr>
              <w:spacing w:after="40" w:line="220" w:lineRule="auto"/>
            </w:pPr>
            <w:r>
              <w:rPr>
                <w:rFonts w:ascii="Aptos" w:hAnsi="Aptos"/>
                <w:color w:val="202020"/>
                <w:sz w:val="20"/>
                <w:szCs w:val="20"/>
              </w:rPr>
              <w:t>The reviewer requested clarification of independent runs, observations, test selection, one-tailed justification, pairing, and statistical reporting. The audit checked whether these items were already described in the experimental sections.</w:t>
            </w:r>
          </w:p>
        </w:tc>
      </w:tr>
      <w:tr w:rsidR="000C4F5E" w14:paraId="3EA0B142" w14:textId="77777777">
        <w:tc>
          <w:tcPr>
            <w:tcW w:w="2700" w:type="dxa"/>
            <w:shd w:val="clear" w:color="auto" w:fill="D9EAF7"/>
            <w:tcMar>
              <w:top w:w="80" w:type="dxa"/>
              <w:left w:w="100" w:type="dxa"/>
              <w:bottom w:w="80" w:type="dxa"/>
              <w:right w:w="100" w:type="dxa"/>
            </w:tcMar>
          </w:tcPr>
          <w:p w14:paraId="3DFBC111"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7E2A7A3F" w14:textId="77777777" w:rsidR="000C4F5E" w:rsidRDefault="00000000">
            <w:pPr>
              <w:spacing w:after="40" w:line="220" w:lineRule="auto"/>
            </w:pPr>
            <w:r>
              <w:rPr>
                <w:rFonts w:ascii="Aptos" w:hAnsi="Aptos"/>
                <w:color w:val="202020"/>
                <w:sz w:val="20"/>
                <w:szCs w:val="20"/>
              </w:rPr>
              <w:t>Sections 4.1.5-4.1.7 and 4.2.6-4.2.7; Tables 4.2, 4.8, 4.12, and 4.18.</w:t>
            </w:r>
          </w:p>
        </w:tc>
      </w:tr>
      <w:tr w:rsidR="000C4F5E" w14:paraId="6503DCAE" w14:textId="77777777">
        <w:tc>
          <w:tcPr>
            <w:tcW w:w="2700" w:type="dxa"/>
            <w:shd w:val="clear" w:color="auto" w:fill="D9EAF7"/>
            <w:tcMar>
              <w:top w:w="80" w:type="dxa"/>
              <w:left w:w="100" w:type="dxa"/>
              <w:bottom w:w="80" w:type="dxa"/>
              <w:right w:w="100" w:type="dxa"/>
            </w:tcMar>
          </w:tcPr>
          <w:p w14:paraId="35BCF9E2"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2DCB22D4" w14:textId="77777777" w:rsidR="000C4F5E" w:rsidRDefault="00000000">
            <w:pPr>
              <w:spacing w:after="40" w:line="220" w:lineRule="auto"/>
            </w:pPr>
            <w:r>
              <w:rPr>
                <w:rFonts w:ascii="Aptos" w:hAnsi="Aptos"/>
                <w:color w:val="202020"/>
                <w:sz w:val="20"/>
                <w:szCs w:val="20"/>
              </w:rPr>
              <w:t>No Change Required / Already Satisfied</w:t>
            </w:r>
          </w:p>
        </w:tc>
      </w:tr>
      <w:tr w:rsidR="000C4F5E" w14:paraId="721763A2" w14:textId="77777777">
        <w:tc>
          <w:tcPr>
            <w:tcW w:w="2700" w:type="dxa"/>
            <w:shd w:val="clear" w:color="auto" w:fill="D9EAF7"/>
            <w:tcMar>
              <w:top w:w="80" w:type="dxa"/>
              <w:left w:w="100" w:type="dxa"/>
              <w:bottom w:w="80" w:type="dxa"/>
              <w:right w:w="100" w:type="dxa"/>
            </w:tcMar>
          </w:tcPr>
          <w:p w14:paraId="6035EBDB"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0FA618F0" w14:textId="77777777" w:rsidR="000C4F5E" w:rsidRDefault="00000000">
            <w:pPr>
              <w:spacing w:after="40" w:line="220" w:lineRule="auto"/>
            </w:pPr>
            <w:r>
              <w:rPr>
                <w:rFonts w:ascii="Aptos" w:hAnsi="Aptos"/>
                <w:color w:val="202020"/>
                <w:sz w:val="20"/>
                <w:szCs w:val="20"/>
              </w:rPr>
              <w:t>No statistical values or statistical prose were added.</w:t>
            </w:r>
          </w:p>
        </w:tc>
      </w:tr>
      <w:tr w:rsidR="000C4F5E" w14:paraId="4AB7EB6D" w14:textId="77777777">
        <w:tc>
          <w:tcPr>
            <w:tcW w:w="2700" w:type="dxa"/>
            <w:shd w:val="clear" w:color="auto" w:fill="D9EAF7"/>
            <w:tcMar>
              <w:top w:w="80" w:type="dxa"/>
              <w:left w:w="100" w:type="dxa"/>
              <w:bottom w:w="80" w:type="dxa"/>
              <w:right w:w="100" w:type="dxa"/>
            </w:tcMar>
          </w:tcPr>
          <w:p w14:paraId="065643C1"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3671E701" w14:textId="77777777" w:rsidR="000C4F5E" w:rsidRDefault="00000000">
            <w:pPr>
              <w:spacing w:after="40" w:line="220" w:lineRule="auto"/>
            </w:pPr>
            <w:r>
              <w:rPr>
                <w:rFonts w:ascii="Courier New" w:hAnsi="Courier New"/>
                <w:color w:val="202020"/>
                <w:sz w:val="20"/>
                <w:szCs w:val="20"/>
              </w:rPr>
              <w:t>The thesis already stated that average fitness and related measures were calculated across n independent runs, listed 30 independent runs in Tables 4.2 and 4.12, and reported one-tailed t-tests at a 0.05 significance level in Sections 4.1.7 and 4.2.7.</w:t>
            </w:r>
          </w:p>
        </w:tc>
      </w:tr>
      <w:tr w:rsidR="000C4F5E" w14:paraId="51466439" w14:textId="77777777">
        <w:tc>
          <w:tcPr>
            <w:tcW w:w="2700" w:type="dxa"/>
            <w:shd w:val="clear" w:color="auto" w:fill="D9EAF7"/>
            <w:tcMar>
              <w:top w:w="80" w:type="dxa"/>
              <w:left w:w="100" w:type="dxa"/>
              <w:bottom w:w="80" w:type="dxa"/>
              <w:right w:w="100" w:type="dxa"/>
            </w:tcMar>
          </w:tcPr>
          <w:p w14:paraId="0CCF9B2E"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380DA61" w14:textId="77777777" w:rsidR="000C4F5E" w:rsidRDefault="00000000">
            <w:pPr>
              <w:spacing w:after="40" w:line="220" w:lineRule="auto"/>
            </w:pPr>
            <w:r>
              <w:rPr>
                <w:rFonts w:ascii="Courier New" w:hAnsi="Courier New"/>
                <w:color w:val="202020"/>
                <w:sz w:val="20"/>
                <w:szCs w:val="20"/>
              </w:rPr>
              <w:t>The existing statistical reporting was retained unchanged.</w:t>
            </w:r>
          </w:p>
        </w:tc>
      </w:tr>
      <w:tr w:rsidR="000C4F5E" w14:paraId="7A2580C9" w14:textId="77777777">
        <w:tc>
          <w:tcPr>
            <w:tcW w:w="2700" w:type="dxa"/>
            <w:shd w:val="clear" w:color="auto" w:fill="D9EAF7"/>
            <w:tcMar>
              <w:top w:w="80" w:type="dxa"/>
              <w:left w:w="100" w:type="dxa"/>
              <w:bottom w:w="80" w:type="dxa"/>
              <w:right w:w="100" w:type="dxa"/>
            </w:tcMar>
          </w:tcPr>
          <w:p w14:paraId="147FC643"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04E5ACDE" w14:textId="77777777" w:rsidR="000C4F5E" w:rsidRDefault="00000000">
            <w:pPr>
              <w:spacing w:after="40" w:line="220" w:lineRule="auto"/>
            </w:pPr>
            <w:r>
              <w:rPr>
                <w:rFonts w:ascii="Aptos" w:hAnsi="Aptos"/>
                <w:color w:val="202020"/>
                <w:sz w:val="20"/>
                <w:szCs w:val="20"/>
              </w:rPr>
              <w:t>The thesis already identifies the run count, describes the run-based performance measures, states the null and alternative hypotheses for the HPO comparison, identifies one-tailed testing, and reports p-values in Tables 4.8 and 4.18. Adding new descriptive statistics or recalculating results would alter reported experimental evidence and was not undertaken.</w:t>
            </w:r>
          </w:p>
        </w:tc>
      </w:tr>
      <w:tr w:rsidR="000C4F5E" w14:paraId="5F65525D" w14:textId="77777777">
        <w:tc>
          <w:tcPr>
            <w:tcW w:w="2700" w:type="dxa"/>
            <w:shd w:val="clear" w:color="auto" w:fill="D9EAF7"/>
            <w:tcMar>
              <w:top w:w="80" w:type="dxa"/>
              <w:left w:w="100" w:type="dxa"/>
              <w:bottom w:w="80" w:type="dxa"/>
              <w:right w:w="100" w:type="dxa"/>
            </w:tcMar>
          </w:tcPr>
          <w:p w14:paraId="0BCA8B72"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74544198" w14:textId="77777777" w:rsidR="000C4F5E" w:rsidRDefault="00000000">
            <w:pPr>
              <w:spacing w:after="40" w:line="220" w:lineRule="auto"/>
            </w:pPr>
            <w:r>
              <w:rPr>
                <w:rFonts w:ascii="Aptos" w:hAnsi="Aptos"/>
                <w:color w:val="202020"/>
                <w:sz w:val="20"/>
                <w:szCs w:val="20"/>
              </w:rPr>
              <w:t>Section 4.1.5 defines average fitness, BOG, optimization accuracy, likelihood of evolution leap, and AFES across independent runs. Section 4.1.7 states the one-tailed hypothesis test and significance level. Section 4.2.7 applies the same t-test approach to OFS.</w:t>
            </w:r>
          </w:p>
        </w:tc>
      </w:tr>
    </w:tbl>
    <w:p w14:paraId="4D159413" w14:textId="77777777" w:rsidR="000C4F5E" w:rsidRDefault="00000000">
      <w:pPr>
        <w:keepNext/>
        <w:shd w:val="clear" w:color="auto" w:fill="1F4E79"/>
        <w:spacing w:before="180" w:after="60" w:line="220" w:lineRule="auto"/>
        <w:ind w:left="120"/>
      </w:pPr>
      <w:r>
        <w:rPr>
          <w:b/>
          <w:color w:val="FFFFFF"/>
          <w:szCs w:val="24"/>
        </w:rPr>
        <w:t>Review Point 4 - Reproducibility of Experiments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7397FEF0" w14:textId="77777777">
        <w:tc>
          <w:tcPr>
            <w:tcW w:w="2700" w:type="dxa"/>
            <w:shd w:val="clear" w:color="auto" w:fill="D9EAF7"/>
            <w:tcMar>
              <w:top w:w="80" w:type="dxa"/>
              <w:left w:w="100" w:type="dxa"/>
              <w:bottom w:w="80" w:type="dxa"/>
              <w:right w:w="100" w:type="dxa"/>
            </w:tcMar>
          </w:tcPr>
          <w:p w14:paraId="4FDE7205"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23C910D8" w14:textId="77777777" w:rsidR="000C4F5E" w:rsidRDefault="00000000">
            <w:pPr>
              <w:spacing w:after="40" w:line="220" w:lineRule="auto"/>
            </w:pPr>
            <w:r>
              <w:rPr>
                <w:rFonts w:ascii="Aptos" w:hAnsi="Aptos"/>
                <w:color w:val="202020"/>
                <w:sz w:val="20"/>
                <w:szCs w:val="20"/>
              </w:rPr>
              <w:t>The reviewer requested reproducibility information covering hardware, software, blockchain platform, datasets, machine-learning settings, and GA/KBGA configuration. The audit checked the existing setup and experimental sections before considering additions.</w:t>
            </w:r>
          </w:p>
        </w:tc>
      </w:tr>
      <w:tr w:rsidR="000C4F5E" w14:paraId="4F7FD3AB" w14:textId="77777777">
        <w:tc>
          <w:tcPr>
            <w:tcW w:w="2700" w:type="dxa"/>
            <w:shd w:val="clear" w:color="auto" w:fill="D9EAF7"/>
            <w:tcMar>
              <w:top w:w="80" w:type="dxa"/>
              <w:left w:w="100" w:type="dxa"/>
              <w:bottom w:w="80" w:type="dxa"/>
              <w:right w:w="100" w:type="dxa"/>
            </w:tcMar>
          </w:tcPr>
          <w:p w14:paraId="291C408A"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3BE4B1A5" w14:textId="77777777" w:rsidR="000C4F5E" w:rsidRDefault="00000000">
            <w:pPr>
              <w:spacing w:after="40" w:line="220" w:lineRule="auto"/>
            </w:pPr>
            <w:r>
              <w:rPr>
                <w:rFonts w:ascii="Aptos" w:hAnsi="Aptos"/>
                <w:color w:val="202020"/>
                <w:sz w:val="20"/>
                <w:szCs w:val="20"/>
              </w:rPr>
              <w:t>Sections 3.1.5-3.1.5.3, 4.1.5-4.1.6, and 4.2.7; Tables 4.1, 4.2, 4.10, and 4.12.</w:t>
            </w:r>
          </w:p>
        </w:tc>
      </w:tr>
      <w:tr w:rsidR="000C4F5E" w14:paraId="2EF60C06" w14:textId="77777777">
        <w:tc>
          <w:tcPr>
            <w:tcW w:w="2700" w:type="dxa"/>
            <w:shd w:val="clear" w:color="auto" w:fill="D9EAF7"/>
            <w:tcMar>
              <w:top w:w="80" w:type="dxa"/>
              <w:left w:w="100" w:type="dxa"/>
              <w:bottom w:w="80" w:type="dxa"/>
              <w:right w:w="100" w:type="dxa"/>
            </w:tcMar>
          </w:tcPr>
          <w:p w14:paraId="75E820F5"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65454F09" w14:textId="77777777" w:rsidR="000C4F5E" w:rsidRDefault="00000000">
            <w:pPr>
              <w:spacing w:after="40" w:line="220" w:lineRule="auto"/>
            </w:pPr>
            <w:r>
              <w:rPr>
                <w:rFonts w:ascii="Aptos" w:hAnsi="Aptos"/>
                <w:color w:val="202020"/>
                <w:sz w:val="20"/>
                <w:szCs w:val="20"/>
              </w:rPr>
              <w:t>No Change Required / Already Satisfied</w:t>
            </w:r>
          </w:p>
        </w:tc>
      </w:tr>
      <w:tr w:rsidR="000C4F5E" w14:paraId="5AAB20BF" w14:textId="77777777">
        <w:tc>
          <w:tcPr>
            <w:tcW w:w="2700" w:type="dxa"/>
            <w:shd w:val="clear" w:color="auto" w:fill="D9EAF7"/>
            <w:tcMar>
              <w:top w:w="80" w:type="dxa"/>
              <w:left w:w="100" w:type="dxa"/>
              <w:bottom w:w="80" w:type="dxa"/>
              <w:right w:w="100" w:type="dxa"/>
            </w:tcMar>
          </w:tcPr>
          <w:p w14:paraId="30381068"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71DA3188" w14:textId="77777777" w:rsidR="000C4F5E" w:rsidRDefault="00000000">
            <w:pPr>
              <w:spacing w:after="40" w:line="220" w:lineRule="auto"/>
            </w:pPr>
            <w:r>
              <w:rPr>
                <w:rFonts w:ascii="Aptos" w:hAnsi="Aptos"/>
                <w:color w:val="202020"/>
                <w:sz w:val="20"/>
                <w:szCs w:val="20"/>
              </w:rPr>
              <w:t>No reproducibility text was added.</w:t>
            </w:r>
          </w:p>
        </w:tc>
      </w:tr>
      <w:tr w:rsidR="000C4F5E" w14:paraId="305D0F23" w14:textId="77777777">
        <w:tc>
          <w:tcPr>
            <w:tcW w:w="2700" w:type="dxa"/>
            <w:shd w:val="clear" w:color="auto" w:fill="D9EAF7"/>
            <w:tcMar>
              <w:top w:w="80" w:type="dxa"/>
              <w:left w:w="100" w:type="dxa"/>
              <w:bottom w:w="80" w:type="dxa"/>
              <w:right w:w="100" w:type="dxa"/>
            </w:tcMar>
          </w:tcPr>
          <w:p w14:paraId="72142044"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0926CB97" w14:textId="77777777" w:rsidR="000C4F5E" w:rsidRDefault="00000000">
            <w:pPr>
              <w:spacing w:after="40" w:line="220" w:lineRule="auto"/>
            </w:pPr>
            <w:r>
              <w:rPr>
                <w:rFonts w:ascii="Courier New" w:hAnsi="Courier New"/>
                <w:color w:val="202020"/>
                <w:sz w:val="20"/>
                <w:szCs w:val="20"/>
              </w:rPr>
              <w:t>The thesis already documented the HP and server hardware, Java EE/JVM and application-server components, the Ropsten test network, smart contracts, Python/Keras, web3.py, datasets, classifier settings, and GA/KBGA parameter tables.</w:t>
            </w:r>
          </w:p>
        </w:tc>
      </w:tr>
      <w:tr w:rsidR="000C4F5E" w14:paraId="317678FB" w14:textId="77777777">
        <w:tc>
          <w:tcPr>
            <w:tcW w:w="2700" w:type="dxa"/>
            <w:shd w:val="clear" w:color="auto" w:fill="D9EAF7"/>
            <w:tcMar>
              <w:top w:w="80" w:type="dxa"/>
              <w:left w:w="100" w:type="dxa"/>
              <w:bottom w:w="80" w:type="dxa"/>
              <w:right w:w="100" w:type="dxa"/>
            </w:tcMar>
          </w:tcPr>
          <w:p w14:paraId="7D1A7CCA"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7C3251BB" w14:textId="77777777" w:rsidR="000C4F5E" w:rsidRDefault="00000000">
            <w:pPr>
              <w:spacing w:after="40" w:line="220" w:lineRule="auto"/>
            </w:pPr>
            <w:r>
              <w:rPr>
                <w:rFonts w:ascii="Courier New" w:hAnsi="Courier New"/>
                <w:color w:val="202020"/>
                <w:sz w:val="20"/>
                <w:szCs w:val="20"/>
              </w:rPr>
              <w:t>The existing methodology and parameter descriptions were retained unchanged.</w:t>
            </w:r>
          </w:p>
        </w:tc>
      </w:tr>
      <w:tr w:rsidR="000C4F5E" w14:paraId="50D0ACFD" w14:textId="77777777">
        <w:tc>
          <w:tcPr>
            <w:tcW w:w="2700" w:type="dxa"/>
            <w:shd w:val="clear" w:color="auto" w:fill="D9EAF7"/>
            <w:tcMar>
              <w:top w:w="80" w:type="dxa"/>
              <w:left w:w="100" w:type="dxa"/>
              <w:bottom w:w="80" w:type="dxa"/>
              <w:right w:w="100" w:type="dxa"/>
            </w:tcMar>
          </w:tcPr>
          <w:p w14:paraId="290C0D60"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4E69EDB2" w14:textId="77777777" w:rsidR="000C4F5E" w:rsidRDefault="00000000">
            <w:pPr>
              <w:spacing w:after="40" w:line="220" w:lineRule="auto"/>
            </w:pPr>
            <w:r>
              <w:rPr>
                <w:rFonts w:ascii="Aptos" w:hAnsi="Aptos"/>
                <w:color w:val="202020"/>
                <w:sz w:val="20"/>
                <w:szCs w:val="20"/>
              </w:rPr>
              <w:t>The requested categories are already addressed across the experimental-setup and evaluation sections. Adding generic configuration text beyond the disclosed environment would not be supported by the thesis.</w:t>
            </w:r>
          </w:p>
        </w:tc>
      </w:tr>
      <w:tr w:rsidR="000C4F5E" w14:paraId="3BD885B1" w14:textId="77777777">
        <w:tc>
          <w:tcPr>
            <w:tcW w:w="2700" w:type="dxa"/>
            <w:shd w:val="clear" w:color="auto" w:fill="D9EAF7"/>
            <w:tcMar>
              <w:top w:w="80" w:type="dxa"/>
              <w:left w:w="100" w:type="dxa"/>
              <w:bottom w:w="80" w:type="dxa"/>
              <w:right w:w="100" w:type="dxa"/>
            </w:tcMar>
          </w:tcPr>
          <w:p w14:paraId="70895241" w14:textId="77777777" w:rsidR="000C4F5E" w:rsidRDefault="00000000">
            <w:pPr>
              <w:spacing w:after="40" w:line="220" w:lineRule="auto"/>
            </w:pPr>
            <w:r>
              <w:rPr>
                <w:rFonts w:ascii="Aptos" w:hAnsi="Aptos"/>
                <w:b/>
                <w:color w:val="1F1F1F"/>
                <w:sz w:val="18"/>
                <w:szCs w:val="18"/>
              </w:rPr>
              <w:lastRenderedPageBreak/>
              <w:t>Evidence / Verification Basis</w:t>
            </w:r>
          </w:p>
        </w:tc>
        <w:tc>
          <w:tcPr>
            <w:tcW w:w="6900" w:type="dxa"/>
            <w:shd w:val="clear" w:color="auto" w:fill="FFFFFF"/>
            <w:tcMar>
              <w:top w:w="80" w:type="dxa"/>
              <w:left w:w="100" w:type="dxa"/>
              <w:bottom w:w="80" w:type="dxa"/>
              <w:right w:w="100" w:type="dxa"/>
            </w:tcMar>
          </w:tcPr>
          <w:p w14:paraId="5F257A7A" w14:textId="77777777" w:rsidR="000C4F5E" w:rsidRDefault="00000000">
            <w:pPr>
              <w:spacing w:after="40" w:line="220" w:lineRule="auto"/>
            </w:pPr>
            <w:r>
              <w:rPr>
                <w:rFonts w:ascii="Aptos" w:hAnsi="Aptos"/>
                <w:color w:val="202020"/>
                <w:sz w:val="20"/>
                <w:szCs w:val="20"/>
              </w:rPr>
              <w:t>Section 3.1.5 describes hardware, software, platform, and dataset composition. Table 4.1 lists GRU hyperparameters, Table 4.2 lists HPO GA/KBGA settings, Table 4.10 lists Random Forest settings, and Table 4.12 lists OFS GA/KBGA settings. Section 4.2.7 states Python Keras, Ropsten MetaMask Ethereum, web3.py, hardware, datasets, and independent runs.</w:t>
            </w:r>
          </w:p>
        </w:tc>
      </w:tr>
    </w:tbl>
    <w:p w14:paraId="7C8DBC4D" w14:textId="77777777" w:rsidR="000C4F5E" w:rsidRDefault="00000000">
      <w:pPr>
        <w:keepNext/>
        <w:shd w:val="clear" w:color="auto" w:fill="1F4E79"/>
        <w:spacing w:before="180" w:after="60" w:line="220" w:lineRule="auto"/>
        <w:ind w:left="120"/>
      </w:pPr>
      <w:r>
        <w:rPr>
          <w:b/>
          <w:color w:val="FFFFFF"/>
          <w:szCs w:val="24"/>
        </w:rPr>
        <w:t>Review Point 5 - Blockchain Performance and Scalability</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136F5F64" w14:textId="77777777">
        <w:tc>
          <w:tcPr>
            <w:tcW w:w="2700" w:type="dxa"/>
            <w:shd w:val="clear" w:color="auto" w:fill="D9EAF7"/>
            <w:tcMar>
              <w:top w:w="80" w:type="dxa"/>
              <w:left w:w="100" w:type="dxa"/>
              <w:bottom w:w="80" w:type="dxa"/>
              <w:right w:w="100" w:type="dxa"/>
            </w:tcMar>
          </w:tcPr>
          <w:p w14:paraId="647DD07B"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49B3D7EC" w14:textId="77777777" w:rsidR="000C4F5E" w:rsidRDefault="00000000">
            <w:pPr>
              <w:spacing w:after="40" w:line="220" w:lineRule="auto"/>
            </w:pPr>
            <w:r>
              <w:rPr>
                <w:rFonts w:ascii="Aptos" w:hAnsi="Aptos"/>
                <w:color w:val="202020"/>
                <w:sz w:val="20"/>
                <w:szCs w:val="20"/>
              </w:rPr>
              <w:t>The reviewer requested analysis of performance and scalability, and a clear separation between security findings and computational or end-to-end performance findings.</w:t>
            </w:r>
          </w:p>
        </w:tc>
      </w:tr>
      <w:tr w:rsidR="000C4F5E" w14:paraId="56FF4325" w14:textId="77777777">
        <w:tc>
          <w:tcPr>
            <w:tcW w:w="2700" w:type="dxa"/>
            <w:shd w:val="clear" w:color="auto" w:fill="D9EAF7"/>
            <w:tcMar>
              <w:top w:w="80" w:type="dxa"/>
              <w:left w:w="100" w:type="dxa"/>
              <w:bottom w:w="80" w:type="dxa"/>
              <w:right w:w="100" w:type="dxa"/>
            </w:tcMar>
          </w:tcPr>
          <w:p w14:paraId="32AB2CF6"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6BE8A498" w14:textId="77777777" w:rsidR="000C4F5E" w:rsidRDefault="00000000">
            <w:pPr>
              <w:spacing w:after="40" w:line="220" w:lineRule="auto"/>
            </w:pPr>
            <w:r>
              <w:rPr>
                <w:rFonts w:ascii="Aptos" w:hAnsi="Aptos"/>
                <w:color w:val="202020"/>
                <w:sz w:val="20"/>
                <w:szCs w:val="20"/>
              </w:rPr>
              <w:t>Sections 3.1.7-3.1.8, 5.4, and 6.8.1-6.8.6.</w:t>
            </w:r>
          </w:p>
        </w:tc>
      </w:tr>
      <w:tr w:rsidR="000C4F5E" w14:paraId="344B4CE8" w14:textId="77777777">
        <w:tc>
          <w:tcPr>
            <w:tcW w:w="2700" w:type="dxa"/>
            <w:shd w:val="clear" w:color="auto" w:fill="D9EAF7"/>
            <w:tcMar>
              <w:top w:w="80" w:type="dxa"/>
              <w:left w:w="100" w:type="dxa"/>
              <w:bottom w:w="80" w:type="dxa"/>
              <w:right w:w="100" w:type="dxa"/>
            </w:tcMar>
          </w:tcPr>
          <w:p w14:paraId="19BFB9E3"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6B4AEBF7" w14:textId="77777777" w:rsidR="000C4F5E" w:rsidRDefault="00000000">
            <w:pPr>
              <w:spacing w:after="40" w:line="220" w:lineRule="auto"/>
            </w:pPr>
            <w:r>
              <w:rPr>
                <w:rFonts w:ascii="Aptos" w:hAnsi="Aptos"/>
                <w:color w:val="202020"/>
                <w:sz w:val="20"/>
                <w:szCs w:val="20"/>
              </w:rPr>
              <w:t>Fixed / Changed</w:t>
            </w:r>
          </w:p>
        </w:tc>
      </w:tr>
      <w:tr w:rsidR="000C4F5E" w14:paraId="2490308C" w14:textId="77777777">
        <w:tc>
          <w:tcPr>
            <w:tcW w:w="2700" w:type="dxa"/>
            <w:shd w:val="clear" w:color="auto" w:fill="D9EAF7"/>
            <w:tcMar>
              <w:top w:w="80" w:type="dxa"/>
              <w:left w:w="100" w:type="dxa"/>
              <w:bottom w:w="80" w:type="dxa"/>
              <w:right w:w="100" w:type="dxa"/>
            </w:tcMar>
          </w:tcPr>
          <w:p w14:paraId="47D22298"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6385F18A" w14:textId="77777777" w:rsidR="000C4F5E" w:rsidRDefault="00000000">
            <w:pPr>
              <w:spacing w:after="40" w:line="220" w:lineRule="auto"/>
            </w:pPr>
            <w:r>
              <w:rPr>
                <w:rFonts w:ascii="Aptos" w:hAnsi="Aptos"/>
                <w:color w:val="202020"/>
                <w:sz w:val="20"/>
                <w:szCs w:val="20"/>
              </w:rPr>
              <w:t>The overall-assessment wording was revised so that the case-study comparison is limited to the evaluated simulations and legitimacy outcomes. A sentence was added to state that classification, feature-selection, and service-selection results are reported separately in Chapter 4.</w:t>
            </w:r>
          </w:p>
        </w:tc>
      </w:tr>
      <w:tr w:rsidR="000C4F5E" w14:paraId="504E7715" w14:textId="77777777">
        <w:tc>
          <w:tcPr>
            <w:tcW w:w="2700" w:type="dxa"/>
            <w:shd w:val="clear" w:color="auto" w:fill="D9EAF7"/>
            <w:tcMar>
              <w:top w:w="80" w:type="dxa"/>
              <w:left w:w="100" w:type="dxa"/>
              <w:bottom w:w="80" w:type="dxa"/>
              <w:right w:w="100" w:type="dxa"/>
            </w:tcMar>
          </w:tcPr>
          <w:p w14:paraId="4AA33689"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72701124" w14:textId="77777777" w:rsidR="000C4F5E" w:rsidRDefault="00000000">
            <w:pPr>
              <w:spacing w:after="40" w:line="220" w:lineRule="auto"/>
            </w:pPr>
            <w:r>
              <w:rPr>
                <w:rFonts w:ascii="Courier New" w:hAnsi="Courier New"/>
                <w:color w:val="202020"/>
                <w:sz w:val="20"/>
                <w:szCs w:val="20"/>
              </w:rPr>
              <w:t>Section 5.4 described the framework generally as privacy-preserving and performance-enhanced relative to the centralized counterpart.</w:t>
            </w:r>
          </w:p>
        </w:tc>
      </w:tr>
      <w:tr w:rsidR="000C4F5E" w14:paraId="0E209D68" w14:textId="77777777">
        <w:tc>
          <w:tcPr>
            <w:tcW w:w="2700" w:type="dxa"/>
            <w:shd w:val="clear" w:color="auto" w:fill="D9EAF7"/>
            <w:tcMar>
              <w:top w:w="80" w:type="dxa"/>
              <w:left w:w="100" w:type="dxa"/>
              <w:bottom w:w="80" w:type="dxa"/>
              <w:right w:w="100" w:type="dxa"/>
            </w:tcMar>
          </w:tcPr>
          <w:p w14:paraId="6D3B34C5"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3646919" w14:textId="77777777" w:rsidR="000C4F5E" w:rsidRDefault="00000000">
            <w:pPr>
              <w:spacing w:after="40" w:line="220" w:lineRule="auto"/>
            </w:pPr>
            <w:r>
              <w:rPr>
                <w:rFonts w:ascii="Courier New" w:hAnsi="Courier New"/>
                <w:color w:val="202020"/>
                <w:sz w:val="20"/>
                <w:szCs w:val="20"/>
              </w:rPr>
              <w:t>Section 5.4 states that the framework produced more secure and legitimate outcomes under the evaluated simulations, and that classification, feature-selection, and service-selection results are reported separately in Chapter 4.</w:t>
            </w:r>
          </w:p>
        </w:tc>
      </w:tr>
      <w:tr w:rsidR="000C4F5E" w14:paraId="33555936" w14:textId="77777777">
        <w:tc>
          <w:tcPr>
            <w:tcW w:w="2700" w:type="dxa"/>
            <w:shd w:val="clear" w:color="auto" w:fill="D9EAF7"/>
            <w:tcMar>
              <w:top w:w="80" w:type="dxa"/>
              <w:left w:w="100" w:type="dxa"/>
              <w:bottom w:w="80" w:type="dxa"/>
              <w:right w:w="100" w:type="dxa"/>
            </w:tcMar>
          </w:tcPr>
          <w:p w14:paraId="14435089"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7575629F" w14:textId="77777777" w:rsidR="000C4F5E" w:rsidRDefault="00000000">
            <w:pPr>
              <w:spacing w:after="40" w:line="220" w:lineRule="auto"/>
            </w:pPr>
            <w:r>
              <w:rPr>
                <w:rFonts w:ascii="Aptos" w:hAnsi="Aptos"/>
                <w:color w:val="202020"/>
                <w:sz w:val="20"/>
                <w:szCs w:val="20"/>
              </w:rPr>
              <w:t>The reviewer required different performance types to be distinguished. The revised wording retains the reported legitimacy findings while avoiding a general end-to-end performance statement that combines separate component results.</w:t>
            </w:r>
          </w:p>
        </w:tc>
      </w:tr>
      <w:tr w:rsidR="000C4F5E" w14:paraId="39C39142" w14:textId="77777777">
        <w:tc>
          <w:tcPr>
            <w:tcW w:w="2700" w:type="dxa"/>
            <w:shd w:val="clear" w:color="auto" w:fill="D9EAF7"/>
            <w:tcMar>
              <w:top w:w="80" w:type="dxa"/>
              <w:left w:w="100" w:type="dxa"/>
              <w:bottom w:w="80" w:type="dxa"/>
              <w:right w:w="100" w:type="dxa"/>
            </w:tcMar>
          </w:tcPr>
          <w:p w14:paraId="6C4C3239"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422FAB18" w14:textId="77777777" w:rsidR="000C4F5E" w:rsidRDefault="00000000">
            <w:pPr>
              <w:spacing w:after="40" w:line="220" w:lineRule="auto"/>
            </w:pPr>
            <w:r>
              <w:rPr>
                <w:rFonts w:ascii="Aptos" w:hAnsi="Aptos"/>
                <w:color w:val="202020"/>
                <w:sz w:val="20"/>
                <w:szCs w:val="20"/>
              </w:rPr>
              <w:t>Sections 3.1.7-3.1.8 report miner-pool timing and power-consumption analysis. Section 6.8 identifies transaction latency, storage overhead, consensus delay, gas cost, transaction throughput, and scalability as practical considerations. Chapter 4 separately reports classification, feature-selection, and service-selection results.</w:t>
            </w:r>
          </w:p>
        </w:tc>
      </w:tr>
    </w:tbl>
    <w:p w14:paraId="1EA86D24" w14:textId="77777777" w:rsidR="000C4F5E" w:rsidRDefault="00000000">
      <w:pPr>
        <w:keepNext/>
        <w:shd w:val="clear" w:color="auto" w:fill="1F4E79"/>
        <w:spacing w:before="180" w:after="60" w:line="220" w:lineRule="auto"/>
        <w:ind w:left="120"/>
      </w:pPr>
      <w:r>
        <w:rPr>
          <w:b/>
          <w:color w:val="FFFFFF"/>
          <w:szCs w:val="24"/>
        </w:rPr>
        <w:t>Review Point 6 - Formal Threat Model</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3F6B4FF8" w14:textId="77777777">
        <w:tc>
          <w:tcPr>
            <w:tcW w:w="2700" w:type="dxa"/>
            <w:shd w:val="clear" w:color="auto" w:fill="D9EAF7"/>
            <w:tcMar>
              <w:top w:w="80" w:type="dxa"/>
              <w:left w:w="100" w:type="dxa"/>
              <w:bottom w:w="80" w:type="dxa"/>
              <w:right w:w="100" w:type="dxa"/>
            </w:tcMar>
          </w:tcPr>
          <w:p w14:paraId="3E6FC197"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60628A95" w14:textId="77777777" w:rsidR="000C4F5E" w:rsidRDefault="00000000">
            <w:pPr>
              <w:spacing w:after="40" w:line="220" w:lineRule="auto"/>
            </w:pPr>
            <w:r>
              <w:rPr>
                <w:rFonts w:ascii="Aptos" w:hAnsi="Aptos"/>
                <w:color w:val="202020"/>
                <w:sz w:val="20"/>
                <w:szCs w:val="20"/>
              </w:rPr>
              <w:t>The reviewer requested clear adversaries, attacks, security assumptions, and trust assumptions. The audit checked whether the thesis already documents the threat scenarios exercised by the framework.</w:t>
            </w:r>
          </w:p>
        </w:tc>
      </w:tr>
      <w:tr w:rsidR="000C4F5E" w14:paraId="73278B71" w14:textId="77777777">
        <w:tc>
          <w:tcPr>
            <w:tcW w:w="2700" w:type="dxa"/>
            <w:shd w:val="clear" w:color="auto" w:fill="D9EAF7"/>
            <w:tcMar>
              <w:top w:w="80" w:type="dxa"/>
              <w:left w:w="100" w:type="dxa"/>
              <w:bottom w:w="80" w:type="dxa"/>
              <w:right w:w="100" w:type="dxa"/>
            </w:tcMar>
          </w:tcPr>
          <w:p w14:paraId="12E7AEC5"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5D286E97" w14:textId="77777777" w:rsidR="000C4F5E" w:rsidRDefault="00000000">
            <w:pPr>
              <w:spacing w:after="40" w:line="220" w:lineRule="auto"/>
            </w:pPr>
            <w:r>
              <w:rPr>
                <w:rFonts w:ascii="Aptos" w:hAnsi="Aptos"/>
                <w:color w:val="202020"/>
                <w:sz w:val="20"/>
                <w:szCs w:val="20"/>
              </w:rPr>
              <w:t>Sections 3.1.1-3.1.6, 3.2.3-3.2.7, and 5.2.1-5.2.2; Tables 5.2, 5.4, 5.5, and 5.6.</w:t>
            </w:r>
          </w:p>
        </w:tc>
      </w:tr>
      <w:tr w:rsidR="000C4F5E" w14:paraId="3A223756" w14:textId="77777777">
        <w:tc>
          <w:tcPr>
            <w:tcW w:w="2700" w:type="dxa"/>
            <w:shd w:val="clear" w:color="auto" w:fill="D9EAF7"/>
            <w:tcMar>
              <w:top w:w="80" w:type="dxa"/>
              <w:left w:w="100" w:type="dxa"/>
              <w:bottom w:w="80" w:type="dxa"/>
              <w:right w:w="100" w:type="dxa"/>
            </w:tcMar>
          </w:tcPr>
          <w:p w14:paraId="4F1D602A"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34FF1DAD" w14:textId="77777777" w:rsidR="000C4F5E" w:rsidRDefault="00000000">
            <w:pPr>
              <w:spacing w:after="40" w:line="220" w:lineRule="auto"/>
            </w:pPr>
            <w:r>
              <w:rPr>
                <w:rFonts w:ascii="Aptos" w:hAnsi="Aptos"/>
                <w:color w:val="202020"/>
                <w:sz w:val="20"/>
                <w:szCs w:val="20"/>
              </w:rPr>
              <w:t>No Change Required / Already Satisfied</w:t>
            </w:r>
          </w:p>
        </w:tc>
      </w:tr>
      <w:tr w:rsidR="000C4F5E" w14:paraId="05487824" w14:textId="77777777">
        <w:tc>
          <w:tcPr>
            <w:tcW w:w="2700" w:type="dxa"/>
            <w:shd w:val="clear" w:color="auto" w:fill="D9EAF7"/>
            <w:tcMar>
              <w:top w:w="80" w:type="dxa"/>
              <w:left w:w="100" w:type="dxa"/>
              <w:bottom w:w="80" w:type="dxa"/>
              <w:right w:w="100" w:type="dxa"/>
            </w:tcMar>
          </w:tcPr>
          <w:p w14:paraId="4DB1AEA4"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34859F99" w14:textId="77777777" w:rsidR="000C4F5E" w:rsidRDefault="00000000">
            <w:pPr>
              <w:spacing w:after="40" w:line="220" w:lineRule="auto"/>
            </w:pPr>
            <w:r>
              <w:rPr>
                <w:rFonts w:ascii="Aptos" w:hAnsi="Aptos"/>
                <w:color w:val="202020"/>
                <w:sz w:val="20"/>
                <w:szCs w:val="20"/>
              </w:rPr>
              <w:t>No threat-model text was added.</w:t>
            </w:r>
          </w:p>
        </w:tc>
      </w:tr>
      <w:tr w:rsidR="000C4F5E" w14:paraId="1F03DE3D" w14:textId="77777777">
        <w:tc>
          <w:tcPr>
            <w:tcW w:w="2700" w:type="dxa"/>
            <w:shd w:val="clear" w:color="auto" w:fill="D9EAF7"/>
            <w:tcMar>
              <w:top w:w="80" w:type="dxa"/>
              <w:left w:w="100" w:type="dxa"/>
              <w:bottom w:w="80" w:type="dxa"/>
              <w:right w:w="100" w:type="dxa"/>
            </w:tcMar>
          </w:tcPr>
          <w:p w14:paraId="4835C276"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51720A59" w14:textId="77777777" w:rsidR="000C4F5E" w:rsidRDefault="00000000">
            <w:pPr>
              <w:spacing w:after="40" w:line="220" w:lineRule="auto"/>
            </w:pPr>
            <w:r>
              <w:rPr>
                <w:rFonts w:ascii="Courier New" w:hAnsi="Courier New"/>
                <w:color w:val="202020"/>
                <w:sz w:val="20"/>
                <w:szCs w:val="20"/>
              </w:rPr>
              <w:t>The thesis already described threshold manipulation, access-permission modification, fraudulent provider records, URL/IP spoofing, and QoES manipulation in the identity-management, registry, and case-study sections.</w:t>
            </w:r>
          </w:p>
        </w:tc>
      </w:tr>
      <w:tr w:rsidR="000C4F5E" w14:paraId="4AB5271B" w14:textId="77777777">
        <w:tc>
          <w:tcPr>
            <w:tcW w:w="2700" w:type="dxa"/>
            <w:shd w:val="clear" w:color="auto" w:fill="D9EAF7"/>
            <w:tcMar>
              <w:top w:w="80" w:type="dxa"/>
              <w:left w:w="100" w:type="dxa"/>
              <w:bottom w:w="80" w:type="dxa"/>
              <w:right w:w="100" w:type="dxa"/>
            </w:tcMar>
          </w:tcPr>
          <w:p w14:paraId="72717ED5"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071BA5D2" w14:textId="77777777" w:rsidR="000C4F5E" w:rsidRDefault="00000000">
            <w:pPr>
              <w:spacing w:after="40" w:line="220" w:lineRule="auto"/>
            </w:pPr>
            <w:r>
              <w:rPr>
                <w:rFonts w:ascii="Courier New" w:hAnsi="Courier New"/>
                <w:color w:val="202020"/>
                <w:sz w:val="20"/>
                <w:szCs w:val="20"/>
              </w:rPr>
              <w:t>The existing threat scenarios and framework controls were retained unchanged.</w:t>
            </w:r>
          </w:p>
        </w:tc>
      </w:tr>
      <w:tr w:rsidR="000C4F5E" w14:paraId="76DF2768" w14:textId="77777777">
        <w:tc>
          <w:tcPr>
            <w:tcW w:w="2700" w:type="dxa"/>
            <w:shd w:val="clear" w:color="auto" w:fill="D9EAF7"/>
            <w:tcMar>
              <w:top w:w="80" w:type="dxa"/>
              <w:left w:w="100" w:type="dxa"/>
              <w:bottom w:w="80" w:type="dxa"/>
              <w:right w:w="100" w:type="dxa"/>
            </w:tcMar>
          </w:tcPr>
          <w:p w14:paraId="22AA0B08"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7075EBAC" w14:textId="77777777" w:rsidR="000C4F5E" w:rsidRDefault="00000000">
            <w:pPr>
              <w:spacing w:after="40" w:line="220" w:lineRule="auto"/>
            </w:pPr>
            <w:r>
              <w:rPr>
                <w:rFonts w:ascii="Aptos" w:hAnsi="Aptos"/>
                <w:color w:val="202020"/>
                <w:sz w:val="20"/>
                <w:szCs w:val="20"/>
              </w:rPr>
              <w:t>The thesis already links specific adversarial scenarios to the BC-IDMF and BC-DWSR controls and reports the corresponding case-study outcomes. Rewriting the architecture or adding untested attack claims would exceed the documented scope.</w:t>
            </w:r>
          </w:p>
        </w:tc>
      </w:tr>
      <w:tr w:rsidR="000C4F5E" w14:paraId="19E88C93" w14:textId="77777777">
        <w:tc>
          <w:tcPr>
            <w:tcW w:w="2700" w:type="dxa"/>
            <w:shd w:val="clear" w:color="auto" w:fill="D9EAF7"/>
            <w:tcMar>
              <w:top w:w="80" w:type="dxa"/>
              <w:left w:w="100" w:type="dxa"/>
              <w:bottom w:w="80" w:type="dxa"/>
              <w:right w:w="100" w:type="dxa"/>
            </w:tcMar>
          </w:tcPr>
          <w:p w14:paraId="69F7BFA2" w14:textId="77777777" w:rsidR="000C4F5E" w:rsidRDefault="00000000">
            <w:pPr>
              <w:spacing w:after="40" w:line="220" w:lineRule="auto"/>
            </w:pPr>
            <w:r>
              <w:rPr>
                <w:rFonts w:ascii="Aptos" w:hAnsi="Aptos"/>
                <w:b/>
                <w:color w:val="1F1F1F"/>
                <w:sz w:val="18"/>
                <w:szCs w:val="18"/>
              </w:rPr>
              <w:lastRenderedPageBreak/>
              <w:t>Evidence / Verification Basis</w:t>
            </w:r>
          </w:p>
        </w:tc>
        <w:tc>
          <w:tcPr>
            <w:tcW w:w="6900" w:type="dxa"/>
            <w:shd w:val="clear" w:color="auto" w:fill="FFFFFF"/>
            <w:tcMar>
              <w:top w:w="80" w:type="dxa"/>
              <w:left w:w="100" w:type="dxa"/>
              <w:bottom w:w="80" w:type="dxa"/>
              <w:right w:w="100" w:type="dxa"/>
            </w:tcMar>
          </w:tcPr>
          <w:p w14:paraId="607F979F" w14:textId="77777777" w:rsidR="000C4F5E" w:rsidRDefault="00000000">
            <w:pPr>
              <w:spacing w:after="40" w:line="220" w:lineRule="auto"/>
            </w:pPr>
            <w:r>
              <w:rPr>
                <w:rFonts w:ascii="Aptos" w:hAnsi="Aptos"/>
                <w:color w:val="202020"/>
                <w:sz w:val="20"/>
                <w:szCs w:val="20"/>
              </w:rPr>
              <w:t>Section 3.1.6 describes fake identity claims, threshold changes, access-permission changes, and fraudulent record attempts. Section 5.2 compares the centralized and blockchain-based frameworks under threshold, IP, and QoES manipulation scenarios. The results are presented in the listed tables.</w:t>
            </w:r>
          </w:p>
        </w:tc>
      </w:tr>
    </w:tbl>
    <w:p w14:paraId="0965A6C4" w14:textId="77777777" w:rsidR="000C4F5E" w:rsidRDefault="00000000">
      <w:pPr>
        <w:keepNext/>
        <w:shd w:val="clear" w:color="auto" w:fill="1F4E79"/>
        <w:spacing w:before="180" w:after="60" w:line="220" w:lineRule="auto"/>
        <w:ind w:left="120"/>
      </w:pPr>
      <w:r>
        <w:rPr>
          <w:b/>
          <w:color w:val="FFFFFF"/>
          <w:szCs w:val="24"/>
        </w:rPr>
        <w:t>Review Point 7 - Privacy Claims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05AE60FC" w14:textId="77777777">
        <w:tc>
          <w:tcPr>
            <w:tcW w:w="2700" w:type="dxa"/>
            <w:shd w:val="clear" w:color="auto" w:fill="D9EAF7"/>
            <w:tcMar>
              <w:top w:w="80" w:type="dxa"/>
              <w:left w:w="100" w:type="dxa"/>
              <w:bottom w:w="80" w:type="dxa"/>
              <w:right w:w="100" w:type="dxa"/>
            </w:tcMar>
          </w:tcPr>
          <w:p w14:paraId="1BBB6BFF"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002AD15C" w14:textId="77777777" w:rsidR="000C4F5E" w:rsidRDefault="00000000">
            <w:pPr>
              <w:spacing w:after="40" w:line="220" w:lineRule="auto"/>
            </w:pPr>
            <w:r>
              <w:rPr>
                <w:rFonts w:ascii="Aptos" w:hAnsi="Aptos"/>
                <w:color w:val="202020"/>
                <w:sz w:val="20"/>
                <w:szCs w:val="20"/>
              </w:rPr>
              <w:t>The reviewer requested that privacy claims be connected to explicit mechanisms, data access, and stated limitations rather than asserted as complete protection.</w:t>
            </w:r>
          </w:p>
        </w:tc>
      </w:tr>
      <w:tr w:rsidR="000C4F5E" w14:paraId="3F911227" w14:textId="77777777">
        <w:tc>
          <w:tcPr>
            <w:tcW w:w="2700" w:type="dxa"/>
            <w:shd w:val="clear" w:color="auto" w:fill="D9EAF7"/>
            <w:tcMar>
              <w:top w:w="80" w:type="dxa"/>
              <w:left w:w="100" w:type="dxa"/>
              <w:bottom w:w="80" w:type="dxa"/>
              <w:right w:w="100" w:type="dxa"/>
            </w:tcMar>
          </w:tcPr>
          <w:p w14:paraId="0DCB5D9F"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4DD355D8" w14:textId="77777777" w:rsidR="000C4F5E" w:rsidRDefault="00000000">
            <w:pPr>
              <w:spacing w:after="40" w:line="220" w:lineRule="auto"/>
            </w:pPr>
            <w:r>
              <w:rPr>
                <w:rFonts w:ascii="Aptos" w:hAnsi="Aptos"/>
                <w:color w:val="202020"/>
                <w:sz w:val="20"/>
                <w:szCs w:val="20"/>
              </w:rPr>
              <w:t>Sections 3.1.3, 3.1.10, 3.2.6-3.2.7, 5.4, and 6.8.1-6.8.6.</w:t>
            </w:r>
          </w:p>
        </w:tc>
      </w:tr>
      <w:tr w:rsidR="000C4F5E" w14:paraId="3C10BBBA" w14:textId="77777777">
        <w:tc>
          <w:tcPr>
            <w:tcW w:w="2700" w:type="dxa"/>
            <w:shd w:val="clear" w:color="auto" w:fill="D9EAF7"/>
            <w:tcMar>
              <w:top w:w="80" w:type="dxa"/>
              <w:left w:w="100" w:type="dxa"/>
              <w:bottom w:w="80" w:type="dxa"/>
              <w:right w:w="100" w:type="dxa"/>
            </w:tcMar>
          </w:tcPr>
          <w:p w14:paraId="3B7239C2"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281EAE48" w14:textId="77777777" w:rsidR="000C4F5E" w:rsidRDefault="00000000">
            <w:pPr>
              <w:spacing w:after="40" w:line="220" w:lineRule="auto"/>
            </w:pPr>
            <w:r>
              <w:rPr>
                <w:rFonts w:ascii="Aptos" w:hAnsi="Aptos"/>
                <w:color w:val="202020"/>
                <w:sz w:val="20"/>
                <w:szCs w:val="20"/>
              </w:rPr>
              <w:t>Fixed / Changed</w:t>
            </w:r>
          </w:p>
        </w:tc>
      </w:tr>
      <w:tr w:rsidR="000C4F5E" w14:paraId="198F23AA" w14:textId="77777777">
        <w:tc>
          <w:tcPr>
            <w:tcW w:w="2700" w:type="dxa"/>
            <w:shd w:val="clear" w:color="auto" w:fill="D9EAF7"/>
            <w:tcMar>
              <w:top w:w="80" w:type="dxa"/>
              <w:left w:w="100" w:type="dxa"/>
              <w:bottom w:w="80" w:type="dxa"/>
              <w:right w:w="100" w:type="dxa"/>
            </w:tcMar>
          </w:tcPr>
          <w:p w14:paraId="68FE918E"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0922DD44" w14:textId="77777777" w:rsidR="000C4F5E" w:rsidRDefault="00000000">
            <w:pPr>
              <w:spacing w:after="40" w:line="220" w:lineRule="auto"/>
            </w:pPr>
            <w:r>
              <w:rPr>
                <w:rFonts w:ascii="Aptos" w:hAnsi="Aptos"/>
                <w:color w:val="202020"/>
                <w:sz w:val="20"/>
                <w:szCs w:val="20"/>
              </w:rPr>
              <w:t>The case-study conclusion was revised to report only the evaluated legitimacy and attack-resistance findings. Existing descriptions of credential visibility, role and attribute access, encrypted payloads, and Zero-Knowledge Proof were retained.</w:t>
            </w:r>
          </w:p>
        </w:tc>
      </w:tr>
      <w:tr w:rsidR="000C4F5E" w14:paraId="735343BF" w14:textId="77777777">
        <w:tc>
          <w:tcPr>
            <w:tcW w:w="2700" w:type="dxa"/>
            <w:shd w:val="clear" w:color="auto" w:fill="D9EAF7"/>
            <w:tcMar>
              <w:top w:w="80" w:type="dxa"/>
              <w:left w:w="100" w:type="dxa"/>
              <w:bottom w:w="80" w:type="dxa"/>
              <w:right w:w="100" w:type="dxa"/>
            </w:tcMar>
          </w:tcPr>
          <w:p w14:paraId="2357FFCF"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01FD73E2" w14:textId="77777777" w:rsidR="000C4F5E" w:rsidRDefault="00000000">
            <w:pPr>
              <w:spacing w:after="40" w:line="220" w:lineRule="auto"/>
            </w:pPr>
            <w:r>
              <w:rPr>
                <w:rFonts w:ascii="Courier New" w:hAnsi="Courier New"/>
                <w:color w:val="202020"/>
                <w:sz w:val="20"/>
                <w:szCs w:val="20"/>
              </w:rPr>
              <w:t>The Chapter 5 summary stated that the framework was privacy-preserving and that the research objective had been fully achieved.</w:t>
            </w:r>
          </w:p>
        </w:tc>
      </w:tr>
      <w:tr w:rsidR="000C4F5E" w14:paraId="148E168D" w14:textId="77777777">
        <w:tc>
          <w:tcPr>
            <w:tcW w:w="2700" w:type="dxa"/>
            <w:shd w:val="clear" w:color="auto" w:fill="D9EAF7"/>
            <w:tcMar>
              <w:top w:w="80" w:type="dxa"/>
              <w:left w:w="100" w:type="dxa"/>
              <w:bottom w:w="80" w:type="dxa"/>
              <w:right w:w="100" w:type="dxa"/>
            </w:tcMar>
          </w:tcPr>
          <w:p w14:paraId="5C5ADB64"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249F7667" w14:textId="77777777" w:rsidR="000C4F5E" w:rsidRDefault="00000000">
            <w:pPr>
              <w:spacing w:after="40" w:line="220" w:lineRule="auto"/>
            </w:pPr>
            <w:r>
              <w:rPr>
                <w:rFonts w:ascii="Courier New" w:hAnsi="Courier New"/>
                <w:color w:val="202020"/>
                <w:sz w:val="20"/>
                <w:szCs w:val="20"/>
              </w:rPr>
              <w:t>The Chapter 5 summary states that, under the evaluated mobile-purchasing scenarios, the framework demonstrated higher legitimacy accuracy and resistance to the simulated identity, IP, and QoES manipulation attempts.</w:t>
            </w:r>
          </w:p>
        </w:tc>
      </w:tr>
      <w:tr w:rsidR="000C4F5E" w14:paraId="5F8BB2AC" w14:textId="77777777">
        <w:tc>
          <w:tcPr>
            <w:tcW w:w="2700" w:type="dxa"/>
            <w:shd w:val="clear" w:color="auto" w:fill="D9EAF7"/>
            <w:tcMar>
              <w:top w:w="80" w:type="dxa"/>
              <w:left w:w="100" w:type="dxa"/>
              <w:bottom w:w="80" w:type="dxa"/>
              <w:right w:w="100" w:type="dxa"/>
            </w:tcMar>
          </w:tcPr>
          <w:p w14:paraId="2A03DD7D"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7154DC13" w14:textId="77777777" w:rsidR="000C4F5E" w:rsidRDefault="00000000">
            <w:pPr>
              <w:spacing w:after="40" w:line="220" w:lineRule="auto"/>
            </w:pPr>
            <w:r>
              <w:rPr>
                <w:rFonts w:ascii="Aptos" w:hAnsi="Aptos"/>
                <w:color w:val="202020"/>
                <w:sz w:val="20"/>
                <w:szCs w:val="20"/>
              </w:rPr>
              <w:t>The revised wording connects the conclusion to the scenarios actually reported in the thesis. It does not replace the existing privacy mechanisms or introduce a broader privacy claim.</w:t>
            </w:r>
          </w:p>
        </w:tc>
      </w:tr>
      <w:tr w:rsidR="000C4F5E" w14:paraId="62178523" w14:textId="77777777">
        <w:tc>
          <w:tcPr>
            <w:tcW w:w="2700" w:type="dxa"/>
            <w:shd w:val="clear" w:color="auto" w:fill="D9EAF7"/>
            <w:tcMar>
              <w:top w:w="80" w:type="dxa"/>
              <w:left w:w="100" w:type="dxa"/>
              <w:bottom w:w="80" w:type="dxa"/>
              <w:right w:w="100" w:type="dxa"/>
            </w:tcMar>
          </w:tcPr>
          <w:p w14:paraId="0D524E5F"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29955CD8" w14:textId="77777777" w:rsidR="000C4F5E" w:rsidRDefault="00000000">
            <w:pPr>
              <w:spacing w:after="40" w:line="220" w:lineRule="auto"/>
            </w:pPr>
            <w:r>
              <w:rPr>
                <w:rFonts w:ascii="Aptos" w:hAnsi="Aptos"/>
                <w:color w:val="202020"/>
                <w:sz w:val="20"/>
                <w:szCs w:val="20"/>
              </w:rPr>
              <w:t>Section 3.1.3 distinguishes public provider name/DID fields from hidden credential details. Section 3.2.6 defines access levels for provider identity, service data, and network data, including encrypted payload handling. Section 6.8 retains privacy and deployment limitations and future privacy improvements.</w:t>
            </w:r>
          </w:p>
        </w:tc>
      </w:tr>
    </w:tbl>
    <w:p w14:paraId="3B5B722C" w14:textId="77777777" w:rsidR="000C4F5E" w:rsidRDefault="00000000">
      <w:pPr>
        <w:keepNext/>
        <w:shd w:val="clear" w:color="auto" w:fill="1F4E79"/>
        <w:spacing w:before="180" w:after="60" w:line="220" w:lineRule="auto"/>
        <w:ind w:left="120"/>
      </w:pPr>
      <w:r>
        <w:rPr>
          <w:b/>
          <w:color w:val="FFFFFF"/>
          <w:szCs w:val="24"/>
        </w:rPr>
        <w:t>Review Point 8 - Contributions, Objectives, and Research Questions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0CBF42B2" w14:textId="77777777">
        <w:tc>
          <w:tcPr>
            <w:tcW w:w="2700" w:type="dxa"/>
            <w:shd w:val="clear" w:color="auto" w:fill="D9EAF7"/>
            <w:tcMar>
              <w:top w:w="80" w:type="dxa"/>
              <w:left w:w="100" w:type="dxa"/>
              <w:bottom w:w="80" w:type="dxa"/>
              <w:right w:w="100" w:type="dxa"/>
            </w:tcMar>
          </w:tcPr>
          <w:p w14:paraId="3E37CF63"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7E1BD4CA" w14:textId="77777777" w:rsidR="000C4F5E" w:rsidRDefault="00000000">
            <w:pPr>
              <w:spacing w:after="40" w:line="220" w:lineRule="auto"/>
            </w:pPr>
            <w:r>
              <w:rPr>
                <w:rFonts w:ascii="Aptos" w:hAnsi="Aptos"/>
                <w:color w:val="202020"/>
                <w:sz w:val="20"/>
                <w:szCs w:val="20"/>
              </w:rPr>
              <w:t>The reviewer requested a consistent mapping of research gap, objective, question, contribution, chapter/section, and experimental validation.</w:t>
            </w:r>
          </w:p>
        </w:tc>
      </w:tr>
      <w:tr w:rsidR="000C4F5E" w14:paraId="74E272C3" w14:textId="77777777">
        <w:tc>
          <w:tcPr>
            <w:tcW w:w="2700" w:type="dxa"/>
            <w:shd w:val="clear" w:color="auto" w:fill="D9EAF7"/>
            <w:tcMar>
              <w:top w:w="80" w:type="dxa"/>
              <w:left w:w="100" w:type="dxa"/>
              <w:bottom w:w="80" w:type="dxa"/>
              <w:right w:w="100" w:type="dxa"/>
            </w:tcMar>
          </w:tcPr>
          <w:p w14:paraId="206E5D24"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44F7E394" w14:textId="77777777" w:rsidR="000C4F5E" w:rsidRDefault="00000000">
            <w:pPr>
              <w:spacing w:after="40" w:line="220" w:lineRule="auto"/>
            </w:pPr>
            <w:r>
              <w:rPr>
                <w:rFonts w:ascii="Aptos" w:hAnsi="Aptos"/>
                <w:color w:val="202020"/>
                <w:sz w:val="20"/>
                <w:szCs w:val="20"/>
              </w:rPr>
              <w:t>Tables 1.2, 1.3, 2.5, 6.1, and 6.2; Sections 1.4-1.6, 2.11, and 6.4-6.6.</w:t>
            </w:r>
          </w:p>
        </w:tc>
      </w:tr>
      <w:tr w:rsidR="000C4F5E" w14:paraId="262A4C98" w14:textId="77777777">
        <w:tc>
          <w:tcPr>
            <w:tcW w:w="2700" w:type="dxa"/>
            <w:shd w:val="clear" w:color="auto" w:fill="D9EAF7"/>
            <w:tcMar>
              <w:top w:w="80" w:type="dxa"/>
              <w:left w:w="100" w:type="dxa"/>
              <w:bottom w:w="80" w:type="dxa"/>
              <w:right w:w="100" w:type="dxa"/>
            </w:tcMar>
          </w:tcPr>
          <w:p w14:paraId="2E59A66A"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405208D9" w14:textId="77777777" w:rsidR="000C4F5E" w:rsidRDefault="00000000">
            <w:pPr>
              <w:spacing w:after="40" w:line="220" w:lineRule="auto"/>
            </w:pPr>
            <w:r>
              <w:rPr>
                <w:rFonts w:ascii="Aptos" w:hAnsi="Aptos"/>
                <w:color w:val="202020"/>
                <w:sz w:val="20"/>
                <w:szCs w:val="20"/>
              </w:rPr>
              <w:t>No Change Required / Already Satisfied</w:t>
            </w:r>
          </w:p>
        </w:tc>
      </w:tr>
      <w:tr w:rsidR="000C4F5E" w14:paraId="7087BCFA" w14:textId="77777777">
        <w:tc>
          <w:tcPr>
            <w:tcW w:w="2700" w:type="dxa"/>
            <w:shd w:val="clear" w:color="auto" w:fill="D9EAF7"/>
            <w:tcMar>
              <w:top w:w="80" w:type="dxa"/>
              <w:left w:w="100" w:type="dxa"/>
              <w:bottom w:w="80" w:type="dxa"/>
              <w:right w:w="100" w:type="dxa"/>
            </w:tcMar>
          </w:tcPr>
          <w:p w14:paraId="3FC91BF1"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2141B349" w14:textId="77777777" w:rsidR="000C4F5E" w:rsidRDefault="00000000">
            <w:pPr>
              <w:spacing w:after="40" w:line="220" w:lineRule="auto"/>
            </w:pPr>
            <w:r>
              <w:rPr>
                <w:rFonts w:ascii="Aptos" w:hAnsi="Aptos"/>
                <w:color w:val="202020"/>
                <w:sz w:val="20"/>
                <w:szCs w:val="20"/>
              </w:rPr>
              <w:t>No mapping table was added or restructured.</w:t>
            </w:r>
          </w:p>
        </w:tc>
      </w:tr>
      <w:tr w:rsidR="000C4F5E" w14:paraId="0222FB40" w14:textId="77777777">
        <w:tc>
          <w:tcPr>
            <w:tcW w:w="2700" w:type="dxa"/>
            <w:shd w:val="clear" w:color="auto" w:fill="D9EAF7"/>
            <w:tcMar>
              <w:top w:w="80" w:type="dxa"/>
              <w:left w:w="100" w:type="dxa"/>
              <w:bottom w:w="80" w:type="dxa"/>
              <w:right w:w="100" w:type="dxa"/>
            </w:tcMar>
          </w:tcPr>
          <w:p w14:paraId="2269AB46"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4ADC57D9" w14:textId="77777777" w:rsidR="000C4F5E" w:rsidRDefault="00000000">
            <w:pPr>
              <w:spacing w:after="40" w:line="220" w:lineRule="auto"/>
            </w:pPr>
            <w:r>
              <w:rPr>
                <w:rFonts w:ascii="Courier New" w:hAnsi="Courier New"/>
                <w:color w:val="202020"/>
                <w:sz w:val="20"/>
                <w:szCs w:val="20"/>
              </w:rPr>
              <w:t>The thesis already contained a mapping of objectives, methods, and evaluation basis; research-question traceability; research gaps and contributions; objective achievement; and research-question answers.</w:t>
            </w:r>
          </w:p>
        </w:tc>
      </w:tr>
      <w:tr w:rsidR="000C4F5E" w14:paraId="51F12738" w14:textId="77777777">
        <w:tc>
          <w:tcPr>
            <w:tcW w:w="2700" w:type="dxa"/>
            <w:shd w:val="clear" w:color="auto" w:fill="D9EAF7"/>
            <w:tcMar>
              <w:top w:w="80" w:type="dxa"/>
              <w:left w:w="100" w:type="dxa"/>
              <w:bottom w:w="80" w:type="dxa"/>
              <w:right w:w="100" w:type="dxa"/>
            </w:tcMar>
          </w:tcPr>
          <w:p w14:paraId="130D6A72"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04B940A2" w14:textId="77777777" w:rsidR="000C4F5E" w:rsidRDefault="00000000">
            <w:pPr>
              <w:spacing w:after="40" w:line="220" w:lineRule="auto"/>
            </w:pPr>
            <w:r>
              <w:rPr>
                <w:rFonts w:ascii="Courier New" w:hAnsi="Courier New"/>
                <w:color w:val="202020"/>
                <w:sz w:val="20"/>
                <w:szCs w:val="20"/>
              </w:rPr>
              <w:t>The existing mapping tables were retained unchanged.</w:t>
            </w:r>
          </w:p>
        </w:tc>
      </w:tr>
      <w:tr w:rsidR="000C4F5E" w14:paraId="1FAD1B8A" w14:textId="77777777">
        <w:tc>
          <w:tcPr>
            <w:tcW w:w="2700" w:type="dxa"/>
            <w:shd w:val="clear" w:color="auto" w:fill="D9EAF7"/>
            <w:tcMar>
              <w:top w:w="80" w:type="dxa"/>
              <w:left w:w="100" w:type="dxa"/>
              <w:bottom w:w="80" w:type="dxa"/>
              <w:right w:w="100" w:type="dxa"/>
            </w:tcMar>
          </w:tcPr>
          <w:p w14:paraId="2B7A7B2B"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14D3E2B6" w14:textId="77777777" w:rsidR="000C4F5E" w:rsidRDefault="00000000">
            <w:pPr>
              <w:spacing w:after="40" w:line="220" w:lineRule="auto"/>
            </w:pPr>
            <w:r>
              <w:rPr>
                <w:rFonts w:ascii="Aptos" w:hAnsi="Aptos"/>
                <w:color w:val="202020"/>
                <w:sz w:val="20"/>
                <w:szCs w:val="20"/>
              </w:rPr>
              <w:t>The existing tables collectively provide the requested traceability without duplicating research statements or redefining the identified contributions.</w:t>
            </w:r>
          </w:p>
        </w:tc>
      </w:tr>
      <w:tr w:rsidR="000C4F5E" w14:paraId="4FBE9310" w14:textId="77777777">
        <w:tc>
          <w:tcPr>
            <w:tcW w:w="2700" w:type="dxa"/>
            <w:shd w:val="clear" w:color="auto" w:fill="D9EAF7"/>
            <w:tcMar>
              <w:top w:w="80" w:type="dxa"/>
              <w:left w:w="100" w:type="dxa"/>
              <w:bottom w:w="80" w:type="dxa"/>
              <w:right w:w="100" w:type="dxa"/>
            </w:tcMar>
          </w:tcPr>
          <w:p w14:paraId="4F06322E"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3BBFFFA1" w14:textId="77777777" w:rsidR="000C4F5E" w:rsidRDefault="00000000">
            <w:pPr>
              <w:spacing w:after="40" w:line="220" w:lineRule="auto"/>
            </w:pPr>
            <w:r>
              <w:rPr>
                <w:rFonts w:ascii="Aptos" w:hAnsi="Aptos"/>
                <w:color w:val="202020"/>
                <w:sz w:val="20"/>
                <w:szCs w:val="20"/>
              </w:rPr>
              <w:t>Table 1.2 maps objectives, proposed methods, and evaluation basis. Table 1.3 maps research questions and thesis traceability. Table 2.5 maps research gaps and contributions. Tables 6.1 and 6.2 connect objectives and research questions to the final thesis sections.</w:t>
            </w:r>
          </w:p>
        </w:tc>
      </w:tr>
    </w:tbl>
    <w:p w14:paraId="5D1CA2E7" w14:textId="77777777" w:rsidR="000C4F5E" w:rsidRDefault="00000000">
      <w:pPr>
        <w:keepNext/>
        <w:shd w:val="clear" w:color="auto" w:fill="1F4E79"/>
        <w:spacing w:before="180" w:after="60" w:line="220" w:lineRule="auto"/>
        <w:ind w:left="120"/>
      </w:pPr>
      <w:r>
        <w:rPr>
          <w:b/>
          <w:color w:val="FFFFFF"/>
          <w:szCs w:val="24"/>
        </w:rPr>
        <w:lastRenderedPageBreak/>
        <w:t>Review Point 9 - Terminology Standardization</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14AC4ABA" w14:textId="77777777">
        <w:tc>
          <w:tcPr>
            <w:tcW w:w="2700" w:type="dxa"/>
            <w:shd w:val="clear" w:color="auto" w:fill="D9EAF7"/>
            <w:tcMar>
              <w:top w:w="80" w:type="dxa"/>
              <w:left w:w="100" w:type="dxa"/>
              <w:bottom w:w="80" w:type="dxa"/>
              <w:right w:w="100" w:type="dxa"/>
            </w:tcMar>
          </w:tcPr>
          <w:p w14:paraId="2EA26CCF"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28350277" w14:textId="77777777" w:rsidR="000C4F5E" w:rsidRDefault="00000000">
            <w:pPr>
              <w:spacing w:after="40" w:line="220" w:lineRule="auto"/>
            </w:pPr>
            <w:r>
              <w:rPr>
                <w:rFonts w:ascii="Aptos" w:hAnsi="Aptos"/>
                <w:color w:val="202020"/>
                <w:sz w:val="20"/>
                <w:szCs w:val="20"/>
              </w:rPr>
              <w:t>The reviewer requested consistent use of abbreviations, including BC-IDMF/BC-IDM and BC-DWSR/BC-DWSRA, and clear distinction of related trust terms.</w:t>
            </w:r>
          </w:p>
        </w:tc>
      </w:tr>
      <w:tr w:rsidR="000C4F5E" w14:paraId="29BC76D5" w14:textId="77777777">
        <w:tc>
          <w:tcPr>
            <w:tcW w:w="2700" w:type="dxa"/>
            <w:shd w:val="clear" w:color="auto" w:fill="D9EAF7"/>
            <w:tcMar>
              <w:top w:w="80" w:type="dxa"/>
              <w:left w:w="100" w:type="dxa"/>
              <w:bottom w:w="80" w:type="dxa"/>
              <w:right w:w="100" w:type="dxa"/>
            </w:tcMar>
          </w:tcPr>
          <w:p w14:paraId="30BB7D97"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23CDD04A" w14:textId="77777777" w:rsidR="000C4F5E" w:rsidRDefault="00000000">
            <w:pPr>
              <w:spacing w:after="40" w:line="220" w:lineRule="auto"/>
            </w:pPr>
            <w:r>
              <w:rPr>
                <w:rFonts w:ascii="Aptos" w:hAnsi="Aptos"/>
                <w:color w:val="202020"/>
                <w:sz w:val="20"/>
                <w:szCs w:val="20"/>
              </w:rPr>
              <w:t>Sections 3.1.1 and 3.1.4; Figure 3.3; Table of Contents and List of Figures entries.</w:t>
            </w:r>
          </w:p>
        </w:tc>
      </w:tr>
      <w:tr w:rsidR="000C4F5E" w14:paraId="7C8DEC72" w14:textId="77777777">
        <w:tc>
          <w:tcPr>
            <w:tcW w:w="2700" w:type="dxa"/>
            <w:shd w:val="clear" w:color="auto" w:fill="D9EAF7"/>
            <w:tcMar>
              <w:top w:w="80" w:type="dxa"/>
              <w:left w:w="100" w:type="dxa"/>
              <w:bottom w:w="80" w:type="dxa"/>
              <w:right w:w="100" w:type="dxa"/>
            </w:tcMar>
          </w:tcPr>
          <w:p w14:paraId="3E279BF3"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10969990" w14:textId="77777777" w:rsidR="000C4F5E" w:rsidRDefault="00000000">
            <w:pPr>
              <w:spacing w:after="40" w:line="220" w:lineRule="auto"/>
            </w:pPr>
            <w:r>
              <w:rPr>
                <w:rFonts w:ascii="Aptos" w:hAnsi="Aptos"/>
                <w:color w:val="202020"/>
                <w:sz w:val="20"/>
                <w:szCs w:val="20"/>
              </w:rPr>
              <w:t>Fixed / Changed</w:t>
            </w:r>
          </w:p>
        </w:tc>
      </w:tr>
      <w:tr w:rsidR="000C4F5E" w14:paraId="3D3EB5DF" w14:textId="77777777">
        <w:tc>
          <w:tcPr>
            <w:tcW w:w="2700" w:type="dxa"/>
            <w:shd w:val="clear" w:color="auto" w:fill="D9EAF7"/>
            <w:tcMar>
              <w:top w:w="80" w:type="dxa"/>
              <w:left w:w="100" w:type="dxa"/>
              <w:bottom w:w="80" w:type="dxa"/>
              <w:right w:w="100" w:type="dxa"/>
            </w:tcMar>
          </w:tcPr>
          <w:p w14:paraId="6BB4C806"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116A7CB4" w14:textId="77777777" w:rsidR="000C4F5E" w:rsidRDefault="00000000">
            <w:pPr>
              <w:spacing w:after="40" w:line="220" w:lineRule="auto"/>
            </w:pPr>
            <w:r>
              <w:rPr>
                <w:rFonts w:ascii="Aptos" w:hAnsi="Aptos"/>
                <w:color w:val="202020"/>
                <w:sz w:val="20"/>
                <w:szCs w:val="20"/>
              </w:rPr>
              <w:t>The labels BC-IDM Framework were standardized to BC-IDMF Framework in the Section 3.1.4 heading, the corresponding Table of Contents entry, and the Figure 3.3 caption/List of Figures entry.</w:t>
            </w:r>
          </w:p>
        </w:tc>
      </w:tr>
      <w:tr w:rsidR="000C4F5E" w14:paraId="2E88E72E" w14:textId="77777777">
        <w:tc>
          <w:tcPr>
            <w:tcW w:w="2700" w:type="dxa"/>
            <w:shd w:val="clear" w:color="auto" w:fill="D9EAF7"/>
            <w:tcMar>
              <w:top w:w="80" w:type="dxa"/>
              <w:left w:w="100" w:type="dxa"/>
              <w:bottom w:w="80" w:type="dxa"/>
              <w:right w:w="100" w:type="dxa"/>
            </w:tcMar>
          </w:tcPr>
          <w:p w14:paraId="29D3F37F"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43310D8D" w14:textId="77777777" w:rsidR="000C4F5E" w:rsidRDefault="00000000">
            <w:pPr>
              <w:spacing w:after="40" w:line="220" w:lineRule="auto"/>
            </w:pPr>
            <w:r>
              <w:rPr>
                <w:rFonts w:ascii="Courier New" w:hAnsi="Courier New"/>
                <w:color w:val="202020"/>
                <w:sz w:val="20"/>
                <w:szCs w:val="20"/>
              </w:rPr>
              <w:t>3.1.4 WORKING OF PROPOSED BC-IDM FRAMEWORK</w:t>
            </w:r>
          </w:p>
          <w:p w14:paraId="4BE1BFD3" w14:textId="77777777" w:rsidR="000C4F5E" w:rsidRDefault="00000000">
            <w:pPr>
              <w:spacing w:after="40" w:line="220" w:lineRule="auto"/>
            </w:pPr>
            <w:r>
              <w:rPr>
                <w:rFonts w:ascii="Courier New" w:hAnsi="Courier New"/>
                <w:color w:val="202020"/>
                <w:sz w:val="20"/>
                <w:szCs w:val="20"/>
              </w:rPr>
              <w:t>Figure 3.3: Workflow of Proposed BC-IDM Framework</w:t>
            </w:r>
          </w:p>
        </w:tc>
      </w:tr>
      <w:tr w:rsidR="000C4F5E" w14:paraId="37227021" w14:textId="77777777">
        <w:tc>
          <w:tcPr>
            <w:tcW w:w="2700" w:type="dxa"/>
            <w:shd w:val="clear" w:color="auto" w:fill="D9EAF7"/>
            <w:tcMar>
              <w:top w:w="80" w:type="dxa"/>
              <w:left w:w="100" w:type="dxa"/>
              <w:bottom w:w="80" w:type="dxa"/>
              <w:right w:w="100" w:type="dxa"/>
            </w:tcMar>
          </w:tcPr>
          <w:p w14:paraId="5519AE45"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553F6FBF" w14:textId="77777777" w:rsidR="000C4F5E" w:rsidRDefault="00000000">
            <w:pPr>
              <w:spacing w:after="40" w:line="220" w:lineRule="auto"/>
            </w:pPr>
            <w:r>
              <w:rPr>
                <w:rFonts w:ascii="Courier New" w:hAnsi="Courier New"/>
                <w:color w:val="202020"/>
                <w:sz w:val="20"/>
                <w:szCs w:val="20"/>
              </w:rPr>
              <w:t>3.1.4 WORKING OF PROPOSED BC-IDMF FRAMEWORK</w:t>
            </w:r>
          </w:p>
          <w:p w14:paraId="7DAED4B0" w14:textId="77777777" w:rsidR="000C4F5E" w:rsidRDefault="00000000">
            <w:pPr>
              <w:spacing w:after="40" w:line="220" w:lineRule="auto"/>
            </w:pPr>
            <w:r>
              <w:rPr>
                <w:rFonts w:ascii="Courier New" w:hAnsi="Courier New"/>
                <w:color w:val="202020"/>
                <w:sz w:val="20"/>
                <w:szCs w:val="20"/>
              </w:rPr>
              <w:t>Figure 3.3: Workflow of Proposed BC-IDMF Framework</w:t>
            </w:r>
          </w:p>
        </w:tc>
      </w:tr>
      <w:tr w:rsidR="000C4F5E" w14:paraId="7FB9DAA2" w14:textId="77777777">
        <w:tc>
          <w:tcPr>
            <w:tcW w:w="2700" w:type="dxa"/>
            <w:shd w:val="clear" w:color="auto" w:fill="D9EAF7"/>
            <w:tcMar>
              <w:top w:w="80" w:type="dxa"/>
              <w:left w:w="100" w:type="dxa"/>
              <w:bottom w:w="80" w:type="dxa"/>
              <w:right w:w="100" w:type="dxa"/>
            </w:tcMar>
          </w:tcPr>
          <w:p w14:paraId="3F347622"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5AA4CF84" w14:textId="77777777" w:rsidR="000C4F5E" w:rsidRDefault="00000000">
            <w:pPr>
              <w:spacing w:after="40" w:line="220" w:lineRule="auto"/>
            </w:pPr>
            <w:r>
              <w:rPr>
                <w:rFonts w:ascii="Aptos" w:hAnsi="Aptos"/>
                <w:color w:val="202020"/>
                <w:sz w:val="20"/>
                <w:szCs w:val="20"/>
              </w:rPr>
              <w:t>Section 3.1.1 defines BC-IDMF as the Blockchain-Based Identity Management Framework. The later labels referred to the same framework and therefore required alignment. BC-DWSRA was retained because it is defined as the registry agent, not the framework.</w:t>
            </w:r>
          </w:p>
        </w:tc>
      </w:tr>
      <w:tr w:rsidR="000C4F5E" w14:paraId="6B9E6B61" w14:textId="77777777">
        <w:tc>
          <w:tcPr>
            <w:tcW w:w="2700" w:type="dxa"/>
            <w:shd w:val="clear" w:color="auto" w:fill="D9EAF7"/>
            <w:tcMar>
              <w:top w:w="80" w:type="dxa"/>
              <w:left w:w="100" w:type="dxa"/>
              <w:bottom w:w="80" w:type="dxa"/>
              <w:right w:w="100" w:type="dxa"/>
            </w:tcMar>
          </w:tcPr>
          <w:p w14:paraId="18057755"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24BFC2BC" w14:textId="77777777" w:rsidR="000C4F5E" w:rsidRDefault="00000000">
            <w:pPr>
              <w:spacing w:after="40" w:line="220" w:lineRule="auto"/>
            </w:pPr>
            <w:r>
              <w:rPr>
                <w:rFonts w:ascii="Aptos" w:hAnsi="Aptos"/>
                <w:color w:val="202020"/>
                <w:sz w:val="20"/>
                <w:szCs w:val="20"/>
              </w:rPr>
              <w:t>The revised heading, Table of Contents entry, and Figure 3.3 list entry use the same BC-IDMF term as the framework definition. No unrelated acronym was changed.</w:t>
            </w:r>
          </w:p>
        </w:tc>
      </w:tr>
    </w:tbl>
    <w:p w14:paraId="378A5436" w14:textId="77777777" w:rsidR="000C4F5E" w:rsidRDefault="00000000">
      <w:pPr>
        <w:keepNext/>
        <w:shd w:val="clear" w:color="auto" w:fill="1F4E79"/>
        <w:spacing w:before="180" w:after="60" w:line="220" w:lineRule="auto"/>
        <w:ind w:left="120"/>
      </w:pPr>
      <w:r>
        <w:rPr>
          <w:b/>
          <w:color w:val="FFFFFF"/>
          <w:szCs w:val="24"/>
        </w:rPr>
        <w:t>Review Point 10 - Data Integrity and Truthfulness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626660F3" w14:textId="77777777">
        <w:tc>
          <w:tcPr>
            <w:tcW w:w="2700" w:type="dxa"/>
            <w:shd w:val="clear" w:color="auto" w:fill="D9EAF7"/>
            <w:tcMar>
              <w:top w:w="80" w:type="dxa"/>
              <w:left w:w="100" w:type="dxa"/>
              <w:bottom w:w="80" w:type="dxa"/>
              <w:right w:w="100" w:type="dxa"/>
            </w:tcMar>
          </w:tcPr>
          <w:p w14:paraId="50CD6BB7"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73AA2BFC" w14:textId="77777777" w:rsidR="000C4F5E" w:rsidRDefault="00000000">
            <w:pPr>
              <w:spacing w:after="40" w:line="220" w:lineRule="auto"/>
            </w:pPr>
            <w:r>
              <w:rPr>
                <w:rFonts w:ascii="Aptos" w:hAnsi="Aptos"/>
                <w:color w:val="202020"/>
                <w:sz w:val="20"/>
                <w:szCs w:val="20"/>
              </w:rPr>
              <w:t>The reviewer requested a distinction between immutable recorded information and the correctness of information at the time it enters the system.</w:t>
            </w:r>
          </w:p>
        </w:tc>
      </w:tr>
      <w:tr w:rsidR="000C4F5E" w14:paraId="42B20E60" w14:textId="77777777">
        <w:tc>
          <w:tcPr>
            <w:tcW w:w="2700" w:type="dxa"/>
            <w:shd w:val="clear" w:color="auto" w:fill="D9EAF7"/>
            <w:tcMar>
              <w:top w:w="80" w:type="dxa"/>
              <w:left w:w="100" w:type="dxa"/>
              <w:bottom w:w="80" w:type="dxa"/>
              <w:right w:w="100" w:type="dxa"/>
            </w:tcMar>
          </w:tcPr>
          <w:p w14:paraId="0CA2349B"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45C8C81E" w14:textId="77777777" w:rsidR="000C4F5E" w:rsidRDefault="00000000">
            <w:pPr>
              <w:spacing w:after="40" w:line="220" w:lineRule="auto"/>
            </w:pPr>
            <w:r>
              <w:rPr>
                <w:rFonts w:ascii="Aptos" w:hAnsi="Aptos"/>
                <w:color w:val="202020"/>
                <w:sz w:val="20"/>
                <w:szCs w:val="20"/>
              </w:rPr>
              <w:t>Section 3.2.3, especially the Decentralized Web Service Registry Using Blockchain Technology discussion and the following publication steps.</w:t>
            </w:r>
          </w:p>
        </w:tc>
      </w:tr>
      <w:tr w:rsidR="000C4F5E" w14:paraId="0442EC33" w14:textId="77777777">
        <w:tc>
          <w:tcPr>
            <w:tcW w:w="2700" w:type="dxa"/>
            <w:shd w:val="clear" w:color="auto" w:fill="D9EAF7"/>
            <w:tcMar>
              <w:top w:w="80" w:type="dxa"/>
              <w:left w:w="100" w:type="dxa"/>
              <w:bottom w:w="80" w:type="dxa"/>
              <w:right w:w="100" w:type="dxa"/>
            </w:tcMar>
          </w:tcPr>
          <w:p w14:paraId="43DE4CCB"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4234F25F" w14:textId="77777777" w:rsidR="000C4F5E" w:rsidRDefault="00000000">
            <w:pPr>
              <w:spacing w:after="40" w:line="220" w:lineRule="auto"/>
            </w:pPr>
            <w:r>
              <w:rPr>
                <w:rFonts w:ascii="Aptos" w:hAnsi="Aptos"/>
                <w:color w:val="202020"/>
                <w:sz w:val="20"/>
                <w:szCs w:val="20"/>
              </w:rPr>
              <w:t>Fixed / Changed</w:t>
            </w:r>
          </w:p>
        </w:tc>
      </w:tr>
      <w:tr w:rsidR="000C4F5E" w14:paraId="4EC046D0" w14:textId="77777777">
        <w:tc>
          <w:tcPr>
            <w:tcW w:w="2700" w:type="dxa"/>
            <w:shd w:val="clear" w:color="auto" w:fill="D9EAF7"/>
            <w:tcMar>
              <w:top w:w="80" w:type="dxa"/>
              <w:left w:w="100" w:type="dxa"/>
              <w:bottom w:w="80" w:type="dxa"/>
              <w:right w:w="100" w:type="dxa"/>
            </w:tcMar>
          </w:tcPr>
          <w:p w14:paraId="166C1129"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4ADB00F3" w14:textId="77777777" w:rsidR="000C4F5E" w:rsidRDefault="00000000">
            <w:pPr>
              <w:spacing w:after="40" w:line="220" w:lineRule="auto"/>
            </w:pPr>
            <w:r>
              <w:rPr>
                <w:rFonts w:ascii="Aptos" w:hAnsi="Aptos"/>
                <w:color w:val="202020"/>
                <w:sz w:val="20"/>
                <w:szCs w:val="20"/>
              </w:rPr>
              <w:t>The sentence about independently verifying the validity of every BC-DWSR entry was revised to separate integrity after publication from the assessment of submitted service information.</w:t>
            </w:r>
          </w:p>
        </w:tc>
      </w:tr>
      <w:tr w:rsidR="000C4F5E" w14:paraId="189B477D" w14:textId="77777777">
        <w:tc>
          <w:tcPr>
            <w:tcW w:w="2700" w:type="dxa"/>
            <w:shd w:val="clear" w:color="auto" w:fill="D9EAF7"/>
            <w:tcMar>
              <w:top w:w="80" w:type="dxa"/>
              <w:left w:w="100" w:type="dxa"/>
              <w:bottom w:w="80" w:type="dxa"/>
              <w:right w:w="100" w:type="dxa"/>
            </w:tcMar>
          </w:tcPr>
          <w:p w14:paraId="41697FEA"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075D127F" w14:textId="77777777" w:rsidR="000C4F5E" w:rsidRDefault="00000000">
            <w:pPr>
              <w:spacing w:after="40" w:line="220" w:lineRule="auto"/>
            </w:pPr>
            <w:r>
              <w:rPr>
                <w:rFonts w:ascii="Courier New" w:hAnsi="Courier New"/>
                <w:color w:val="202020"/>
                <w:sz w:val="20"/>
                <w:szCs w:val="20"/>
              </w:rPr>
              <w:t>the validity of each entry in BC-DWSR can be verified independently.</w:t>
            </w:r>
          </w:p>
        </w:tc>
      </w:tr>
      <w:tr w:rsidR="000C4F5E" w14:paraId="2E7314BD" w14:textId="77777777">
        <w:tc>
          <w:tcPr>
            <w:tcW w:w="2700" w:type="dxa"/>
            <w:shd w:val="clear" w:color="auto" w:fill="D9EAF7"/>
            <w:tcMar>
              <w:top w:w="80" w:type="dxa"/>
              <w:left w:w="100" w:type="dxa"/>
              <w:bottom w:w="80" w:type="dxa"/>
              <w:right w:w="100" w:type="dxa"/>
            </w:tcMar>
          </w:tcPr>
          <w:p w14:paraId="1812467A"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026756A" w14:textId="77777777" w:rsidR="000C4F5E" w:rsidRDefault="00000000">
            <w:pPr>
              <w:spacing w:after="40" w:line="220" w:lineRule="auto"/>
            </w:pPr>
            <w:r>
              <w:rPr>
                <w:rFonts w:ascii="Courier New" w:hAnsi="Courier New"/>
                <w:color w:val="202020"/>
                <w:sz w:val="20"/>
                <w:szCs w:val="20"/>
              </w:rPr>
              <w:t>the integrity of each recorded entry in BC-DWSR can be verified independently after publication. The correctness of submitted service information is assessed through the identity and service-data validation steps described above.</w:t>
            </w:r>
          </w:p>
        </w:tc>
      </w:tr>
      <w:tr w:rsidR="000C4F5E" w14:paraId="07242871" w14:textId="77777777">
        <w:tc>
          <w:tcPr>
            <w:tcW w:w="2700" w:type="dxa"/>
            <w:shd w:val="clear" w:color="auto" w:fill="D9EAF7"/>
            <w:tcMar>
              <w:top w:w="80" w:type="dxa"/>
              <w:left w:w="100" w:type="dxa"/>
              <w:bottom w:w="80" w:type="dxa"/>
              <w:right w:w="100" w:type="dxa"/>
            </w:tcMar>
          </w:tcPr>
          <w:p w14:paraId="0FEF571A"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6BED3C03" w14:textId="77777777" w:rsidR="000C4F5E" w:rsidRDefault="00000000">
            <w:pPr>
              <w:spacing w:after="40" w:line="220" w:lineRule="auto"/>
            </w:pPr>
            <w:r>
              <w:rPr>
                <w:rFonts w:ascii="Aptos" w:hAnsi="Aptos"/>
                <w:color w:val="202020"/>
                <w:sz w:val="20"/>
                <w:szCs w:val="20"/>
              </w:rPr>
              <w:t>The original wording could read as if immutable recording itself established the correctness of the original submission. The revised text identifies the two distinct stages already described by the thesis: post-publication record integrity and pre-publication identity/service-data assessment.</w:t>
            </w:r>
          </w:p>
        </w:tc>
      </w:tr>
      <w:tr w:rsidR="000C4F5E" w14:paraId="0C3A823A" w14:textId="77777777">
        <w:tc>
          <w:tcPr>
            <w:tcW w:w="2700" w:type="dxa"/>
            <w:shd w:val="clear" w:color="auto" w:fill="D9EAF7"/>
            <w:tcMar>
              <w:top w:w="80" w:type="dxa"/>
              <w:left w:w="100" w:type="dxa"/>
              <w:bottom w:w="80" w:type="dxa"/>
              <w:right w:w="100" w:type="dxa"/>
            </w:tcMar>
          </w:tcPr>
          <w:p w14:paraId="1130395E"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0215751D" w14:textId="77777777" w:rsidR="000C4F5E" w:rsidRDefault="00000000">
            <w:pPr>
              <w:spacing w:after="40" w:line="220" w:lineRule="auto"/>
            </w:pPr>
            <w:r>
              <w:rPr>
                <w:rFonts w:ascii="Aptos" w:hAnsi="Aptos"/>
                <w:color w:val="202020"/>
                <w:sz w:val="20"/>
                <w:szCs w:val="20"/>
              </w:rPr>
              <w:t>The preceding Section 3.2.3 text describes service-document collection, identity verification, static and dynamic constraints, and Proof-of-Proprietorship steps. The revised sentence points to those existing steps and adds no new mechanism.</w:t>
            </w:r>
          </w:p>
        </w:tc>
      </w:tr>
    </w:tbl>
    <w:p w14:paraId="3BA29063" w14:textId="77777777" w:rsidR="000C4F5E" w:rsidRDefault="00000000">
      <w:pPr>
        <w:keepNext/>
        <w:shd w:val="clear" w:color="auto" w:fill="1F4E79"/>
        <w:spacing w:before="180" w:after="60" w:line="220" w:lineRule="auto"/>
        <w:ind w:left="120"/>
      </w:pPr>
      <w:r>
        <w:rPr>
          <w:b/>
          <w:color w:val="FFFFFF"/>
          <w:szCs w:val="24"/>
        </w:rPr>
        <w:lastRenderedPageBreak/>
        <w:t>Review Point 11 - Focus and Synthesis of Chapter 2</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0AEB9943" w14:textId="77777777">
        <w:tc>
          <w:tcPr>
            <w:tcW w:w="2700" w:type="dxa"/>
            <w:shd w:val="clear" w:color="auto" w:fill="D9EAF7"/>
            <w:tcMar>
              <w:top w:w="80" w:type="dxa"/>
              <w:left w:w="100" w:type="dxa"/>
              <w:bottom w:w="80" w:type="dxa"/>
              <w:right w:w="100" w:type="dxa"/>
            </w:tcMar>
          </w:tcPr>
          <w:p w14:paraId="668A01F7"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577A53BF" w14:textId="77777777" w:rsidR="000C4F5E" w:rsidRDefault="00000000">
            <w:pPr>
              <w:spacing w:after="40" w:line="220" w:lineRule="auto"/>
            </w:pPr>
            <w:r>
              <w:rPr>
                <w:rFonts w:ascii="Aptos" w:hAnsi="Aptos"/>
                <w:color w:val="202020"/>
                <w:sz w:val="20"/>
                <w:szCs w:val="20"/>
              </w:rPr>
              <w:t>The reviewer requested focus on Semantic Web Service Composition, links to research gaps, less repetition, and synthesis of limitations and proposed solutions.</w:t>
            </w:r>
          </w:p>
        </w:tc>
      </w:tr>
      <w:tr w:rsidR="000C4F5E" w14:paraId="370989E0" w14:textId="77777777">
        <w:tc>
          <w:tcPr>
            <w:tcW w:w="2700" w:type="dxa"/>
            <w:shd w:val="clear" w:color="auto" w:fill="D9EAF7"/>
            <w:tcMar>
              <w:top w:w="80" w:type="dxa"/>
              <w:left w:w="100" w:type="dxa"/>
              <w:bottom w:w="80" w:type="dxa"/>
              <w:right w:w="100" w:type="dxa"/>
            </w:tcMar>
          </w:tcPr>
          <w:p w14:paraId="0B634EC6"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7BD1B494" w14:textId="77777777" w:rsidR="000C4F5E" w:rsidRDefault="00000000">
            <w:pPr>
              <w:spacing w:after="40" w:line="220" w:lineRule="auto"/>
            </w:pPr>
            <w:r>
              <w:rPr>
                <w:rFonts w:ascii="Aptos" w:hAnsi="Aptos"/>
                <w:color w:val="202020"/>
                <w:sz w:val="20"/>
                <w:szCs w:val="20"/>
              </w:rPr>
              <w:t>Chapter 2, especially Sections 2.1-2.11 and Table 2.5.</w:t>
            </w:r>
          </w:p>
        </w:tc>
      </w:tr>
      <w:tr w:rsidR="000C4F5E" w14:paraId="5CE3696F" w14:textId="77777777">
        <w:tc>
          <w:tcPr>
            <w:tcW w:w="2700" w:type="dxa"/>
            <w:shd w:val="clear" w:color="auto" w:fill="D9EAF7"/>
            <w:tcMar>
              <w:top w:w="80" w:type="dxa"/>
              <w:left w:w="100" w:type="dxa"/>
              <w:bottom w:w="80" w:type="dxa"/>
              <w:right w:w="100" w:type="dxa"/>
            </w:tcMar>
          </w:tcPr>
          <w:p w14:paraId="03FB36D0"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57727445" w14:textId="77777777" w:rsidR="000C4F5E" w:rsidRDefault="00000000">
            <w:pPr>
              <w:spacing w:after="40" w:line="220" w:lineRule="auto"/>
            </w:pPr>
            <w:r>
              <w:rPr>
                <w:rFonts w:ascii="Aptos" w:hAnsi="Aptos"/>
                <w:color w:val="202020"/>
                <w:sz w:val="20"/>
                <w:szCs w:val="20"/>
              </w:rPr>
              <w:t>No Change Required / Already Satisfied</w:t>
            </w:r>
          </w:p>
        </w:tc>
      </w:tr>
      <w:tr w:rsidR="000C4F5E" w14:paraId="23D8FBB1" w14:textId="77777777">
        <w:tc>
          <w:tcPr>
            <w:tcW w:w="2700" w:type="dxa"/>
            <w:shd w:val="clear" w:color="auto" w:fill="D9EAF7"/>
            <w:tcMar>
              <w:top w:w="80" w:type="dxa"/>
              <w:left w:w="100" w:type="dxa"/>
              <w:bottom w:w="80" w:type="dxa"/>
              <w:right w:w="100" w:type="dxa"/>
            </w:tcMar>
          </w:tcPr>
          <w:p w14:paraId="1B50B685"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0276D513" w14:textId="77777777" w:rsidR="000C4F5E" w:rsidRDefault="00000000">
            <w:pPr>
              <w:spacing w:after="40" w:line="220" w:lineRule="auto"/>
            </w:pPr>
            <w:r>
              <w:rPr>
                <w:rFonts w:ascii="Aptos" w:hAnsi="Aptos"/>
                <w:color w:val="202020"/>
                <w:sz w:val="20"/>
                <w:szCs w:val="20"/>
              </w:rPr>
              <w:t>No Chapter 2 section was moved, deleted, or rewritten for this point.</w:t>
            </w:r>
          </w:p>
        </w:tc>
      </w:tr>
      <w:tr w:rsidR="000C4F5E" w14:paraId="2F32F585" w14:textId="77777777">
        <w:tc>
          <w:tcPr>
            <w:tcW w:w="2700" w:type="dxa"/>
            <w:shd w:val="clear" w:color="auto" w:fill="D9EAF7"/>
            <w:tcMar>
              <w:top w:w="80" w:type="dxa"/>
              <w:left w:w="100" w:type="dxa"/>
              <w:bottom w:w="80" w:type="dxa"/>
              <w:right w:w="100" w:type="dxa"/>
            </w:tcMar>
          </w:tcPr>
          <w:p w14:paraId="563C7B36"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694FA327" w14:textId="77777777" w:rsidR="000C4F5E" w:rsidRDefault="00000000">
            <w:pPr>
              <w:spacing w:after="40" w:line="220" w:lineRule="auto"/>
            </w:pPr>
            <w:r>
              <w:rPr>
                <w:rFonts w:ascii="Courier New" w:hAnsi="Courier New"/>
                <w:color w:val="202020"/>
                <w:sz w:val="20"/>
                <w:szCs w:val="20"/>
              </w:rPr>
              <w:t>Chapter 2 already included literature on SWSC, trust and security, blockchain, GA/KBGA, a literature synthesis, and a summary of research contributions.</w:t>
            </w:r>
          </w:p>
        </w:tc>
      </w:tr>
      <w:tr w:rsidR="000C4F5E" w14:paraId="53A3AA80" w14:textId="77777777">
        <w:tc>
          <w:tcPr>
            <w:tcW w:w="2700" w:type="dxa"/>
            <w:shd w:val="clear" w:color="auto" w:fill="D9EAF7"/>
            <w:tcMar>
              <w:top w:w="80" w:type="dxa"/>
              <w:left w:w="100" w:type="dxa"/>
              <w:bottom w:w="80" w:type="dxa"/>
              <w:right w:w="100" w:type="dxa"/>
            </w:tcMar>
          </w:tcPr>
          <w:p w14:paraId="5101CDCD"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4D410D2F" w14:textId="77777777" w:rsidR="000C4F5E" w:rsidRDefault="00000000">
            <w:pPr>
              <w:spacing w:after="40" w:line="220" w:lineRule="auto"/>
            </w:pPr>
            <w:r>
              <w:rPr>
                <w:rFonts w:ascii="Courier New" w:hAnsi="Courier New"/>
                <w:color w:val="202020"/>
                <w:sz w:val="20"/>
                <w:szCs w:val="20"/>
              </w:rPr>
              <w:t>The existing chapter sequence and Table 2.5 contribution mapping were retained.</w:t>
            </w:r>
          </w:p>
        </w:tc>
      </w:tr>
      <w:tr w:rsidR="000C4F5E" w14:paraId="15B0C33D" w14:textId="77777777">
        <w:tc>
          <w:tcPr>
            <w:tcW w:w="2700" w:type="dxa"/>
            <w:shd w:val="clear" w:color="auto" w:fill="D9EAF7"/>
            <w:tcMar>
              <w:top w:w="80" w:type="dxa"/>
              <w:left w:w="100" w:type="dxa"/>
              <w:bottom w:w="80" w:type="dxa"/>
              <w:right w:w="100" w:type="dxa"/>
            </w:tcMar>
          </w:tcPr>
          <w:p w14:paraId="48D0D5F4"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0EACC93C" w14:textId="77777777" w:rsidR="000C4F5E" w:rsidRDefault="00000000">
            <w:pPr>
              <w:spacing w:after="40" w:line="220" w:lineRule="auto"/>
            </w:pPr>
            <w:r>
              <w:rPr>
                <w:rFonts w:ascii="Aptos" w:hAnsi="Aptos"/>
                <w:color w:val="202020"/>
                <w:sz w:val="20"/>
                <w:szCs w:val="20"/>
              </w:rPr>
              <w:t>The chapter already connects the reviewed material to identified gaps and the proposed contribution mapping. A broad reorganization would risk changing citations, cross-references, figures, and the established literature-review logic without a specific required correction.</w:t>
            </w:r>
          </w:p>
        </w:tc>
      </w:tr>
      <w:tr w:rsidR="000C4F5E" w14:paraId="0F4BAE0D" w14:textId="77777777">
        <w:tc>
          <w:tcPr>
            <w:tcW w:w="2700" w:type="dxa"/>
            <w:shd w:val="clear" w:color="auto" w:fill="D9EAF7"/>
            <w:tcMar>
              <w:top w:w="80" w:type="dxa"/>
              <w:left w:w="100" w:type="dxa"/>
              <w:bottom w:w="80" w:type="dxa"/>
              <w:right w:w="100" w:type="dxa"/>
            </w:tcMar>
          </w:tcPr>
          <w:p w14:paraId="393EB6BB"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35F4E6EC" w14:textId="77777777" w:rsidR="000C4F5E" w:rsidRDefault="00000000">
            <w:pPr>
              <w:spacing w:after="40" w:line="220" w:lineRule="auto"/>
            </w:pPr>
            <w:r>
              <w:rPr>
                <w:rFonts w:ascii="Aptos" w:hAnsi="Aptos"/>
                <w:color w:val="202020"/>
                <w:sz w:val="20"/>
                <w:szCs w:val="20"/>
              </w:rPr>
              <w:t>Section 2.10 includes a literature synthesis and identified gaps. Section 2.11 states that the review surfaces research gaps and maps them to contributions and chapters through Table 2.5.</w:t>
            </w:r>
          </w:p>
        </w:tc>
      </w:tr>
    </w:tbl>
    <w:p w14:paraId="6560D2AE" w14:textId="77777777" w:rsidR="000C4F5E" w:rsidRDefault="00000000">
      <w:pPr>
        <w:keepNext/>
        <w:shd w:val="clear" w:color="auto" w:fill="1F4E79"/>
        <w:spacing w:before="180" w:after="60" w:line="220" w:lineRule="auto"/>
        <w:ind w:left="120"/>
      </w:pPr>
      <w:r>
        <w:rPr>
          <w:b/>
          <w:color w:val="FFFFFF"/>
          <w:szCs w:val="24"/>
        </w:rPr>
        <w:t>Review Point 12 - Absolute Novelty Claims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3C4696D8" w14:textId="77777777">
        <w:tc>
          <w:tcPr>
            <w:tcW w:w="2700" w:type="dxa"/>
            <w:shd w:val="clear" w:color="auto" w:fill="D9EAF7"/>
            <w:tcMar>
              <w:top w:w="80" w:type="dxa"/>
              <w:left w:w="100" w:type="dxa"/>
              <w:bottom w:w="80" w:type="dxa"/>
              <w:right w:w="100" w:type="dxa"/>
            </w:tcMar>
          </w:tcPr>
          <w:p w14:paraId="4E7F529F"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05918FCE" w14:textId="77777777" w:rsidR="000C4F5E" w:rsidRDefault="00000000">
            <w:pPr>
              <w:spacing w:after="40" w:line="220" w:lineRule="auto"/>
            </w:pPr>
            <w:r>
              <w:rPr>
                <w:rFonts w:ascii="Aptos" w:hAnsi="Aptos"/>
                <w:color w:val="202020"/>
                <w:sz w:val="20"/>
                <w:szCs w:val="20"/>
              </w:rPr>
              <w:t>The reviewer requested cautious novelty wording rather than unsupported statements beginning with No prior work has....</w:t>
            </w:r>
          </w:p>
        </w:tc>
      </w:tr>
      <w:tr w:rsidR="000C4F5E" w14:paraId="4065A5AF" w14:textId="77777777">
        <w:tc>
          <w:tcPr>
            <w:tcW w:w="2700" w:type="dxa"/>
            <w:shd w:val="clear" w:color="auto" w:fill="D9EAF7"/>
            <w:tcMar>
              <w:top w:w="80" w:type="dxa"/>
              <w:left w:w="100" w:type="dxa"/>
              <w:bottom w:w="80" w:type="dxa"/>
              <w:right w:w="100" w:type="dxa"/>
            </w:tcMar>
          </w:tcPr>
          <w:p w14:paraId="7B15C178"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0CAC131B" w14:textId="77777777" w:rsidR="000C4F5E" w:rsidRDefault="00000000">
            <w:pPr>
              <w:spacing w:after="40" w:line="220" w:lineRule="auto"/>
            </w:pPr>
            <w:r>
              <w:rPr>
                <w:rFonts w:ascii="Aptos" w:hAnsi="Aptos"/>
                <w:color w:val="202020"/>
                <w:sz w:val="20"/>
                <w:szCs w:val="20"/>
              </w:rPr>
              <w:t>Section 2.8, immediately before Section 2.9.</w:t>
            </w:r>
          </w:p>
        </w:tc>
      </w:tr>
      <w:tr w:rsidR="000C4F5E" w14:paraId="61DB0167" w14:textId="77777777">
        <w:tc>
          <w:tcPr>
            <w:tcW w:w="2700" w:type="dxa"/>
            <w:shd w:val="clear" w:color="auto" w:fill="D9EAF7"/>
            <w:tcMar>
              <w:top w:w="80" w:type="dxa"/>
              <w:left w:w="100" w:type="dxa"/>
              <w:bottom w:w="80" w:type="dxa"/>
              <w:right w:w="100" w:type="dxa"/>
            </w:tcMar>
          </w:tcPr>
          <w:p w14:paraId="1692113B"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7CABB210" w14:textId="77777777" w:rsidR="000C4F5E" w:rsidRDefault="00000000">
            <w:pPr>
              <w:spacing w:after="40" w:line="220" w:lineRule="auto"/>
            </w:pPr>
            <w:r>
              <w:rPr>
                <w:rFonts w:ascii="Aptos" w:hAnsi="Aptos"/>
                <w:color w:val="202020"/>
                <w:sz w:val="20"/>
                <w:szCs w:val="20"/>
              </w:rPr>
              <w:t>Fixed / Changed</w:t>
            </w:r>
          </w:p>
        </w:tc>
      </w:tr>
      <w:tr w:rsidR="000C4F5E" w14:paraId="44229424" w14:textId="77777777">
        <w:tc>
          <w:tcPr>
            <w:tcW w:w="2700" w:type="dxa"/>
            <w:shd w:val="clear" w:color="auto" w:fill="D9EAF7"/>
            <w:tcMar>
              <w:top w:w="80" w:type="dxa"/>
              <w:left w:w="100" w:type="dxa"/>
              <w:bottom w:w="80" w:type="dxa"/>
              <w:right w:w="100" w:type="dxa"/>
            </w:tcMar>
          </w:tcPr>
          <w:p w14:paraId="29D1B458"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6D006B55" w14:textId="77777777" w:rsidR="000C4F5E" w:rsidRDefault="00000000">
            <w:pPr>
              <w:spacing w:after="40" w:line="220" w:lineRule="auto"/>
            </w:pPr>
            <w:r>
              <w:rPr>
                <w:rFonts w:ascii="Aptos" w:hAnsi="Aptos"/>
                <w:color w:val="202020"/>
                <w:sz w:val="20"/>
                <w:szCs w:val="20"/>
              </w:rPr>
              <w:t>One absolute novelty statement was replaced with wording limited to the literature reviewed in the thesis.</w:t>
            </w:r>
          </w:p>
        </w:tc>
      </w:tr>
      <w:tr w:rsidR="000C4F5E" w14:paraId="66C6E468" w14:textId="77777777">
        <w:tc>
          <w:tcPr>
            <w:tcW w:w="2700" w:type="dxa"/>
            <w:shd w:val="clear" w:color="auto" w:fill="D9EAF7"/>
            <w:tcMar>
              <w:top w:w="80" w:type="dxa"/>
              <w:left w:w="100" w:type="dxa"/>
              <w:bottom w:w="80" w:type="dxa"/>
              <w:right w:w="100" w:type="dxa"/>
            </w:tcMar>
          </w:tcPr>
          <w:p w14:paraId="7D99F115"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15C2A1D3" w14:textId="77777777" w:rsidR="000C4F5E" w:rsidRDefault="00000000">
            <w:pPr>
              <w:spacing w:after="40" w:line="220" w:lineRule="auto"/>
            </w:pPr>
            <w:r>
              <w:rPr>
                <w:rFonts w:ascii="Courier New" w:hAnsi="Courier New"/>
                <w:color w:val="202020"/>
                <w:sz w:val="20"/>
                <w:szCs w:val="20"/>
              </w:rPr>
              <w:t>No prior work presents a unified Blockchain-based framework that handles identity management, registry integrity, QoS legitimacy and service classification together within the SWSC context.</w:t>
            </w:r>
          </w:p>
        </w:tc>
      </w:tr>
      <w:tr w:rsidR="000C4F5E" w14:paraId="16BD08E8" w14:textId="77777777">
        <w:tc>
          <w:tcPr>
            <w:tcW w:w="2700" w:type="dxa"/>
            <w:shd w:val="clear" w:color="auto" w:fill="D9EAF7"/>
            <w:tcMar>
              <w:top w:w="80" w:type="dxa"/>
              <w:left w:w="100" w:type="dxa"/>
              <w:bottom w:w="80" w:type="dxa"/>
              <w:right w:w="100" w:type="dxa"/>
            </w:tcMar>
          </w:tcPr>
          <w:p w14:paraId="773551EE"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539503BB" w14:textId="77777777" w:rsidR="000C4F5E" w:rsidRDefault="00000000">
            <w:pPr>
              <w:spacing w:after="40" w:line="220" w:lineRule="auto"/>
            </w:pPr>
            <w:r>
              <w:rPr>
                <w:rFonts w:ascii="Courier New" w:hAnsi="Courier New"/>
                <w:color w:val="202020"/>
                <w:sz w:val="20"/>
                <w:szCs w:val="20"/>
              </w:rPr>
              <w:t>The reviewed literature did not identify a unified Blockchain-based framework that handles identity management, registry integrity, QoS legitimacy and service classification together within the SWSC context.</w:t>
            </w:r>
          </w:p>
        </w:tc>
      </w:tr>
      <w:tr w:rsidR="000C4F5E" w14:paraId="33FE8E9D" w14:textId="77777777">
        <w:tc>
          <w:tcPr>
            <w:tcW w:w="2700" w:type="dxa"/>
            <w:shd w:val="clear" w:color="auto" w:fill="D9EAF7"/>
            <w:tcMar>
              <w:top w:w="80" w:type="dxa"/>
              <w:left w:w="100" w:type="dxa"/>
              <w:bottom w:w="80" w:type="dxa"/>
              <w:right w:w="100" w:type="dxa"/>
            </w:tcMar>
          </w:tcPr>
          <w:p w14:paraId="6D0B7C4D"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6CAC95DF" w14:textId="77777777" w:rsidR="000C4F5E" w:rsidRDefault="00000000">
            <w:pPr>
              <w:spacing w:after="40" w:line="220" w:lineRule="auto"/>
            </w:pPr>
            <w:r>
              <w:rPr>
                <w:rFonts w:ascii="Aptos" w:hAnsi="Aptos"/>
                <w:color w:val="202020"/>
                <w:sz w:val="20"/>
                <w:szCs w:val="20"/>
              </w:rPr>
              <w:t>The revised wording preserves the stated research gap while avoiding an absolute claim beyond the scope of the reviewed literature.</w:t>
            </w:r>
          </w:p>
        </w:tc>
      </w:tr>
      <w:tr w:rsidR="000C4F5E" w14:paraId="34D6610E" w14:textId="77777777">
        <w:tc>
          <w:tcPr>
            <w:tcW w:w="2700" w:type="dxa"/>
            <w:shd w:val="clear" w:color="auto" w:fill="D9EAF7"/>
            <w:tcMar>
              <w:top w:w="80" w:type="dxa"/>
              <w:left w:w="100" w:type="dxa"/>
              <w:bottom w:w="80" w:type="dxa"/>
              <w:right w:w="100" w:type="dxa"/>
            </w:tcMar>
          </w:tcPr>
          <w:p w14:paraId="47B1E797"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0F0E5B6F" w14:textId="77777777" w:rsidR="000C4F5E" w:rsidRDefault="00000000">
            <w:pPr>
              <w:spacing w:after="40" w:line="220" w:lineRule="auto"/>
            </w:pPr>
            <w:r>
              <w:rPr>
                <w:rFonts w:ascii="Aptos" w:hAnsi="Aptos"/>
                <w:color w:val="202020"/>
                <w:sz w:val="20"/>
                <w:szCs w:val="20"/>
              </w:rPr>
              <w:t>The surrounding Section 2.8 paragraph reviews blockchain approaches across domains and identifies their domain-specific scope before stating the thesis gap.</w:t>
            </w:r>
          </w:p>
        </w:tc>
      </w:tr>
    </w:tbl>
    <w:p w14:paraId="1F56249D" w14:textId="77777777" w:rsidR="000C4F5E" w:rsidRDefault="00000000">
      <w:pPr>
        <w:keepNext/>
        <w:shd w:val="clear" w:color="auto" w:fill="1F4E79"/>
        <w:spacing w:before="180" w:after="60" w:line="220" w:lineRule="auto"/>
        <w:ind w:left="120"/>
      </w:pPr>
      <w:r>
        <w:rPr>
          <w:b/>
          <w:color w:val="FFFFFF"/>
          <w:szCs w:val="24"/>
        </w:rPr>
        <w:t>Review Point 13 - Integrated Case Study</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72A1049C" w14:textId="77777777">
        <w:tc>
          <w:tcPr>
            <w:tcW w:w="2700" w:type="dxa"/>
            <w:shd w:val="clear" w:color="auto" w:fill="D9EAF7"/>
            <w:tcMar>
              <w:top w:w="80" w:type="dxa"/>
              <w:left w:w="100" w:type="dxa"/>
              <w:bottom w:w="80" w:type="dxa"/>
              <w:right w:w="100" w:type="dxa"/>
            </w:tcMar>
          </w:tcPr>
          <w:p w14:paraId="46C75C4C"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692CB177" w14:textId="77777777" w:rsidR="000C4F5E" w:rsidRDefault="00000000">
            <w:pPr>
              <w:spacing w:after="40" w:line="220" w:lineRule="auto"/>
            </w:pPr>
            <w:r>
              <w:rPr>
                <w:rFonts w:ascii="Aptos" w:hAnsi="Aptos"/>
                <w:color w:val="202020"/>
                <w:sz w:val="20"/>
                <w:szCs w:val="20"/>
              </w:rPr>
              <w:t>The reviewer requested a clear experimental environment and adversarial scenarios, separation of prototype/case-study findings from deployment claims, and a clear statement of the single-case-study limitations.</w:t>
            </w:r>
          </w:p>
        </w:tc>
      </w:tr>
      <w:tr w:rsidR="000C4F5E" w14:paraId="6B11EF11" w14:textId="77777777">
        <w:tc>
          <w:tcPr>
            <w:tcW w:w="2700" w:type="dxa"/>
            <w:shd w:val="clear" w:color="auto" w:fill="D9EAF7"/>
            <w:tcMar>
              <w:top w:w="80" w:type="dxa"/>
              <w:left w:w="100" w:type="dxa"/>
              <w:bottom w:w="80" w:type="dxa"/>
              <w:right w:w="100" w:type="dxa"/>
            </w:tcMar>
          </w:tcPr>
          <w:p w14:paraId="263AC178"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371CE88B" w14:textId="77777777" w:rsidR="000C4F5E" w:rsidRDefault="00000000">
            <w:pPr>
              <w:spacing w:after="40" w:line="220" w:lineRule="auto"/>
            </w:pPr>
            <w:r>
              <w:rPr>
                <w:rFonts w:ascii="Aptos" w:hAnsi="Aptos"/>
                <w:color w:val="202020"/>
                <w:sz w:val="20"/>
                <w:szCs w:val="20"/>
              </w:rPr>
              <w:t>Chapter 5, especially Sections 5.1-5.4; Sections 3.1.5 and 6.8.1-6.8.6.</w:t>
            </w:r>
          </w:p>
        </w:tc>
      </w:tr>
      <w:tr w:rsidR="000C4F5E" w14:paraId="46F4B77B" w14:textId="77777777">
        <w:tc>
          <w:tcPr>
            <w:tcW w:w="2700" w:type="dxa"/>
            <w:shd w:val="clear" w:color="auto" w:fill="D9EAF7"/>
            <w:tcMar>
              <w:top w:w="80" w:type="dxa"/>
              <w:left w:w="100" w:type="dxa"/>
              <w:bottom w:w="80" w:type="dxa"/>
              <w:right w:w="100" w:type="dxa"/>
            </w:tcMar>
          </w:tcPr>
          <w:p w14:paraId="2A0D3F76"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59485514" w14:textId="77777777" w:rsidR="000C4F5E" w:rsidRDefault="00000000">
            <w:pPr>
              <w:spacing w:after="40" w:line="220" w:lineRule="auto"/>
            </w:pPr>
            <w:r>
              <w:rPr>
                <w:rFonts w:ascii="Aptos" w:hAnsi="Aptos"/>
                <w:color w:val="202020"/>
                <w:sz w:val="20"/>
                <w:szCs w:val="20"/>
              </w:rPr>
              <w:t>No Change Required / Already Satisfied</w:t>
            </w:r>
          </w:p>
        </w:tc>
      </w:tr>
      <w:tr w:rsidR="000C4F5E" w14:paraId="1F2BFF08" w14:textId="77777777">
        <w:tc>
          <w:tcPr>
            <w:tcW w:w="2700" w:type="dxa"/>
            <w:shd w:val="clear" w:color="auto" w:fill="D9EAF7"/>
            <w:tcMar>
              <w:top w:w="80" w:type="dxa"/>
              <w:left w:w="100" w:type="dxa"/>
              <w:bottom w:w="80" w:type="dxa"/>
              <w:right w:w="100" w:type="dxa"/>
            </w:tcMar>
          </w:tcPr>
          <w:p w14:paraId="352FD402" w14:textId="77777777" w:rsidR="000C4F5E" w:rsidRDefault="00000000">
            <w:pPr>
              <w:spacing w:after="40" w:line="220" w:lineRule="auto"/>
            </w:pPr>
            <w:r>
              <w:rPr>
                <w:rFonts w:ascii="Aptos" w:hAnsi="Aptos"/>
                <w:b/>
                <w:color w:val="1F1F1F"/>
                <w:sz w:val="18"/>
                <w:szCs w:val="18"/>
              </w:rPr>
              <w:lastRenderedPageBreak/>
              <w:t>What Was Changed</w:t>
            </w:r>
          </w:p>
        </w:tc>
        <w:tc>
          <w:tcPr>
            <w:tcW w:w="6900" w:type="dxa"/>
            <w:shd w:val="clear" w:color="auto" w:fill="FFFFFF"/>
            <w:tcMar>
              <w:top w:w="80" w:type="dxa"/>
              <w:left w:w="100" w:type="dxa"/>
              <w:bottom w:w="80" w:type="dxa"/>
              <w:right w:w="100" w:type="dxa"/>
            </w:tcMar>
          </w:tcPr>
          <w:p w14:paraId="06E520E7" w14:textId="77777777" w:rsidR="000C4F5E" w:rsidRDefault="00000000">
            <w:pPr>
              <w:spacing w:after="40" w:line="220" w:lineRule="auto"/>
            </w:pPr>
            <w:r>
              <w:rPr>
                <w:rFonts w:ascii="Aptos" w:hAnsi="Aptos"/>
                <w:color w:val="202020"/>
                <w:sz w:val="20"/>
                <w:szCs w:val="20"/>
              </w:rPr>
              <w:t>No additional case-study scenario, table, or figure was added.</w:t>
            </w:r>
          </w:p>
        </w:tc>
      </w:tr>
      <w:tr w:rsidR="000C4F5E" w14:paraId="511FDF8D" w14:textId="77777777">
        <w:tc>
          <w:tcPr>
            <w:tcW w:w="2700" w:type="dxa"/>
            <w:shd w:val="clear" w:color="auto" w:fill="D9EAF7"/>
            <w:tcMar>
              <w:top w:w="80" w:type="dxa"/>
              <w:left w:w="100" w:type="dxa"/>
              <w:bottom w:w="80" w:type="dxa"/>
              <w:right w:w="100" w:type="dxa"/>
            </w:tcMar>
          </w:tcPr>
          <w:p w14:paraId="75E3A9D3"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39F6EE47" w14:textId="77777777" w:rsidR="000C4F5E" w:rsidRDefault="00000000">
            <w:pPr>
              <w:spacing w:after="40" w:line="220" w:lineRule="auto"/>
            </w:pPr>
            <w:r>
              <w:rPr>
                <w:rFonts w:ascii="Courier New" w:hAnsi="Courier New"/>
                <w:color w:val="202020"/>
                <w:sz w:val="20"/>
                <w:szCs w:val="20"/>
              </w:rPr>
              <w:t>The thesis already identifies a mobile-purchasing case study involving product, payment, and shipment services; documents simulated attacks; and retains a limitations section addressing scalability, platform dependency, single-domain validation, data availability, and adoption.</w:t>
            </w:r>
          </w:p>
        </w:tc>
      </w:tr>
      <w:tr w:rsidR="000C4F5E" w14:paraId="54C5976C" w14:textId="77777777">
        <w:tc>
          <w:tcPr>
            <w:tcW w:w="2700" w:type="dxa"/>
            <w:shd w:val="clear" w:color="auto" w:fill="D9EAF7"/>
            <w:tcMar>
              <w:top w:w="80" w:type="dxa"/>
              <w:left w:w="100" w:type="dxa"/>
              <w:bottom w:w="80" w:type="dxa"/>
              <w:right w:w="100" w:type="dxa"/>
            </w:tcMar>
          </w:tcPr>
          <w:p w14:paraId="4ED0022F"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CF09660" w14:textId="77777777" w:rsidR="000C4F5E" w:rsidRDefault="00000000">
            <w:pPr>
              <w:spacing w:after="40" w:line="220" w:lineRule="auto"/>
            </w:pPr>
            <w:r>
              <w:rPr>
                <w:rFonts w:ascii="Courier New" w:hAnsi="Courier New"/>
                <w:color w:val="202020"/>
                <w:sz w:val="20"/>
                <w:szCs w:val="20"/>
              </w:rPr>
              <w:t>The case-study design and limitations remain unchanged.</w:t>
            </w:r>
          </w:p>
        </w:tc>
      </w:tr>
      <w:tr w:rsidR="000C4F5E" w14:paraId="5F5649AB" w14:textId="77777777">
        <w:tc>
          <w:tcPr>
            <w:tcW w:w="2700" w:type="dxa"/>
            <w:shd w:val="clear" w:color="auto" w:fill="D9EAF7"/>
            <w:tcMar>
              <w:top w:w="80" w:type="dxa"/>
              <w:left w:w="100" w:type="dxa"/>
              <w:bottom w:w="80" w:type="dxa"/>
              <w:right w:w="100" w:type="dxa"/>
            </w:tcMar>
          </w:tcPr>
          <w:p w14:paraId="3B4EED11"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5DE96F0E" w14:textId="77777777" w:rsidR="000C4F5E" w:rsidRDefault="00000000">
            <w:pPr>
              <w:spacing w:after="40" w:line="220" w:lineRule="auto"/>
            </w:pPr>
            <w:r>
              <w:rPr>
                <w:rFonts w:ascii="Aptos" w:hAnsi="Aptos"/>
                <w:color w:val="202020"/>
                <w:sz w:val="20"/>
                <w:szCs w:val="20"/>
              </w:rPr>
              <w:t>The thesis already presents the work as a case study and limits wider interpretation through Chapter 6 limitations and future-work discussion. Adding new attack outcomes or deployment results would require changes to reported experimental evidence.</w:t>
            </w:r>
          </w:p>
        </w:tc>
      </w:tr>
      <w:tr w:rsidR="000C4F5E" w14:paraId="7CBC6B5D" w14:textId="77777777">
        <w:tc>
          <w:tcPr>
            <w:tcW w:w="2700" w:type="dxa"/>
            <w:shd w:val="clear" w:color="auto" w:fill="D9EAF7"/>
            <w:tcMar>
              <w:top w:w="80" w:type="dxa"/>
              <w:left w:w="100" w:type="dxa"/>
              <w:bottom w:w="80" w:type="dxa"/>
              <w:right w:w="100" w:type="dxa"/>
            </w:tcMar>
          </w:tcPr>
          <w:p w14:paraId="0C55204F"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38C51B7D" w14:textId="77777777" w:rsidR="000C4F5E" w:rsidRDefault="00000000">
            <w:pPr>
              <w:spacing w:after="40" w:line="220" w:lineRule="auto"/>
            </w:pPr>
            <w:r>
              <w:rPr>
                <w:rFonts w:ascii="Aptos" w:hAnsi="Aptos"/>
                <w:color w:val="202020"/>
                <w:sz w:val="20"/>
                <w:szCs w:val="20"/>
              </w:rPr>
              <w:t>Sections 5.2.1-5.2.2 document the centralized and proposed-framework attack simulations. Section 6.8 states the practical limitations and future testing directions.</w:t>
            </w:r>
          </w:p>
        </w:tc>
      </w:tr>
    </w:tbl>
    <w:p w14:paraId="636FD0A2" w14:textId="77777777" w:rsidR="000C4F5E" w:rsidRDefault="00000000">
      <w:pPr>
        <w:keepNext/>
        <w:shd w:val="clear" w:color="auto" w:fill="1F4E79"/>
        <w:spacing w:before="180" w:after="60" w:line="220" w:lineRule="auto"/>
        <w:ind w:left="120"/>
      </w:pPr>
      <w:r>
        <w:rPr>
          <w:b/>
          <w:color w:val="FFFFFF"/>
          <w:szCs w:val="24"/>
        </w:rPr>
        <w:t>Review Point 14 - Conclusions</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4E6E3CE4" w14:textId="77777777">
        <w:tc>
          <w:tcPr>
            <w:tcW w:w="2700" w:type="dxa"/>
            <w:shd w:val="clear" w:color="auto" w:fill="D9EAF7"/>
            <w:tcMar>
              <w:top w:w="80" w:type="dxa"/>
              <w:left w:w="100" w:type="dxa"/>
              <w:bottom w:w="80" w:type="dxa"/>
              <w:right w:w="100" w:type="dxa"/>
            </w:tcMar>
          </w:tcPr>
          <w:p w14:paraId="53A3CED0"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4E41D3FC" w14:textId="77777777" w:rsidR="000C4F5E" w:rsidRDefault="00000000">
            <w:pPr>
              <w:spacing w:after="40" w:line="220" w:lineRule="auto"/>
            </w:pPr>
            <w:r>
              <w:rPr>
                <w:rFonts w:ascii="Aptos" w:hAnsi="Aptos"/>
                <w:color w:val="202020"/>
                <w:sz w:val="20"/>
                <w:szCs w:val="20"/>
              </w:rPr>
              <w:t>The reviewer requested that conclusions be aligned with the actual scope of the experiments and avoid unqualified language such as fully achieved, guarantees, or ensures.</w:t>
            </w:r>
          </w:p>
        </w:tc>
      </w:tr>
      <w:tr w:rsidR="000C4F5E" w14:paraId="3B8B9555" w14:textId="77777777">
        <w:tc>
          <w:tcPr>
            <w:tcW w:w="2700" w:type="dxa"/>
            <w:shd w:val="clear" w:color="auto" w:fill="D9EAF7"/>
            <w:tcMar>
              <w:top w:w="80" w:type="dxa"/>
              <w:left w:w="100" w:type="dxa"/>
              <w:bottom w:w="80" w:type="dxa"/>
              <w:right w:w="100" w:type="dxa"/>
            </w:tcMar>
          </w:tcPr>
          <w:p w14:paraId="7622E891"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3440F88A" w14:textId="77777777" w:rsidR="000C4F5E" w:rsidRDefault="00000000">
            <w:pPr>
              <w:spacing w:after="40" w:line="220" w:lineRule="auto"/>
            </w:pPr>
            <w:r>
              <w:rPr>
                <w:rFonts w:ascii="Aptos" w:hAnsi="Aptos"/>
                <w:color w:val="202020"/>
                <w:sz w:val="20"/>
                <w:szCs w:val="20"/>
              </w:rPr>
              <w:t>Section 5.4; Chapter 5 summary; Section 6.4; Sections 6.5-6.6; Chapter 6 summary.</w:t>
            </w:r>
          </w:p>
        </w:tc>
      </w:tr>
      <w:tr w:rsidR="000C4F5E" w14:paraId="46C866BF" w14:textId="77777777">
        <w:tc>
          <w:tcPr>
            <w:tcW w:w="2700" w:type="dxa"/>
            <w:shd w:val="clear" w:color="auto" w:fill="D9EAF7"/>
            <w:tcMar>
              <w:top w:w="80" w:type="dxa"/>
              <w:left w:w="100" w:type="dxa"/>
              <w:bottom w:w="80" w:type="dxa"/>
              <w:right w:w="100" w:type="dxa"/>
            </w:tcMar>
          </w:tcPr>
          <w:p w14:paraId="74ECB77E"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38483FE8" w14:textId="77777777" w:rsidR="000C4F5E" w:rsidRDefault="00000000">
            <w:pPr>
              <w:spacing w:after="40" w:line="220" w:lineRule="auto"/>
            </w:pPr>
            <w:r>
              <w:rPr>
                <w:rFonts w:ascii="Aptos" w:hAnsi="Aptos"/>
                <w:color w:val="202020"/>
                <w:sz w:val="20"/>
                <w:szCs w:val="20"/>
              </w:rPr>
              <w:t>Fixed / Changed</w:t>
            </w:r>
          </w:p>
        </w:tc>
      </w:tr>
      <w:tr w:rsidR="000C4F5E" w14:paraId="3496B1D5" w14:textId="77777777">
        <w:tc>
          <w:tcPr>
            <w:tcW w:w="2700" w:type="dxa"/>
            <w:shd w:val="clear" w:color="auto" w:fill="D9EAF7"/>
            <w:tcMar>
              <w:top w:w="80" w:type="dxa"/>
              <w:left w:w="100" w:type="dxa"/>
              <w:bottom w:w="80" w:type="dxa"/>
              <w:right w:w="100" w:type="dxa"/>
            </w:tcMar>
          </w:tcPr>
          <w:p w14:paraId="111A8176"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40E537B3" w14:textId="77777777" w:rsidR="000C4F5E" w:rsidRDefault="00000000">
            <w:pPr>
              <w:spacing w:after="40" w:line="220" w:lineRule="auto"/>
            </w:pPr>
            <w:r>
              <w:rPr>
                <w:rFonts w:ascii="Aptos" w:hAnsi="Aptos"/>
                <w:color w:val="202020"/>
                <w:sz w:val="20"/>
                <w:szCs w:val="20"/>
              </w:rPr>
              <w:t>The overall assessment, Chapter 5 summary, and Chapter 6 statements were revised to describe evaluated scenarios, assessed components, and thesis responses rather than universal outcomes.</w:t>
            </w:r>
          </w:p>
        </w:tc>
      </w:tr>
      <w:tr w:rsidR="000C4F5E" w14:paraId="0AE39DE8" w14:textId="77777777">
        <w:tc>
          <w:tcPr>
            <w:tcW w:w="2700" w:type="dxa"/>
            <w:shd w:val="clear" w:color="auto" w:fill="D9EAF7"/>
            <w:tcMar>
              <w:top w:w="80" w:type="dxa"/>
              <w:left w:w="100" w:type="dxa"/>
              <w:bottom w:w="80" w:type="dxa"/>
              <w:right w:w="100" w:type="dxa"/>
            </w:tcMar>
          </w:tcPr>
          <w:p w14:paraId="1431101F"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394443A3" w14:textId="77777777" w:rsidR="000C4F5E" w:rsidRDefault="00000000">
            <w:pPr>
              <w:spacing w:after="40" w:line="220" w:lineRule="auto"/>
            </w:pPr>
            <w:r>
              <w:rPr>
                <w:rFonts w:ascii="Courier New" w:hAnsi="Courier New"/>
                <w:color w:val="202020"/>
                <w:sz w:val="20"/>
                <w:szCs w:val="20"/>
              </w:rPr>
              <w:t>Examples included has been fully achieved, This target has been accomplished, This aim guarantees, The validation proved, and The chapter confirms fulfilment of all research objectives and questions.</w:t>
            </w:r>
          </w:p>
        </w:tc>
      </w:tr>
      <w:tr w:rsidR="000C4F5E" w14:paraId="470BA178" w14:textId="77777777">
        <w:tc>
          <w:tcPr>
            <w:tcW w:w="2700" w:type="dxa"/>
            <w:shd w:val="clear" w:color="auto" w:fill="D9EAF7"/>
            <w:tcMar>
              <w:top w:w="80" w:type="dxa"/>
              <w:left w:w="100" w:type="dxa"/>
              <w:bottom w:w="80" w:type="dxa"/>
              <w:right w:w="100" w:type="dxa"/>
            </w:tcMar>
          </w:tcPr>
          <w:p w14:paraId="592D9104"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44212816" w14:textId="77777777" w:rsidR="000C4F5E" w:rsidRDefault="00000000">
            <w:pPr>
              <w:spacing w:after="40" w:line="220" w:lineRule="auto"/>
            </w:pPr>
            <w:r>
              <w:rPr>
                <w:rFonts w:ascii="Courier New" w:hAnsi="Courier New"/>
                <w:color w:val="202020"/>
                <w:sz w:val="20"/>
                <w:szCs w:val="20"/>
              </w:rPr>
              <w:t>The revised text uses under the evaluated simulations, under the evaluated mobile-purchasing scenarios, This target was addressed through, This aim supports, The validation assessed, and The chapter summarizes the thesis responses.</w:t>
            </w:r>
          </w:p>
        </w:tc>
      </w:tr>
      <w:tr w:rsidR="000C4F5E" w14:paraId="7B95574D" w14:textId="77777777">
        <w:tc>
          <w:tcPr>
            <w:tcW w:w="2700" w:type="dxa"/>
            <w:shd w:val="clear" w:color="auto" w:fill="D9EAF7"/>
            <w:tcMar>
              <w:top w:w="80" w:type="dxa"/>
              <w:left w:w="100" w:type="dxa"/>
              <w:bottom w:w="80" w:type="dxa"/>
              <w:right w:w="100" w:type="dxa"/>
            </w:tcMar>
          </w:tcPr>
          <w:p w14:paraId="243E4B64"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04DF0A28" w14:textId="77777777" w:rsidR="000C4F5E" w:rsidRDefault="00000000">
            <w:pPr>
              <w:spacing w:after="40" w:line="220" w:lineRule="auto"/>
            </w:pPr>
            <w:r>
              <w:rPr>
                <w:rFonts w:ascii="Aptos" w:hAnsi="Aptos"/>
                <w:color w:val="202020"/>
                <w:sz w:val="20"/>
                <w:szCs w:val="20"/>
              </w:rPr>
              <w:t>The revised language preserves the reported findings while making the scope of each conclusion consistent with the case-study and experimental conditions described in the thesis.</w:t>
            </w:r>
          </w:p>
        </w:tc>
      </w:tr>
      <w:tr w:rsidR="000C4F5E" w14:paraId="507D388F" w14:textId="77777777">
        <w:tc>
          <w:tcPr>
            <w:tcW w:w="2700" w:type="dxa"/>
            <w:shd w:val="clear" w:color="auto" w:fill="D9EAF7"/>
            <w:tcMar>
              <w:top w:w="80" w:type="dxa"/>
              <w:left w:w="100" w:type="dxa"/>
              <w:bottom w:w="80" w:type="dxa"/>
              <w:right w:w="100" w:type="dxa"/>
            </w:tcMar>
          </w:tcPr>
          <w:p w14:paraId="2B431CB6"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48B12FA2" w14:textId="77777777" w:rsidR="000C4F5E" w:rsidRDefault="00000000">
            <w:pPr>
              <w:spacing w:after="40" w:line="220" w:lineRule="auto"/>
            </w:pPr>
            <w:r>
              <w:rPr>
                <w:rFonts w:ascii="Aptos" w:hAnsi="Aptos"/>
                <w:color w:val="202020"/>
                <w:sz w:val="20"/>
                <w:szCs w:val="20"/>
              </w:rPr>
              <w:t>Section 5.4 now links its finding to evaluated simulations and separately identifies Chapter 4 component results. The Chapter 5 summary identifies the simulated identity, IP, and QoES manipulation attempts. Chapter 6 retains the thesis limitations and future-work discussion.</w:t>
            </w:r>
          </w:p>
        </w:tc>
      </w:tr>
    </w:tbl>
    <w:p w14:paraId="6EEFB690" w14:textId="77777777" w:rsidR="000C4F5E" w:rsidRDefault="00000000">
      <w:pPr>
        <w:keepNext/>
        <w:shd w:val="clear" w:color="auto" w:fill="1F4E79"/>
        <w:spacing w:before="180" w:after="60" w:line="220" w:lineRule="auto"/>
        <w:ind w:left="120"/>
      </w:pPr>
      <w:r>
        <w:rPr>
          <w:b/>
          <w:color w:val="FFFFFF"/>
          <w:szCs w:val="24"/>
        </w:rPr>
        <w:t>Review Point 15 - Types of Performance</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4BCE6843" w14:textId="77777777">
        <w:tc>
          <w:tcPr>
            <w:tcW w:w="2700" w:type="dxa"/>
            <w:shd w:val="clear" w:color="auto" w:fill="D9EAF7"/>
            <w:tcMar>
              <w:top w:w="80" w:type="dxa"/>
              <w:left w:w="100" w:type="dxa"/>
              <w:bottom w:w="80" w:type="dxa"/>
              <w:right w:w="100" w:type="dxa"/>
            </w:tcMar>
          </w:tcPr>
          <w:p w14:paraId="7D3BB2BC"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7644E33C" w14:textId="77777777" w:rsidR="000C4F5E" w:rsidRDefault="00000000">
            <w:pPr>
              <w:spacing w:after="40" w:line="220" w:lineRule="auto"/>
            </w:pPr>
            <w:r>
              <w:rPr>
                <w:rFonts w:ascii="Aptos" w:hAnsi="Aptos"/>
                <w:color w:val="202020"/>
                <w:sz w:val="20"/>
                <w:szCs w:val="20"/>
              </w:rPr>
              <w:t>The reviewer requested separation of classification accuracy/convergence, feature-selection efficiency, service-selection quality, blockchain transaction performance, and end-to-end framework performance.</w:t>
            </w:r>
          </w:p>
        </w:tc>
      </w:tr>
      <w:tr w:rsidR="000C4F5E" w14:paraId="4936AC05" w14:textId="77777777">
        <w:tc>
          <w:tcPr>
            <w:tcW w:w="2700" w:type="dxa"/>
            <w:shd w:val="clear" w:color="auto" w:fill="D9EAF7"/>
            <w:tcMar>
              <w:top w:w="80" w:type="dxa"/>
              <w:left w:w="100" w:type="dxa"/>
              <w:bottom w:w="80" w:type="dxa"/>
              <w:right w:w="100" w:type="dxa"/>
            </w:tcMar>
          </w:tcPr>
          <w:p w14:paraId="4882A8BB"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578FF855" w14:textId="77777777" w:rsidR="000C4F5E" w:rsidRDefault="00000000">
            <w:pPr>
              <w:spacing w:after="40" w:line="220" w:lineRule="auto"/>
            </w:pPr>
            <w:r>
              <w:rPr>
                <w:rFonts w:ascii="Aptos" w:hAnsi="Aptos"/>
                <w:color w:val="202020"/>
                <w:sz w:val="20"/>
                <w:szCs w:val="20"/>
              </w:rPr>
              <w:t>Sections 3.1.7-3.1.8, 4.1, 4.2, 5.4, and 6.8.1-6.8.6.</w:t>
            </w:r>
          </w:p>
        </w:tc>
      </w:tr>
      <w:tr w:rsidR="000C4F5E" w14:paraId="27AB1DE5" w14:textId="77777777">
        <w:tc>
          <w:tcPr>
            <w:tcW w:w="2700" w:type="dxa"/>
            <w:shd w:val="clear" w:color="auto" w:fill="D9EAF7"/>
            <w:tcMar>
              <w:top w:w="80" w:type="dxa"/>
              <w:left w:w="100" w:type="dxa"/>
              <w:bottom w:w="80" w:type="dxa"/>
              <w:right w:w="100" w:type="dxa"/>
            </w:tcMar>
          </w:tcPr>
          <w:p w14:paraId="51721F2C"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2222AF48" w14:textId="77777777" w:rsidR="000C4F5E" w:rsidRDefault="00000000">
            <w:pPr>
              <w:spacing w:after="40" w:line="220" w:lineRule="auto"/>
            </w:pPr>
            <w:r>
              <w:rPr>
                <w:rFonts w:ascii="Aptos" w:hAnsi="Aptos"/>
                <w:color w:val="202020"/>
                <w:sz w:val="20"/>
                <w:szCs w:val="20"/>
              </w:rPr>
              <w:t>Fixed / Changed</w:t>
            </w:r>
          </w:p>
        </w:tc>
      </w:tr>
      <w:tr w:rsidR="000C4F5E" w14:paraId="56CC92A7" w14:textId="77777777">
        <w:tc>
          <w:tcPr>
            <w:tcW w:w="2700" w:type="dxa"/>
            <w:shd w:val="clear" w:color="auto" w:fill="D9EAF7"/>
            <w:tcMar>
              <w:top w:w="80" w:type="dxa"/>
              <w:left w:w="100" w:type="dxa"/>
              <w:bottom w:w="80" w:type="dxa"/>
              <w:right w:w="100" w:type="dxa"/>
            </w:tcMar>
          </w:tcPr>
          <w:p w14:paraId="6AA6B1A1"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17F96CB8" w14:textId="77777777" w:rsidR="000C4F5E" w:rsidRDefault="00000000">
            <w:pPr>
              <w:spacing w:after="40" w:line="220" w:lineRule="auto"/>
            </w:pPr>
            <w:r>
              <w:rPr>
                <w:rFonts w:ascii="Aptos" w:hAnsi="Aptos"/>
                <w:color w:val="202020"/>
                <w:sz w:val="20"/>
                <w:szCs w:val="20"/>
              </w:rPr>
              <w:t xml:space="preserve">Section 5.4 was revised to state that classification, feature-selection, and </w:t>
            </w:r>
            <w:r>
              <w:rPr>
                <w:rFonts w:ascii="Aptos" w:hAnsi="Aptos"/>
                <w:color w:val="202020"/>
                <w:sz w:val="20"/>
                <w:szCs w:val="20"/>
              </w:rPr>
              <w:lastRenderedPageBreak/>
              <w:t>service-selection results are reported separately in Chapter 4.</w:t>
            </w:r>
          </w:p>
        </w:tc>
      </w:tr>
      <w:tr w:rsidR="000C4F5E" w14:paraId="5E8E2368" w14:textId="77777777">
        <w:tc>
          <w:tcPr>
            <w:tcW w:w="2700" w:type="dxa"/>
            <w:shd w:val="clear" w:color="auto" w:fill="D9EAF7"/>
            <w:tcMar>
              <w:top w:w="80" w:type="dxa"/>
              <w:left w:w="100" w:type="dxa"/>
              <w:bottom w:w="80" w:type="dxa"/>
              <w:right w:w="100" w:type="dxa"/>
            </w:tcMar>
          </w:tcPr>
          <w:p w14:paraId="0122F946" w14:textId="77777777" w:rsidR="000C4F5E" w:rsidRDefault="00000000">
            <w:pPr>
              <w:spacing w:after="40" w:line="220" w:lineRule="auto"/>
            </w:pPr>
            <w:r>
              <w:rPr>
                <w:rFonts w:ascii="Aptos" w:hAnsi="Aptos"/>
                <w:b/>
                <w:color w:val="1F1F1F"/>
                <w:sz w:val="18"/>
                <w:szCs w:val="18"/>
              </w:rPr>
              <w:lastRenderedPageBreak/>
              <w:t>Before</w:t>
            </w:r>
          </w:p>
        </w:tc>
        <w:tc>
          <w:tcPr>
            <w:tcW w:w="6900" w:type="dxa"/>
            <w:shd w:val="clear" w:color="auto" w:fill="F7F7F7"/>
            <w:tcMar>
              <w:top w:w="80" w:type="dxa"/>
              <w:left w:w="100" w:type="dxa"/>
              <w:bottom w:w="80" w:type="dxa"/>
              <w:right w:w="100" w:type="dxa"/>
            </w:tcMar>
          </w:tcPr>
          <w:p w14:paraId="35C1956C" w14:textId="77777777" w:rsidR="000C4F5E" w:rsidRDefault="00000000">
            <w:pPr>
              <w:spacing w:after="40" w:line="220" w:lineRule="auto"/>
            </w:pPr>
            <w:r>
              <w:rPr>
                <w:rFonts w:ascii="Courier New" w:hAnsi="Courier New"/>
                <w:color w:val="202020"/>
                <w:sz w:val="20"/>
                <w:szCs w:val="20"/>
              </w:rPr>
              <w:t>The overall assessment joined component findings and framework-level claims in a single performance-enhanced conclusion.</w:t>
            </w:r>
          </w:p>
        </w:tc>
      </w:tr>
      <w:tr w:rsidR="000C4F5E" w14:paraId="14094D33" w14:textId="77777777">
        <w:tc>
          <w:tcPr>
            <w:tcW w:w="2700" w:type="dxa"/>
            <w:shd w:val="clear" w:color="auto" w:fill="D9EAF7"/>
            <w:tcMar>
              <w:top w:w="80" w:type="dxa"/>
              <w:left w:w="100" w:type="dxa"/>
              <w:bottom w:w="80" w:type="dxa"/>
              <w:right w:w="100" w:type="dxa"/>
            </w:tcMar>
          </w:tcPr>
          <w:p w14:paraId="0DF1238D"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76ED98BC" w14:textId="77777777" w:rsidR="000C4F5E" w:rsidRDefault="00000000">
            <w:pPr>
              <w:spacing w:after="40" w:line="220" w:lineRule="auto"/>
            </w:pPr>
            <w:r>
              <w:rPr>
                <w:rFonts w:ascii="Courier New" w:hAnsi="Courier New"/>
                <w:color w:val="202020"/>
                <w:sz w:val="20"/>
                <w:szCs w:val="20"/>
              </w:rPr>
              <w:t>The overall assessment distinguishes the legitimacy outcome of the evaluated simulations from the Chapter 4 component results.</w:t>
            </w:r>
          </w:p>
        </w:tc>
      </w:tr>
      <w:tr w:rsidR="000C4F5E" w14:paraId="64AAC30A" w14:textId="77777777">
        <w:tc>
          <w:tcPr>
            <w:tcW w:w="2700" w:type="dxa"/>
            <w:shd w:val="clear" w:color="auto" w:fill="D9EAF7"/>
            <w:tcMar>
              <w:top w:w="80" w:type="dxa"/>
              <w:left w:w="100" w:type="dxa"/>
              <w:bottom w:w="80" w:type="dxa"/>
              <w:right w:w="100" w:type="dxa"/>
            </w:tcMar>
          </w:tcPr>
          <w:p w14:paraId="43E35C64"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045C5162" w14:textId="77777777" w:rsidR="000C4F5E" w:rsidRDefault="00000000">
            <w:pPr>
              <w:spacing w:after="40" w:line="220" w:lineRule="auto"/>
            </w:pPr>
            <w:r>
              <w:rPr>
                <w:rFonts w:ascii="Aptos" w:hAnsi="Aptos"/>
                <w:color w:val="202020"/>
                <w:sz w:val="20"/>
                <w:szCs w:val="20"/>
              </w:rPr>
              <w:t>The reviewer required the thesis not to turn improvements in individual components into an unqualified whole-framework performance claim.</w:t>
            </w:r>
          </w:p>
        </w:tc>
      </w:tr>
      <w:tr w:rsidR="000C4F5E" w14:paraId="72B068B5" w14:textId="77777777">
        <w:tc>
          <w:tcPr>
            <w:tcW w:w="2700" w:type="dxa"/>
            <w:shd w:val="clear" w:color="auto" w:fill="D9EAF7"/>
            <w:tcMar>
              <w:top w:w="80" w:type="dxa"/>
              <w:left w:w="100" w:type="dxa"/>
              <w:bottom w:w="80" w:type="dxa"/>
              <w:right w:w="100" w:type="dxa"/>
            </w:tcMar>
          </w:tcPr>
          <w:p w14:paraId="06093772"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2AA0B79A" w14:textId="77777777" w:rsidR="000C4F5E" w:rsidRDefault="00000000">
            <w:pPr>
              <w:spacing w:after="40" w:line="220" w:lineRule="auto"/>
            </w:pPr>
            <w:r>
              <w:rPr>
                <w:rFonts w:ascii="Aptos" w:hAnsi="Aptos"/>
                <w:color w:val="202020"/>
                <w:sz w:val="20"/>
                <w:szCs w:val="20"/>
              </w:rPr>
              <w:t>Section 4.1 reports classification and convergence results, Section 4.2 reports feature-selection and service-selection results, Sections 3.1.7-3.1.8 report miner analysis, and Section 6.8 identifies blockchain performance limitations.</w:t>
            </w:r>
          </w:p>
        </w:tc>
      </w:tr>
    </w:tbl>
    <w:p w14:paraId="74ADD8D1" w14:textId="77777777" w:rsidR="000C4F5E" w:rsidRDefault="00000000">
      <w:pPr>
        <w:keepNext/>
        <w:shd w:val="clear" w:color="auto" w:fill="1F4E79"/>
        <w:spacing w:before="180" w:after="60" w:line="220" w:lineRule="auto"/>
        <w:ind w:left="120"/>
      </w:pPr>
      <w:r>
        <w:rPr>
          <w:b/>
          <w:color w:val="FFFFFF"/>
          <w:szCs w:val="24"/>
        </w:rPr>
        <w:t>Review Point 16 - Academic Writing Style</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79CB2C2F" w14:textId="77777777">
        <w:tc>
          <w:tcPr>
            <w:tcW w:w="2700" w:type="dxa"/>
            <w:shd w:val="clear" w:color="auto" w:fill="D9EAF7"/>
            <w:tcMar>
              <w:top w:w="80" w:type="dxa"/>
              <w:left w:w="100" w:type="dxa"/>
              <w:bottom w:w="80" w:type="dxa"/>
              <w:right w:w="100" w:type="dxa"/>
            </w:tcMar>
          </w:tcPr>
          <w:p w14:paraId="4C63CDE0"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2BDDDF45" w14:textId="77777777" w:rsidR="000C4F5E" w:rsidRDefault="00000000">
            <w:pPr>
              <w:spacing w:after="40" w:line="220" w:lineRule="auto"/>
            </w:pPr>
            <w:r>
              <w:rPr>
                <w:rFonts w:ascii="Aptos" w:hAnsi="Aptos"/>
                <w:color w:val="202020"/>
                <w:sz w:val="20"/>
                <w:szCs w:val="20"/>
              </w:rPr>
              <w:t>The reviewer identified conversational headings such as How This Plays Out in Practice and What Enables All of This and requested formal scholarly wording without a general stylistic rewrite.</w:t>
            </w:r>
          </w:p>
        </w:tc>
      </w:tr>
      <w:tr w:rsidR="000C4F5E" w14:paraId="4C391A1E" w14:textId="77777777">
        <w:tc>
          <w:tcPr>
            <w:tcW w:w="2700" w:type="dxa"/>
            <w:shd w:val="clear" w:color="auto" w:fill="D9EAF7"/>
            <w:tcMar>
              <w:top w:w="80" w:type="dxa"/>
              <w:left w:w="100" w:type="dxa"/>
              <w:bottom w:w="80" w:type="dxa"/>
              <w:right w:w="100" w:type="dxa"/>
            </w:tcMar>
          </w:tcPr>
          <w:p w14:paraId="026B0A47"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5F75FB5D" w14:textId="77777777" w:rsidR="000C4F5E" w:rsidRDefault="00000000">
            <w:pPr>
              <w:spacing w:after="40" w:line="220" w:lineRule="auto"/>
            </w:pPr>
            <w:r>
              <w:rPr>
                <w:rFonts w:ascii="Aptos" w:hAnsi="Aptos"/>
                <w:color w:val="202020"/>
                <w:sz w:val="20"/>
                <w:szCs w:val="20"/>
              </w:rPr>
              <w:t>Chapter 2: Sections 2.1.1, 2.3, 2.9.4, and 2.9.6; corresponding Table of Contents entries.</w:t>
            </w:r>
          </w:p>
        </w:tc>
      </w:tr>
      <w:tr w:rsidR="000C4F5E" w14:paraId="42181DCC" w14:textId="77777777">
        <w:tc>
          <w:tcPr>
            <w:tcW w:w="2700" w:type="dxa"/>
            <w:shd w:val="clear" w:color="auto" w:fill="D9EAF7"/>
            <w:tcMar>
              <w:top w:w="80" w:type="dxa"/>
              <w:left w:w="100" w:type="dxa"/>
              <w:bottom w:w="80" w:type="dxa"/>
              <w:right w:w="100" w:type="dxa"/>
            </w:tcMar>
          </w:tcPr>
          <w:p w14:paraId="45ABE0FE"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6DE33FEB" w14:textId="77777777" w:rsidR="000C4F5E" w:rsidRDefault="00000000">
            <w:pPr>
              <w:spacing w:after="40" w:line="220" w:lineRule="auto"/>
            </w:pPr>
            <w:r>
              <w:rPr>
                <w:rFonts w:ascii="Aptos" w:hAnsi="Aptos"/>
                <w:color w:val="202020"/>
                <w:sz w:val="20"/>
                <w:szCs w:val="20"/>
              </w:rPr>
              <w:t>Fixed / Changed</w:t>
            </w:r>
          </w:p>
        </w:tc>
      </w:tr>
      <w:tr w:rsidR="000C4F5E" w14:paraId="4E631131" w14:textId="77777777">
        <w:tc>
          <w:tcPr>
            <w:tcW w:w="2700" w:type="dxa"/>
            <w:shd w:val="clear" w:color="auto" w:fill="D9EAF7"/>
            <w:tcMar>
              <w:top w:w="80" w:type="dxa"/>
              <w:left w:w="100" w:type="dxa"/>
              <w:bottom w:w="80" w:type="dxa"/>
              <w:right w:w="100" w:type="dxa"/>
            </w:tcMar>
          </w:tcPr>
          <w:p w14:paraId="323BE584"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3EE0BA97" w14:textId="77777777" w:rsidR="000C4F5E" w:rsidRDefault="00000000">
            <w:pPr>
              <w:spacing w:after="40" w:line="220" w:lineRule="auto"/>
            </w:pPr>
            <w:r>
              <w:rPr>
                <w:rFonts w:ascii="Aptos" w:hAnsi="Aptos"/>
                <w:color w:val="202020"/>
                <w:sz w:val="20"/>
                <w:szCs w:val="20"/>
              </w:rPr>
              <w:t>Four informal headings and their corresponding static Table of Contents entries were formalized.</w:t>
            </w:r>
          </w:p>
        </w:tc>
      </w:tr>
      <w:tr w:rsidR="000C4F5E" w14:paraId="54A0573E" w14:textId="77777777">
        <w:tc>
          <w:tcPr>
            <w:tcW w:w="2700" w:type="dxa"/>
            <w:shd w:val="clear" w:color="auto" w:fill="D9EAF7"/>
            <w:tcMar>
              <w:top w:w="80" w:type="dxa"/>
              <w:left w:w="100" w:type="dxa"/>
              <w:bottom w:w="80" w:type="dxa"/>
              <w:right w:w="100" w:type="dxa"/>
            </w:tcMar>
          </w:tcPr>
          <w:p w14:paraId="49975293"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4D47C012" w14:textId="77777777" w:rsidR="000C4F5E" w:rsidRDefault="00000000">
            <w:pPr>
              <w:spacing w:after="40" w:line="220" w:lineRule="auto"/>
            </w:pPr>
            <w:r>
              <w:rPr>
                <w:rFonts w:ascii="Courier New" w:hAnsi="Courier New"/>
                <w:color w:val="202020"/>
                <w:sz w:val="20"/>
                <w:szCs w:val="20"/>
              </w:rPr>
              <w:t>How This Plays Out in Practice; What Enables All of This; How the Optimization Progresses; Why This Approach Works.</w:t>
            </w:r>
          </w:p>
        </w:tc>
      </w:tr>
      <w:tr w:rsidR="000C4F5E" w14:paraId="1726EEE6" w14:textId="77777777">
        <w:tc>
          <w:tcPr>
            <w:tcW w:w="2700" w:type="dxa"/>
            <w:shd w:val="clear" w:color="auto" w:fill="D9EAF7"/>
            <w:tcMar>
              <w:top w:w="80" w:type="dxa"/>
              <w:left w:w="100" w:type="dxa"/>
              <w:bottom w:w="80" w:type="dxa"/>
              <w:right w:w="100" w:type="dxa"/>
            </w:tcMar>
          </w:tcPr>
          <w:p w14:paraId="263FC429"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77551C2D" w14:textId="77777777" w:rsidR="000C4F5E" w:rsidRDefault="00000000">
            <w:pPr>
              <w:spacing w:after="40" w:line="220" w:lineRule="auto"/>
            </w:pPr>
            <w:r>
              <w:rPr>
                <w:rFonts w:ascii="Courier New" w:hAnsi="Courier New"/>
                <w:color w:val="202020"/>
                <w:sz w:val="20"/>
                <w:szCs w:val="20"/>
              </w:rPr>
              <w:t>Illustrative Web Service Interaction; Semantic Support for Web Service Composition; Optimization Process; Rationale for the Optimization Approach.</w:t>
            </w:r>
          </w:p>
        </w:tc>
      </w:tr>
      <w:tr w:rsidR="000C4F5E" w14:paraId="4CF58E01" w14:textId="77777777">
        <w:tc>
          <w:tcPr>
            <w:tcW w:w="2700" w:type="dxa"/>
            <w:shd w:val="clear" w:color="auto" w:fill="D9EAF7"/>
            <w:tcMar>
              <w:top w:w="80" w:type="dxa"/>
              <w:left w:w="100" w:type="dxa"/>
              <w:bottom w:w="80" w:type="dxa"/>
              <w:right w:w="100" w:type="dxa"/>
            </w:tcMar>
          </w:tcPr>
          <w:p w14:paraId="4BA7AD78"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7AB6AC1B" w14:textId="77777777" w:rsidR="000C4F5E" w:rsidRDefault="00000000">
            <w:pPr>
              <w:spacing w:after="40" w:line="220" w:lineRule="auto"/>
            </w:pPr>
            <w:r>
              <w:rPr>
                <w:rFonts w:ascii="Aptos" w:hAnsi="Aptos"/>
                <w:color w:val="202020"/>
                <w:sz w:val="20"/>
                <w:szCs w:val="20"/>
              </w:rPr>
              <w:t>These headings directly matched the reviewer examples of conversational wording. No surrounding paragraph was rewritten solely for style.</w:t>
            </w:r>
          </w:p>
        </w:tc>
      </w:tr>
      <w:tr w:rsidR="000C4F5E" w14:paraId="5DD3B5C5" w14:textId="77777777">
        <w:tc>
          <w:tcPr>
            <w:tcW w:w="2700" w:type="dxa"/>
            <w:shd w:val="clear" w:color="auto" w:fill="D9EAF7"/>
            <w:tcMar>
              <w:top w:w="80" w:type="dxa"/>
              <w:left w:w="100" w:type="dxa"/>
              <w:bottom w:w="80" w:type="dxa"/>
              <w:right w:w="100" w:type="dxa"/>
            </w:tcMar>
          </w:tcPr>
          <w:p w14:paraId="0355A27F"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0747855B" w14:textId="77777777" w:rsidR="000C4F5E" w:rsidRDefault="00000000">
            <w:pPr>
              <w:spacing w:after="40" w:line="220" w:lineRule="auto"/>
            </w:pPr>
            <w:r>
              <w:rPr>
                <w:rFonts w:ascii="Aptos" w:hAnsi="Aptos"/>
                <w:color w:val="202020"/>
                <w:sz w:val="20"/>
                <w:szCs w:val="20"/>
              </w:rPr>
              <w:t>The revised Table of Contents and Chapter 2 headings now use the same formal labels. Section order, citations, figures, and tables were retained.</w:t>
            </w:r>
          </w:p>
        </w:tc>
      </w:tr>
    </w:tbl>
    <w:p w14:paraId="1DF12BDF" w14:textId="77777777" w:rsidR="000C4F5E" w:rsidRDefault="00000000">
      <w:pPr>
        <w:keepNext/>
        <w:shd w:val="clear" w:color="auto" w:fill="1F4E79"/>
        <w:spacing w:before="180" w:after="60" w:line="220" w:lineRule="auto"/>
        <w:ind w:left="120"/>
      </w:pPr>
      <w:r>
        <w:rPr>
          <w:b/>
          <w:color w:val="FFFFFF"/>
          <w:szCs w:val="24"/>
        </w:rPr>
        <w:t>Review Point 17 - Chapter 2 Organization</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5B880CA7" w14:textId="77777777">
        <w:tc>
          <w:tcPr>
            <w:tcW w:w="2700" w:type="dxa"/>
            <w:shd w:val="clear" w:color="auto" w:fill="D9EAF7"/>
            <w:tcMar>
              <w:top w:w="80" w:type="dxa"/>
              <w:left w:w="100" w:type="dxa"/>
              <w:bottom w:w="80" w:type="dxa"/>
              <w:right w:w="100" w:type="dxa"/>
            </w:tcMar>
          </w:tcPr>
          <w:p w14:paraId="482CD3AB"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7AC10FCC" w14:textId="77777777" w:rsidR="000C4F5E" w:rsidRDefault="00000000">
            <w:pPr>
              <w:spacing w:after="40" w:line="220" w:lineRule="auto"/>
            </w:pPr>
            <w:r>
              <w:rPr>
                <w:rFonts w:ascii="Aptos" w:hAnsi="Aptos"/>
                <w:color w:val="202020"/>
                <w:sz w:val="20"/>
                <w:szCs w:val="20"/>
              </w:rPr>
              <w:t>The reviewer provided an example conventional Chapter 2 structure. The audit assessed whether a full restructuring was necessary or whether targeted heading changes would address the identified presentation concern.</w:t>
            </w:r>
          </w:p>
        </w:tc>
      </w:tr>
      <w:tr w:rsidR="000C4F5E" w14:paraId="3668F3ED" w14:textId="77777777">
        <w:tc>
          <w:tcPr>
            <w:tcW w:w="2700" w:type="dxa"/>
            <w:shd w:val="clear" w:color="auto" w:fill="D9EAF7"/>
            <w:tcMar>
              <w:top w:w="80" w:type="dxa"/>
              <w:left w:w="100" w:type="dxa"/>
              <w:bottom w:w="80" w:type="dxa"/>
              <w:right w:w="100" w:type="dxa"/>
            </w:tcMar>
          </w:tcPr>
          <w:p w14:paraId="0D5A5324"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5D3431D7" w14:textId="77777777" w:rsidR="000C4F5E" w:rsidRDefault="00000000">
            <w:pPr>
              <w:spacing w:after="40" w:line="220" w:lineRule="auto"/>
            </w:pPr>
            <w:r>
              <w:rPr>
                <w:rFonts w:ascii="Aptos" w:hAnsi="Aptos"/>
                <w:color w:val="202020"/>
                <w:sz w:val="20"/>
                <w:szCs w:val="20"/>
              </w:rPr>
              <w:t>Chapter 2; static Table of Contents entries for Sections 2.1.1, 2.3, 2.9.4, and 2.9.6.</w:t>
            </w:r>
          </w:p>
        </w:tc>
      </w:tr>
      <w:tr w:rsidR="000C4F5E" w14:paraId="09545F2E" w14:textId="77777777">
        <w:tc>
          <w:tcPr>
            <w:tcW w:w="2700" w:type="dxa"/>
            <w:shd w:val="clear" w:color="auto" w:fill="D9EAF7"/>
            <w:tcMar>
              <w:top w:w="80" w:type="dxa"/>
              <w:left w:w="100" w:type="dxa"/>
              <w:bottom w:w="80" w:type="dxa"/>
              <w:right w:w="100" w:type="dxa"/>
            </w:tcMar>
          </w:tcPr>
          <w:p w14:paraId="7362975F"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28561445" w14:textId="77777777" w:rsidR="000C4F5E" w:rsidRDefault="00000000">
            <w:pPr>
              <w:spacing w:after="40" w:line="220" w:lineRule="auto"/>
            </w:pPr>
            <w:r>
              <w:rPr>
                <w:rFonts w:ascii="Aptos" w:hAnsi="Aptos"/>
                <w:color w:val="202020"/>
                <w:sz w:val="20"/>
                <w:szCs w:val="20"/>
              </w:rPr>
              <w:t>Fixed / Changed</w:t>
            </w:r>
          </w:p>
        </w:tc>
      </w:tr>
      <w:tr w:rsidR="000C4F5E" w14:paraId="7EEDE953" w14:textId="77777777">
        <w:tc>
          <w:tcPr>
            <w:tcW w:w="2700" w:type="dxa"/>
            <w:shd w:val="clear" w:color="auto" w:fill="D9EAF7"/>
            <w:tcMar>
              <w:top w:w="80" w:type="dxa"/>
              <w:left w:w="100" w:type="dxa"/>
              <w:bottom w:w="80" w:type="dxa"/>
              <w:right w:w="100" w:type="dxa"/>
            </w:tcMar>
          </w:tcPr>
          <w:p w14:paraId="04D41F76"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58C7AABD" w14:textId="77777777" w:rsidR="000C4F5E" w:rsidRDefault="00000000">
            <w:pPr>
              <w:spacing w:after="40" w:line="220" w:lineRule="auto"/>
            </w:pPr>
            <w:r>
              <w:rPr>
                <w:rFonts w:ascii="Aptos" w:hAnsi="Aptos"/>
                <w:color w:val="202020"/>
                <w:sz w:val="20"/>
                <w:szCs w:val="20"/>
              </w:rPr>
              <w:t>Only the four Chapter 2 headings recorded under Point 16 were changed. No chapter section was moved, merged, deleted, or renamed beyond those headings.</w:t>
            </w:r>
          </w:p>
        </w:tc>
      </w:tr>
      <w:tr w:rsidR="000C4F5E" w14:paraId="631825FA" w14:textId="77777777">
        <w:tc>
          <w:tcPr>
            <w:tcW w:w="2700" w:type="dxa"/>
            <w:shd w:val="clear" w:color="auto" w:fill="D9EAF7"/>
            <w:tcMar>
              <w:top w:w="80" w:type="dxa"/>
              <w:left w:w="100" w:type="dxa"/>
              <w:bottom w:w="80" w:type="dxa"/>
              <w:right w:w="100" w:type="dxa"/>
            </w:tcMar>
          </w:tcPr>
          <w:p w14:paraId="081D1F19"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603EC4FE" w14:textId="77777777" w:rsidR="000C4F5E" w:rsidRDefault="00000000">
            <w:pPr>
              <w:spacing w:after="40" w:line="220" w:lineRule="auto"/>
            </w:pPr>
            <w:r>
              <w:rPr>
                <w:rFonts w:ascii="Courier New" w:hAnsi="Courier New"/>
                <w:color w:val="202020"/>
                <w:sz w:val="20"/>
                <w:szCs w:val="20"/>
              </w:rPr>
              <w:t>The Chapter 2 structure contained four conversational subheadings within the existing literature-review sequence.</w:t>
            </w:r>
          </w:p>
        </w:tc>
      </w:tr>
      <w:tr w:rsidR="000C4F5E" w14:paraId="25605F75" w14:textId="77777777">
        <w:tc>
          <w:tcPr>
            <w:tcW w:w="2700" w:type="dxa"/>
            <w:shd w:val="clear" w:color="auto" w:fill="D9EAF7"/>
            <w:tcMar>
              <w:top w:w="80" w:type="dxa"/>
              <w:left w:w="100" w:type="dxa"/>
              <w:bottom w:w="80" w:type="dxa"/>
              <w:right w:w="100" w:type="dxa"/>
            </w:tcMar>
          </w:tcPr>
          <w:p w14:paraId="3075E2A1"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3584092A" w14:textId="77777777" w:rsidR="000C4F5E" w:rsidRDefault="00000000">
            <w:pPr>
              <w:spacing w:after="40" w:line="220" w:lineRule="auto"/>
            </w:pPr>
            <w:r>
              <w:rPr>
                <w:rFonts w:ascii="Courier New" w:hAnsi="Courier New"/>
                <w:color w:val="202020"/>
                <w:sz w:val="20"/>
                <w:szCs w:val="20"/>
              </w:rPr>
              <w:t xml:space="preserve">The same sequence remains, with formal heading labels </w:t>
            </w:r>
            <w:r>
              <w:rPr>
                <w:rFonts w:ascii="Courier New" w:hAnsi="Courier New"/>
                <w:color w:val="202020"/>
                <w:sz w:val="20"/>
                <w:szCs w:val="20"/>
              </w:rPr>
              <w:lastRenderedPageBreak/>
              <w:t>that better identify each subsection's academic purpose.</w:t>
            </w:r>
          </w:p>
        </w:tc>
      </w:tr>
      <w:tr w:rsidR="000C4F5E" w14:paraId="2E39595F" w14:textId="77777777">
        <w:tc>
          <w:tcPr>
            <w:tcW w:w="2700" w:type="dxa"/>
            <w:shd w:val="clear" w:color="auto" w:fill="D9EAF7"/>
            <w:tcMar>
              <w:top w:w="80" w:type="dxa"/>
              <w:left w:w="100" w:type="dxa"/>
              <w:bottom w:w="80" w:type="dxa"/>
              <w:right w:w="100" w:type="dxa"/>
            </w:tcMar>
          </w:tcPr>
          <w:p w14:paraId="7D3AE51D" w14:textId="77777777" w:rsidR="000C4F5E" w:rsidRDefault="00000000">
            <w:pPr>
              <w:spacing w:after="40" w:line="220" w:lineRule="auto"/>
            </w:pPr>
            <w:r>
              <w:rPr>
                <w:rFonts w:ascii="Aptos" w:hAnsi="Aptos"/>
                <w:b/>
                <w:color w:val="1F1F1F"/>
                <w:sz w:val="18"/>
                <w:szCs w:val="18"/>
              </w:rPr>
              <w:lastRenderedPageBreak/>
              <w:t>Why It Was Changed</w:t>
            </w:r>
          </w:p>
        </w:tc>
        <w:tc>
          <w:tcPr>
            <w:tcW w:w="6900" w:type="dxa"/>
            <w:shd w:val="clear" w:color="auto" w:fill="FFFFFF"/>
            <w:tcMar>
              <w:top w:w="80" w:type="dxa"/>
              <w:left w:w="100" w:type="dxa"/>
              <w:bottom w:w="80" w:type="dxa"/>
              <w:right w:w="100" w:type="dxa"/>
            </w:tcMar>
          </w:tcPr>
          <w:p w14:paraId="57749307" w14:textId="77777777" w:rsidR="000C4F5E" w:rsidRDefault="00000000">
            <w:pPr>
              <w:spacing w:after="40" w:line="220" w:lineRule="auto"/>
            </w:pPr>
            <w:r>
              <w:rPr>
                <w:rFonts w:ascii="Aptos" w:hAnsi="Aptos"/>
                <w:color w:val="202020"/>
                <w:sz w:val="20"/>
                <w:szCs w:val="20"/>
              </w:rPr>
              <w:t>The revision improves presentation while preserving the existing citations, research logic, cross-references, figures, tables, and contribution mapping.</w:t>
            </w:r>
          </w:p>
        </w:tc>
      </w:tr>
      <w:tr w:rsidR="000C4F5E" w14:paraId="71386EF4" w14:textId="77777777">
        <w:tc>
          <w:tcPr>
            <w:tcW w:w="2700" w:type="dxa"/>
            <w:shd w:val="clear" w:color="auto" w:fill="D9EAF7"/>
            <w:tcMar>
              <w:top w:w="80" w:type="dxa"/>
              <w:left w:w="100" w:type="dxa"/>
              <w:bottom w:w="80" w:type="dxa"/>
              <w:right w:w="100" w:type="dxa"/>
            </w:tcMar>
          </w:tcPr>
          <w:p w14:paraId="69266594"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0113D754" w14:textId="77777777" w:rsidR="000C4F5E" w:rsidRDefault="00000000">
            <w:pPr>
              <w:spacing w:after="40" w:line="220" w:lineRule="auto"/>
            </w:pPr>
            <w:r>
              <w:rPr>
                <w:rFonts w:ascii="Aptos" w:hAnsi="Aptos"/>
                <w:color w:val="202020"/>
                <w:sz w:val="20"/>
                <w:szCs w:val="20"/>
              </w:rPr>
              <w:t>The revised Table of Contents still lists the same Chapter 2 sequence and page locations. Table 2.5 and the Chapter 2 synthesis remain in their original locations.</w:t>
            </w:r>
          </w:p>
        </w:tc>
      </w:tr>
    </w:tbl>
    <w:p w14:paraId="1D0584C0" w14:textId="77777777" w:rsidR="000C4F5E" w:rsidRDefault="00000000">
      <w:pPr>
        <w:keepNext/>
        <w:shd w:val="clear" w:color="auto" w:fill="1F4E79"/>
        <w:spacing w:before="180" w:after="60" w:line="220" w:lineRule="auto"/>
        <w:ind w:left="120"/>
      </w:pPr>
      <w:r>
        <w:rPr>
          <w:b/>
          <w:color w:val="FFFFFF"/>
          <w:szCs w:val="24"/>
        </w:rPr>
        <w:t>Review Point 18 - Thesis Title and Scope Alignment</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0866216B" w14:textId="77777777">
        <w:tc>
          <w:tcPr>
            <w:tcW w:w="2700" w:type="dxa"/>
            <w:shd w:val="clear" w:color="auto" w:fill="D9EAF7"/>
            <w:tcMar>
              <w:top w:w="80" w:type="dxa"/>
              <w:left w:w="100" w:type="dxa"/>
              <w:bottom w:w="80" w:type="dxa"/>
              <w:right w:w="100" w:type="dxa"/>
            </w:tcMar>
          </w:tcPr>
          <w:p w14:paraId="77C26D39"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78E51BBD" w14:textId="77777777" w:rsidR="000C4F5E" w:rsidRDefault="00000000">
            <w:pPr>
              <w:spacing w:after="40" w:line="220" w:lineRule="auto"/>
            </w:pPr>
            <w:r>
              <w:rPr>
                <w:rFonts w:ascii="Aptos" w:hAnsi="Aptos"/>
                <w:color w:val="202020"/>
                <w:sz w:val="20"/>
                <w:szCs w:val="20"/>
              </w:rPr>
              <w:t>The reviewer requested that the scholar discuss whether a more precise title would better reflect the blockchain-enabled trust focus of the thesis.</w:t>
            </w:r>
          </w:p>
        </w:tc>
      </w:tr>
      <w:tr w:rsidR="000C4F5E" w14:paraId="6A441597" w14:textId="77777777">
        <w:tc>
          <w:tcPr>
            <w:tcW w:w="2700" w:type="dxa"/>
            <w:shd w:val="clear" w:color="auto" w:fill="D9EAF7"/>
            <w:tcMar>
              <w:top w:w="80" w:type="dxa"/>
              <w:left w:w="100" w:type="dxa"/>
              <w:bottom w:w="80" w:type="dxa"/>
              <w:right w:w="100" w:type="dxa"/>
            </w:tcMar>
          </w:tcPr>
          <w:p w14:paraId="511CADCF"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5444B0EB" w14:textId="77777777" w:rsidR="000C4F5E" w:rsidRDefault="00000000">
            <w:pPr>
              <w:spacing w:after="40" w:line="220" w:lineRule="auto"/>
            </w:pPr>
            <w:r>
              <w:rPr>
                <w:rFonts w:ascii="Aptos" w:hAnsi="Aptos"/>
                <w:color w:val="202020"/>
                <w:sz w:val="20"/>
                <w:szCs w:val="20"/>
              </w:rPr>
              <w:t>Thesis title page and the reviewer request.</w:t>
            </w:r>
          </w:p>
        </w:tc>
      </w:tr>
      <w:tr w:rsidR="000C4F5E" w14:paraId="130AA8CF" w14:textId="77777777">
        <w:tc>
          <w:tcPr>
            <w:tcW w:w="2700" w:type="dxa"/>
            <w:shd w:val="clear" w:color="auto" w:fill="D9EAF7"/>
            <w:tcMar>
              <w:top w:w="80" w:type="dxa"/>
              <w:left w:w="100" w:type="dxa"/>
              <w:bottom w:w="80" w:type="dxa"/>
              <w:right w:w="100" w:type="dxa"/>
            </w:tcMar>
          </w:tcPr>
          <w:p w14:paraId="50FD231D"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1A38E089" w14:textId="77777777" w:rsidR="000C4F5E" w:rsidRDefault="00000000">
            <w:pPr>
              <w:spacing w:after="40" w:line="220" w:lineRule="auto"/>
            </w:pPr>
            <w:r>
              <w:rPr>
                <w:rFonts w:ascii="Aptos" w:hAnsi="Aptos"/>
                <w:color w:val="202020"/>
                <w:sz w:val="20"/>
                <w:szCs w:val="20"/>
              </w:rPr>
              <w:t>No Change Required / Already Satisfied</w:t>
            </w:r>
          </w:p>
        </w:tc>
      </w:tr>
      <w:tr w:rsidR="000C4F5E" w14:paraId="3C8D3088" w14:textId="77777777">
        <w:tc>
          <w:tcPr>
            <w:tcW w:w="2700" w:type="dxa"/>
            <w:shd w:val="clear" w:color="auto" w:fill="D9EAF7"/>
            <w:tcMar>
              <w:top w:w="80" w:type="dxa"/>
              <w:left w:w="100" w:type="dxa"/>
              <w:bottom w:w="80" w:type="dxa"/>
              <w:right w:w="100" w:type="dxa"/>
            </w:tcMar>
          </w:tcPr>
          <w:p w14:paraId="1AFADA27"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248FD28D" w14:textId="77777777" w:rsidR="000C4F5E" w:rsidRDefault="00000000">
            <w:pPr>
              <w:spacing w:after="40" w:line="220" w:lineRule="auto"/>
            </w:pPr>
            <w:r>
              <w:rPr>
                <w:rFonts w:ascii="Aptos" w:hAnsi="Aptos"/>
                <w:color w:val="202020"/>
                <w:sz w:val="20"/>
                <w:szCs w:val="20"/>
              </w:rPr>
              <w:t>The official thesis title was not changed.</w:t>
            </w:r>
          </w:p>
        </w:tc>
      </w:tr>
      <w:tr w:rsidR="000C4F5E" w14:paraId="07663D5C" w14:textId="77777777">
        <w:tc>
          <w:tcPr>
            <w:tcW w:w="2700" w:type="dxa"/>
            <w:shd w:val="clear" w:color="auto" w:fill="D9EAF7"/>
            <w:tcMar>
              <w:top w:w="80" w:type="dxa"/>
              <w:left w:w="100" w:type="dxa"/>
              <w:bottom w:w="80" w:type="dxa"/>
              <w:right w:w="100" w:type="dxa"/>
            </w:tcMar>
          </w:tcPr>
          <w:p w14:paraId="0F8BABEC"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7C4F4064" w14:textId="77777777" w:rsidR="000C4F5E" w:rsidRDefault="00000000">
            <w:pPr>
              <w:spacing w:after="40" w:line="220" w:lineRule="auto"/>
            </w:pPr>
            <w:r>
              <w:rPr>
                <w:rFonts w:ascii="Courier New" w:hAnsi="Courier New"/>
                <w:color w:val="202020"/>
                <w:sz w:val="20"/>
                <w:szCs w:val="20"/>
              </w:rPr>
              <w:t>The existing official title was retained.</w:t>
            </w:r>
          </w:p>
        </w:tc>
      </w:tr>
      <w:tr w:rsidR="000C4F5E" w14:paraId="42D61C7D" w14:textId="77777777">
        <w:tc>
          <w:tcPr>
            <w:tcW w:w="2700" w:type="dxa"/>
            <w:shd w:val="clear" w:color="auto" w:fill="D9EAF7"/>
            <w:tcMar>
              <w:top w:w="80" w:type="dxa"/>
              <w:left w:w="100" w:type="dxa"/>
              <w:bottom w:w="80" w:type="dxa"/>
              <w:right w:w="100" w:type="dxa"/>
            </w:tcMar>
          </w:tcPr>
          <w:p w14:paraId="784C9DA7"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2E490874" w14:textId="77777777" w:rsidR="000C4F5E" w:rsidRDefault="00000000">
            <w:pPr>
              <w:spacing w:after="40" w:line="220" w:lineRule="auto"/>
            </w:pPr>
            <w:r>
              <w:rPr>
                <w:rFonts w:ascii="Courier New" w:hAnsi="Courier New"/>
                <w:color w:val="202020"/>
                <w:sz w:val="20"/>
                <w:szCs w:val="20"/>
              </w:rPr>
              <w:t>The existing official title remains unchanged.</w:t>
            </w:r>
          </w:p>
        </w:tc>
      </w:tr>
      <w:tr w:rsidR="000C4F5E" w14:paraId="1289B33B" w14:textId="77777777">
        <w:tc>
          <w:tcPr>
            <w:tcW w:w="2700" w:type="dxa"/>
            <w:shd w:val="clear" w:color="auto" w:fill="D9EAF7"/>
            <w:tcMar>
              <w:top w:w="80" w:type="dxa"/>
              <w:left w:w="100" w:type="dxa"/>
              <w:bottom w:w="80" w:type="dxa"/>
              <w:right w:w="100" w:type="dxa"/>
            </w:tcMar>
          </w:tcPr>
          <w:p w14:paraId="2B0FB2CA" w14:textId="77777777" w:rsidR="000C4F5E" w:rsidRDefault="00000000">
            <w:pPr>
              <w:spacing w:after="40" w:line="220" w:lineRule="auto"/>
            </w:pPr>
            <w:r>
              <w:rPr>
                <w:rFonts w:ascii="Aptos" w:hAnsi="Aptos"/>
                <w:b/>
                <w:color w:val="1F1F1F"/>
                <w:sz w:val="18"/>
                <w:szCs w:val="18"/>
              </w:rPr>
              <w:t>Why It Was Left Unchanged</w:t>
            </w:r>
          </w:p>
        </w:tc>
        <w:tc>
          <w:tcPr>
            <w:tcW w:w="6900" w:type="dxa"/>
            <w:shd w:val="clear" w:color="auto" w:fill="FFFFFF"/>
            <w:tcMar>
              <w:top w:w="80" w:type="dxa"/>
              <w:left w:w="100" w:type="dxa"/>
              <w:bottom w:w="80" w:type="dxa"/>
              <w:right w:w="100" w:type="dxa"/>
            </w:tcMar>
          </w:tcPr>
          <w:p w14:paraId="144ABEE2" w14:textId="77777777" w:rsidR="000C4F5E" w:rsidRDefault="00000000">
            <w:pPr>
              <w:spacing w:after="40" w:line="220" w:lineRule="auto"/>
            </w:pPr>
            <w:r>
              <w:rPr>
                <w:rFonts w:ascii="Aptos" w:hAnsi="Aptos"/>
                <w:color w:val="202020"/>
                <w:sz w:val="20"/>
                <w:szCs w:val="20"/>
              </w:rPr>
              <w:t>The review wording requests discussion of title precision rather than a mandatory replacement. The audit therefore preserves the official title and does not introduce an alternative title.</w:t>
            </w:r>
          </w:p>
        </w:tc>
      </w:tr>
      <w:tr w:rsidR="000C4F5E" w14:paraId="51446C50" w14:textId="77777777">
        <w:tc>
          <w:tcPr>
            <w:tcW w:w="2700" w:type="dxa"/>
            <w:shd w:val="clear" w:color="auto" w:fill="D9EAF7"/>
            <w:tcMar>
              <w:top w:w="80" w:type="dxa"/>
              <w:left w:w="100" w:type="dxa"/>
              <w:bottom w:w="80" w:type="dxa"/>
              <w:right w:w="100" w:type="dxa"/>
            </w:tcMar>
          </w:tcPr>
          <w:p w14:paraId="47AD8AB7"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67AF75BB" w14:textId="77777777" w:rsidR="000C4F5E" w:rsidRDefault="00000000">
            <w:pPr>
              <w:spacing w:after="40" w:line="220" w:lineRule="auto"/>
            </w:pPr>
            <w:r>
              <w:rPr>
                <w:rFonts w:ascii="Aptos" w:hAnsi="Aptos"/>
                <w:color w:val="202020"/>
                <w:sz w:val="20"/>
                <w:szCs w:val="20"/>
              </w:rPr>
              <w:t>Review Point 18 explicitly uses the wording should discuss whether a more precise title is appropriate. No revised title is supplied in the authoritative review document.</w:t>
            </w:r>
          </w:p>
        </w:tc>
      </w:tr>
    </w:tbl>
    <w:p w14:paraId="48FC09AF" w14:textId="77777777" w:rsidR="000C4F5E" w:rsidRDefault="00000000">
      <w:pPr>
        <w:keepNext/>
        <w:shd w:val="clear" w:color="auto" w:fill="1F4E79"/>
        <w:spacing w:before="180" w:after="60" w:line="220" w:lineRule="auto"/>
        <w:ind w:left="120"/>
      </w:pPr>
      <w:r>
        <w:rPr>
          <w:b/>
          <w:color w:val="FFFFFF"/>
          <w:szCs w:val="24"/>
        </w:rPr>
        <w:t>Review Point 19 - Final Technical and Editorial Audit</w:t>
      </w:r>
    </w:p>
    <w:tbl>
      <w:tblPr>
        <w:tblW w:w="960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top w:w="80" w:type="dxa"/>
          <w:left w:w="100" w:type="dxa"/>
          <w:bottom w:w="80" w:type="dxa"/>
          <w:right w:w="100" w:type="dxa"/>
        </w:tblCellMar>
        <w:tblLook w:val="04A0" w:firstRow="1" w:lastRow="0" w:firstColumn="1" w:lastColumn="0" w:noHBand="0" w:noVBand="1"/>
      </w:tblPr>
      <w:tblGrid>
        <w:gridCol w:w="2700"/>
        <w:gridCol w:w="6900"/>
      </w:tblGrid>
      <w:tr w:rsidR="000C4F5E" w14:paraId="0498892D" w14:textId="77777777">
        <w:tc>
          <w:tcPr>
            <w:tcW w:w="2700" w:type="dxa"/>
            <w:shd w:val="clear" w:color="auto" w:fill="D9EAF7"/>
            <w:tcMar>
              <w:top w:w="80" w:type="dxa"/>
              <w:left w:w="100" w:type="dxa"/>
              <w:bottom w:w="80" w:type="dxa"/>
              <w:right w:w="100" w:type="dxa"/>
            </w:tcMar>
          </w:tcPr>
          <w:p w14:paraId="080C6980" w14:textId="77777777" w:rsidR="000C4F5E" w:rsidRDefault="00000000">
            <w:pPr>
              <w:spacing w:after="40" w:line="220" w:lineRule="auto"/>
            </w:pPr>
            <w:r>
              <w:rPr>
                <w:rFonts w:ascii="Aptos" w:hAnsi="Aptos"/>
                <w:b/>
                <w:color w:val="1F1F1F"/>
                <w:sz w:val="18"/>
                <w:szCs w:val="18"/>
              </w:rPr>
              <w:t>Reviewer Requirement &amp; Explanation</w:t>
            </w:r>
          </w:p>
        </w:tc>
        <w:tc>
          <w:tcPr>
            <w:tcW w:w="6900" w:type="dxa"/>
            <w:shd w:val="clear" w:color="auto" w:fill="FFFFFF"/>
            <w:tcMar>
              <w:top w:w="80" w:type="dxa"/>
              <w:left w:w="100" w:type="dxa"/>
              <w:bottom w:w="80" w:type="dxa"/>
              <w:right w:w="100" w:type="dxa"/>
            </w:tcMar>
          </w:tcPr>
          <w:p w14:paraId="5F380EB1" w14:textId="77777777" w:rsidR="000C4F5E" w:rsidRDefault="00000000">
            <w:pPr>
              <w:spacing w:after="40" w:line="220" w:lineRule="auto"/>
            </w:pPr>
            <w:r>
              <w:rPr>
                <w:rFonts w:ascii="Aptos" w:hAnsi="Aptos"/>
                <w:color w:val="202020"/>
                <w:sz w:val="20"/>
                <w:szCs w:val="20"/>
              </w:rPr>
              <w:t>The reviewer requested a final check of abbreviations, figures, tables, captions, equations, cross-references, references, language, terminology, and formatting.</w:t>
            </w:r>
          </w:p>
        </w:tc>
      </w:tr>
      <w:tr w:rsidR="000C4F5E" w14:paraId="5ED73DE1" w14:textId="77777777">
        <w:tc>
          <w:tcPr>
            <w:tcW w:w="2700" w:type="dxa"/>
            <w:shd w:val="clear" w:color="auto" w:fill="D9EAF7"/>
            <w:tcMar>
              <w:top w:w="80" w:type="dxa"/>
              <w:left w:w="100" w:type="dxa"/>
              <w:bottom w:w="80" w:type="dxa"/>
              <w:right w:w="100" w:type="dxa"/>
            </w:tcMar>
          </w:tcPr>
          <w:p w14:paraId="6AD333E6" w14:textId="77777777" w:rsidR="000C4F5E" w:rsidRDefault="00000000">
            <w:pPr>
              <w:spacing w:after="40" w:line="220" w:lineRule="auto"/>
            </w:pPr>
            <w:r>
              <w:rPr>
                <w:rFonts w:ascii="Aptos" w:hAnsi="Aptos"/>
                <w:b/>
                <w:color w:val="1F1F1F"/>
                <w:sz w:val="18"/>
                <w:szCs w:val="18"/>
              </w:rPr>
              <w:t>Thesis Location</w:t>
            </w:r>
          </w:p>
        </w:tc>
        <w:tc>
          <w:tcPr>
            <w:tcW w:w="6900" w:type="dxa"/>
            <w:shd w:val="clear" w:color="auto" w:fill="FFFFFF"/>
            <w:tcMar>
              <w:top w:w="80" w:type="dxa"/>
              <w:left w:w="100" w:type="dxa"/>
              <w:bottom w:w="80" w:type="dxa"/>
              <w:right w:w="100" w:type="dxa"/>
            </w:tcMar>
          </w:tcPr>
          <w:p w14:paraId="437AF35E" w14:textId="77777777" w:rsidR="000C4F5E" w:rsidRDefault="00000000">
            <w:pPr>
              <w:spacing w:after="40" w:line="220" w:lineRule="auto"/>
            </w:pPr>
            <w:r>
              <w:rPr>
                <w:rFonts w:ascii="Aptos" w:hAnsi="Aptos"/>
                <w:color w:val="202020"/>
                <w:sz w:val="20"/>
                <w:szCs w:val="20"/>
              </w:rPr>
              <w:t>Whole thesis, with focused checks of Chapters 2-6, the Table of Contents, List of Figures, List of Tables, equations, captions, and revised passages.</w:t>
            </w:r>
          </w:p>
        </w:tc>
      </w:tr>
      <w:tr w:rsidR="000C4F5E" w14:paraId="314AC933" w14:textId="77777777">
        <w:tc>
          <w:tcPr>
            <w:tcW w:w="2700" w:type="dxa"/>
            <w:shd w:val="clear" w:color="auto" w:fill="D9EAF7"/>
            <w:tcMar>
              <w:top w:w="80" w:type="dxa"/>
              <w:left w:w="100" w:type="dxa"/>
              <w:bottom w:w="80" w:type="dxa"/>
              <w:right w:w="100" w:type="dxa"/>
            </w:tcMar>
          </w:tcPr>
          <w:p w14:paraId="026DCDB0" w14:textId="77777777" w:rsidR="000C4F5E" w:rsidRDefault="00000000">
            <w:pPr>
              <w:spacing w:after="40" w:line="220" w:lineRule="auto"/>
            </w:pPr>
            <w:r>
              <w:rPr>
                <w:rFonts w:ascii="Aptos" w:hAnsi="Aptos"/>
                <w:b/>
                <w:color w:val="1F1F1F"/>
                <w:sz w:val="18"/>
                <w:szCs w:val="18"/>
              </w:rPr>
              <w:t>Decision</w:t>
            </w:r>
          </w:p>
        </w:tc>
        <w:tc>
          <w:tcPr>
            <w:tcW w:w="6900" w:type="dxa"/>
            <w:shd w:val="clear" w:color="auto" w:fill="EAF0F4"/>
            <w:tcMar>
              <w:top w:w="80" w:type="dxa"/>
              <w:left w:w="100" w:type="dxa"/>
              <w:bottom w:w="80" w:type="dxa"/>
              <w:right w:w="100" w:type="dxa"/>
            </w:tcMar>
          </w:tcPr>
          <w:p w14:paraId="49789076" w14:textId="77777777" w:rsidR="000C4F5E" w:rsidRDefault="00000000">
            <w:pPr>
              <w:spacing w:after="40" w:line="220" w:lineRule="auto"/>
            </w:pPr>
            <w:r>
              <w:rPr>
                <w:rFonts w:ascii="Aptos" w:hAnsi="Aptos"/>
                <w:color w:val="202020"/>
                <w:sz w:val="20"/>
                <w:szCs w:val="20"/>
              </w:rPr>
              <w:t>Fixed / Changed</w:t>
            </w:r>
          </w:p>
        </w:tc>
      </w:tr>
      <w:tr w:rsidR="000C4F5E" w14:paraId="72DC0198" w14:textId="77777777">
        <w:tc>
          <w:tcPr>
            <w:tcW w:w="2700" w:type="dxa"/>
            <w:shd w:val="clear" w:color="auto" w:fill="D9EAF7"/>
            <w:tcMar>
              <w:top w:w="80" w:type="dxa"/>
              <w:left w:w="100" w:type="dxa"/>
              <w:bottom w:w="80" w:type="dxa"/>
              <w:right w:w="100" w:type="dxa"/>
            </w:tcMar>
          </w:tcPr>
          <w:p w14:paraId="1D157B34" w14:textId="77777777" w:rsidR="000C4F5E" w:rsidRDefault="00000000">
            <w:pPr>
              <w:spacing w:after="40" w:line="220" w:lineRule="auto"/>
            </w:pPr>
            <w:r>
              <w:rPr>
                <w:rFonts w:ascii="Aptos" w:hAnsi="Aptos"/>
                <w:b/>
                <w:color w:val="1F1F1F"/>
                <w:sz w:val="18"/>
                <w:szCs w:val="18"/>
              </w:rPr>
              <w:t>What Was Changed</w:t>
            </w:r>
          </w:p>
        </w:tc>
        <w:tc>
          <w:tcPr>
            <w:tcW w:w="6900" w:type="dxa"/>
            <w:shd w:val="clear" w:color="auto" w:fill="FFFFFF"/>
            <w:tcMar>
              <w:top w:w="80" w:type="dxa"/>
              <w:left w:w="100" w:type="dxa"/>
              <w:bottom w:w="80" w:type="dxa"/>
              <w:right w:w="100" w:type="dxa"/>
            </w:tcMar>
          </w:tcPr>
          <w:p w14:paraId="5C242CEA" w14:textId="77777777" w:rsidR="000C4F5E" w:rsidRDefault="00000000">
            <w:pPr>
              <w:spacing w:after="40" w:line="220" w:lineRule="auto"/>
            </w:pPr>
            <w:r>
              <w:rPr>
                <w:rFonts w:ascii="Aptos" w:hAnsi="Aptos"/>
                <w:color w:val="202020"/>
                <w:sz w:val="20"/>
                <w:szCs w:val="20"/>
              </w:rPr>
              <w:t>The final review retained the point-specific corrections recorded in this audit: Equation 4.17, terminology labels, the integrity/validation distinction, novelty wording, conclusion scope, performance separation, and formal Chapter 2 headings.</w:t>
            </w:r>
          </w:p>
        </w:tc>
      </w:tr>
      <w:tr w:rsidR="000C4F5E" w14:paraId="6B1BFE2B" w14:textId="77777777">
        <w:tc>
          <w:tcPr>
            <w:tcW w:w="2700" w:type="dxa"/>
            <w:shd w:val="clear" w:color="auto" w:fill="D9EAF7"/>
            <w:tcMar>
              <w:top w:w="80" w:type="dxa"/>
              <w:left w:w="100" w:type="dxa"/>
              <w:bottom w:w="80" w:type="dxa"/>
              <w:right w:w="100" w:type="dxa"/>
            </w:tcMar>
          </w:tcPr>
          <w:p w14:paraId="7D361655" w14:textId="77777777" w:rsidR="000C4F5E" w:rsidRDefault="00000000">
            <w:pPr>
              <w:spacing w:after="40" w:line="220" w:lineRule="auto"/>
            </w:pPr>
            <w:r>
              <w:rPr>
                <w:rFonts w:ascii="Aptos" w:hAnsi="Aptos"/>
                <w:b/>
                <w:color w:val="1F1F1F"/>
                <w:sz w:val="18"/>
                <w:szCs w:val="18"/>
              </w:rPr>
              <w:t>Before</w:t>
            </w:r>
          </w:p>
        </w:tc>
        <w:tc>
          <w:tcPr>
            <w:tcW w:w="6900" w:type="dxa"/>
            <w:shd w:val="clear" w:color="auto" w:fill="F7F7F7"/>
            <w:tcMar>
              <w:top w:w="80" w:type="dxa"/>
              <w:left w:w="100" w:type="dxa"/>
              <w:bottom w:w="80" w:type="dxa"/>
              <w:right w:w="100" w:type="dxa"/>
            </w:tcMar>
          </w:tcPr>
          <w:p w14:paraId="1F03AD4C" w14:textId="77777777" w:rsidR="000C4F5E" w:rsidRDefault="00000000">
            <w:pPr>
              <w:spacing w:after="40" w:line="220" w:lineRule="auto"/>
            </w:pPr>
            <w:r>
              <w:rPr>
                <w:rFonts w:ascii="Courier New" w:hAnsi="Courier New"/>
                <w:color w:val="202020"/>
                <w:sz w:val="20"/>
                <w:szCs w:val="20"/>
              </w:rPr>
              <w:t>The original thesis contained the specific inconsistencies and overbroad statements recorded in Points 1, 5, 7, 9, 10, 12, 14-17.</w:t>
            </w:r>
          </w:p>
        </w:tc>
      </w:tr>
      <w:tr w:rsidR="000C4F5E" w14:paraId="17770227" w14:textId="77777777">
        <w:tc>
          <w:tcPr>
            <w:tcW w:w="2700" w:type="dxa"/>
            <w:shd w:val="clear" w:color="auto" w:fill="D9EAF7"/>
            <w:tcMar>
              <w:top w:w="80" w:type="dxa"/>
              <w:left w:w="100" w:type="dxa"/>
              <w:bottom w:w="80" w:type="dxa"/>
              <w:right w:w="100" w:type="dxa"/>
            </w:tcMar>
          </w:tcPr>
          <w:p w14:paraId="2BF2B55A" w14:textId="77777777" w:rsidR="000C4F5E" w:rsidRDefault="00000000">
            <w:pPr>
              <w:spacing w:after="40" w:line="220" w:lineRule="auto"/>
            </w:pPr>
            <w:r>
              <w:rPr>
                <w:rFonts w:ascii="Aptos" w:hAnsi="Aptos"/>
                <w:b/>
                <w:color w:val="1F1F1F"/>
                <w:sz w:val="18"/>
                <w:szCs w:val="18"/>
              </w:rPr>
              <w:t>After</w:t>
            </w:r>
          </w:p>
        </w:tc>
        <w:tc>
          <w:tcPr>
            <w:tcW w:w="6900" w:type="dxa"/>
            <w:shd w:val="clear" w:color="auto" w:fill="F7F7F7"/>
            <w:tcMar>
              <w:top w:w="80" w:type="dxa"/>
              <w:left w:w="100" w:type="dxa"/>
              <w:bottom w:w="80" w:type="dxa"/>
              <w:right w:w="100" w:type="dxa"/>
            </w:tcMar>
          </w:tcPr>
          <w:p w14:paraId="19240F98" w14:textId="77777777" w:rsidR="000C4F5E" w:rsidRDefault="00000000">
            <w:pPr>
              <w:spacing w:after="40" w:line="220" w:lineRule="auto"/>
            </w:pPr>
            <w:r>
              <w:rPr>
                <w:rFonts w:ascii="Courier New" w:hAnsi="Courier New"/>
                <w:color w:val="202020"/>
                <w:sz w:val="20"/>
                <w:szCs w:val="20"/>
              </w:rPr>
              <w:t>The revised thesis contains the point-specific corrections while retaining existing tables, figures, citations, references, numerical results, and document structure.</w:t>
            </w:r>
          </w:p>
        </w:tc>
      </w:tr>
      <w:tr w:rsidR="000C4F5E" w14:paraId="7B4A776E" w14:textId="77777777">
        <w:tc>
          <w:tcPr>
            <w:tcW w:w="2700" w:type="dxa"/>
            <w:shd w:val="clear" w:color="auto" w:fill="D9EAF7"/>
            <w:tcMar>
              <w:top w:w="80" w:type="dxa"/>
              <w:left w:w="100" w:type="dxa"/>
              <w:bottom w:w="80" w:type="dxa"/>
              <w:right w:w="100" w:type="dxa"/>
            </w:tcMar>
          </w:tcPr>
          <w:p w14:paraId="4B9A5408" w14:textId="77777777" w:rsidR="000C4F5E" w:rsidRDefault="00000000">
            <w:pPr>
              <w:spacing w:after="40" w:line="220" w:lineRule="auto"/>
            </w:pPr>
            <w:r>
              <w:rPr>
                <w:rFonts w:ascii="Aptos" w:hAnsi="Aptos"/>
                <w:b/>
                <w:color w:val="1F1F1F"/>
                <w:sz w:val="18"/>
                <w:szCs w:val="18"/>
              </w:rPr>
              <w:t>Why It Was Changed</w:t>
            </w:r>
          </w:p>
        </w:tc>
        <w:tc>
          <w:tcPr>
            <w:tcW w:w="6900" w:type="dxa"/>
            <w:shd w:val="clear" w:color="auto" w:fill="FFFFFF"/>
            <w:tcMar>
              <w:top w:w="80" w:type="dxa"/>
              <w:left w:w="100" w:type="dxa"/>
              <w:bottom w:w="80" w:type="dxa"/>
              <w:right w:w="100" w:type="dxa"/>
            </w:tcMar>
          </w:tcPr>
          <w:p w14:paraId="7A9683C8" w14:textId="77777777" w:rsidR="000C4F5E" w:rsidRDefault="00000000">
            <w:pPr>
              <w:spacing w:after="40" w:line="220" w:lineRule="auto"/>
            </w:pPr>
            <w:r>
              <w:rPr>
                <w:rFonts w:ascii="Aptos" w:hAnsi="Aptos"/>
                <w:color w:val="202020"/>
                <w:sz w:val="20"/>
                <w:szCs w:val="20"/>
              </w:rPr>
              <w:t>The final audit applies only corrections traceable to the reviewer points. It does not add a general rewrite or change unaffected material.</w:t>
            </w:r>
          </w:p>
        </w:tc>
      </w:tr>
      <w:tr w:rsidR="000C4F5E" w14:paraId="1C7512A2" w14:textId="77777777">
        <w:tc>
          <w:tcPr>
            <w:tcW w:w="2700" w:type="dxa"/>
            <w:shd w:val="clear" w:color="auto" w:fill="D9EAF7"/>
            <w:tcMar>
              <w:top w:w="80" w:type="dxa"/>
              <w:left w:w="100" w:type="dxa"/>
              <w:bottom w:w="80" w:type="dxa"/>
              <w:right w:w="100" w:type="dxa"/>
            </w:tcMar>
          </w:tcPr>
          <w:p w14:paraId="72D4A6D3" w14:textId="77777777" w:rsidR="000C4F5E" w:rsidRDefault="00000000">
            <w:pPr>
              <w:spacing w:after="40" w:line="220" w:lineRule="auto"/>
            </w:pPr>
            <w:r>
              <w:rPr>
                <w:rFonts w:ascii="Aptos" w:hAnsi="Aptos"/>
                <w:b/>
                <w:color w:val="1F1F1F"/>
                <w:sz w:val="18"/>
                <w:szCs w:val="18"/>
              </w:rPr>
              <w:t>Evidence / Verification Basis</w:t>
            </w:r>
          </w:p>
        </w:tc>
        <w:tc>
          <w:tcPr>
            <w:tcW w:w="6900" w:type="dxa"/>
            <w:shd w:val="clear" w:color="auto" w:fill="FFFFFF"/>
            <w:tcMar>
              <w:top w:w="80" w:type="dxa"/>
              <w:left w:w="100" w:type="dxa"/>
              <w:bottom w:w="80" w:type="dxa"/>
              <w:right w:w="100" w:type="dxa"/>
            </w:tcMar>
          </w:tcPr>
          <w:p w14:paraId="6310F432" w14:textId="77777777" w:rsidR="000C4F5E" w:rsidRDefault="00000000">
            <w:pPr>
              <w:spacing w:after="40" w:line="220" w:lineRule="auto"/>
            </w:pPr>
            <w:r>
              <w:rPr>
                <w:rFonts w:ascii="Aptos" w:hAnsi="Aptos"/>
                <w:color w:val="202020"/>
                <w:sz w:val="20"/>
                <w:szCs w:val="20"/>
              </w:rPr>
              <w:t>The revised thesis was checked for the corrected formulas, headings, terminology, conclusions, and related static Table of Contents/List of Figures entries. All 19 reviewer points are recorded in this audit with a location, explanation, change record, and evidence basis.</w:t>
            </w:r>
          </w:p>
        </w:tc>
      </w:tr>
    </w:tbl>
    <w:p w14:paraId="52589CFA" w14:textId="77777777" w:rsidR="00A4666D" w:rsidRDefault="00A4666D"/>
    <w:sectPr w:rsidR="00A4666D">
      <w:pgSz w:w="11906" w:h="16838"/>
      <w:pgMar w:top="1000" w:right="1050" w:bottom="1000" w:left="105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043860">
    <w:abstractNumId w:val="8"/>
  </w:num>
  <w:num w:numId="2" w16cid:durableId="1280141709">
    <w:abstractNumId w:val="6"/>
  </w:num>
  <w:num w:numId="3" w16cid:durableId="1620985424">
    <w:abstractNumId w:val="5"/>
  </w:num>
  <w:num w:numId="4" w16cid:durableId="219244385">
    <w:abstractNumId w:val="4"/>
  </w:num>
  <w:num w:numId="5" w16cid:durableId="338698077">
    <w:abstractNumId w:val="7"/>
  </w:num>
  <w:num w:numId="6" w16cid:durableId="416828078">
    <w:abstractNumId w:val="3"/>
  </w:num>
  <w:num w:numId="7" w16cid:durableId="743449844">
    <w:abstractNumId w:val="2"/>
  </w:num>
  <w:num w:numId="8" w16cid:durableId="545263517">
    <w:abstractNumId w:val="1"/>
  </w:num>
  <w:num w:numId="9" w16cid:durableId="8284004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F5E"/>
    <w:rsid w:val="0015074B"/>
    <w:rsid w:val="001A34B1"/>
    <w:rsid w:val="00280AA7"/>
    <w:rsid w:val="0029639D"/>
    <w:rsid w:val="002C0B71"/>
    <w:rsid w:val="00326F90"/>
    <w:rsid w:val="00537D3E"/>
    <w:rsid w:val="00A466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19127"/>
  <w14:defaultImageDpi w14:val="300"/>
  <w15:docId w15:val="{350E8E0E-23D5-4535-9EAA-8176A220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E75D7-C772-4CEE-A960-D7D866D25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4315</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Kumar1</cp:lastModifiedBy>
  <cp:revision>4</cp:revision>
  <dcterms:created xsi:type="dcterms:W3CDTF">2013-12-23T23:15:00Z</dcterms:created>
  <dcterms:modified xsi:type="dcterms:W3CDTF">2026-08-16T06:58:00Z</dcterms:modified>
  <cp:category/>
</cp:coreProperties>
</file>