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783444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783444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783444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28B85E97" w14:textId="5F7A5520" w:rsidR="002A0BCA" w:rsidRDefault="002A0BCA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“GPU Algorithms with Taskflow,” $5000, 07/2021-12/2021,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522DCB">
        <w:rPr>
          <w:rFonts w:cs="Calibri"/>
          <w:szCs w:val="24"/>
        </w:rPr>
        <w:t xml:space="preserve"> Small Development Grant r2</w:t>
      </w:r>
    </w:p>
    <w:p w14:paraId="16F7B521" w14:textId="55C2AECA" w:rsidR="00AC383D" w:rsidRDefault="00AC383D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749D1484" w14:textId="3DAABC9F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“Taskflow-San: Sanitizing Erroneous Control Flows in Taskflow,” $5000, 05/2021—12/2021,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2C43BD">
        <w:rPr>
          <w:rFonts w:cs="Calibri"/>
          <w:szCs w:val="24"/>
        </w:rPr>
        <w:t xml:space="preserve"> Small Development Grant 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495F2406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2E1766" w:rsidRPr="002E1766">
        <w:rPr>
          <w:rFonts w:cs="Calibri"/>
          <w:i/>
          <w:iCs/>
          <w:szCs w:val="24"/>
        </w:rPr>
        <w:t xml:space="preserve">Euro-Par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B748F7">
        <w:rPr>
          <w:rFonts w:cs="Calibri"/>
          <w:szCs w:val="24"/>
        </w:rPr>
        <w:t>, 2021</w:t>
      </w:r>
    </w:p>
    <w:p w14:paraId="389EB29C" w14:textId="311B74B6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>European Conference on Parallel and Distributed Computing</w:t>
      </w:r>
      <w:r w:rsidR="006F2783" w:rsidRPr="006F2783">
        <w:rPr>
          <w:rFonts w:cs="Calibri"/>
          <w:i/>
          <w:iCs/>
          <w:szCs w:val="24"/>
        </w:rPr>
        <w:t xml:space="preserve"> </w:t>
      </w:r>
      <w:r w:rsidR="006F2783">
        <w:rPr>
          <w:rFonts w:cs="Calibri"/>
          <w:i/>
          <w:iCs/>
          <w:szCs w:val="24"/>
        </w:rPr>
        <w:t>(</w:t>
      </w:r>
      <w:proofErr w:type="spellStart"/>
      <w:r w:rsidRPr="00B748F7">
        <w:rPr>
          <w:rFonts w:cs="Calibri"/>
          <w:i/>
          <w:iCs/>
          <w:szCs w:val="24"/>
        </w:rPr>
        <w:t>EuroPar</w:t>
      </w:r>
      <w:proofErr w:type="spellEnd"/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CC9A937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45F15" w14:textId="77777777" w:rsidR="00783444" w:rsidRDefault="00783444" w:rsidP="00A15EAD">
      <w:r>
        <w:separator/>
      </w:r>
    </w:p>
  </w:endnote>
  <w:endnote w:type="continuationSeparator" w:id="0">
    <w:p w14:paraId="7B851F2C" w14:textId="77777777" w:rsidR="00783444" w:rsidRDefault="00783444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25818" w14:textId="77777777" w:rsidR="00783444" w:rsidRDefault="00783444" w:rsidP="00A15EAD">
      <w:r>
        <w:separator/>
      </w:r>
    </w:p>
  </w:footnote>
  <w:footnote w:type="continuationSeparator" w:id="0">
    <w:p w14:paraId="51E59D5A" w14:textId="77777777" w:rsidR="00783444" w:rsidRDefault="00783444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0DF3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20340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4</cp:revision>
  <cp:lastPrinted>2021-07-16T22:35:00Z</cp:lastPrinted>
  <dcterms:created xsi:type="dcterms:W3CDTF">2021-07-16T22:35:00Z</dcterms:created>
  <dcterms:modified xsi:type="dcterms:W3CDTF">2021-07-16T22:36:00Z</dcterms:modified>
</cp:coreProperties>
</file>