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Website</w:t>
      </w:r>
      <w:r w:rsidR="00525058">
        <w:rPr>
          <w:rFonts w:ascii="Calibri" w:hAnsi="Calibri" w:cs="Calibri"/>
          <w:sz w:val="24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  <w:sz w:val="24"/>
          </w:rPr>
          <w:t>https://tsung-wei-huang.github.com</w:t>
        </w:r>
      </w:hyperlink>
      <w:r w:rsidR="00525058">
        <w:rPr>
          <w:rFonts w:ascii="Calibri" w:hAnsi="Calibri" w:cs="Calibri"/>
          <w:sz w:val="24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  <w:sz w:val="24"/>
          </w:rPr>
          <w:t>https://github.com/tsung-wei-huang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</w:t>
      </w:r>
      <w:r w:rsidR="008720EC">
        <w:rPr>
          <w:rFonts w:ascii="Calibri" w:hAnsi="Calibri" w:cs="Calibri"/>
          <w:bCs/>
          <w:sz w:val="24"/>
          <w:lang w:eastAsia="zh-TW"/>
        </w:rPr>
        <w:t>artment</w:t>
      </w:r>
      <w:r w:rsidRPr="007704FD">
        <w:rPr>
          <w:rFonts w:ascii="Calibri" w:hAnsi="Calibri" w:cs="Calibri"/>
          <w:bCs/>
          <w:sz w:val="24"/>
          <w:lang w:eastAsia="zh-TW"/>
        </w:rPr>
        <w:t>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1911226A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</w:t>
      </w:r>
      <w:r w:rsidR="008720EC">
        <w:rPr>
          <w:rFonts w:ascii="Calibri" w:hAnsi="Calibri" w:cs="Calibri"/>
          <w:bCs/>
          <w:sz w:val="24"/>
          <w:lang w:eastAsia="zh-TW"/>
        </w:rPr>
        <w:t>artment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7410310F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</w:t>
      </w:r>
      <w:r w:rsidR="00DF77DA">
        <w:rPr>
          <w:rFonts w:ascii="Calibri" w:hAnsi="Calibri" w:cs="Calibri"/>
          <w:bCs/>
          <w:sz w:val="24"/>
          <w:lang w:eastAsia="zh-TW"/>
        </w:rPr>
        <w:t>artment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7D0C6CBE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</w:t>
      </w:r>
      <w:r w:rsidR="00DF77DA">
        <w:rPr>
          <w:rFonts w:ascii="Calibri" w:hAnsi="Calibri" w:cs="Calibri"/>
          <w:bCs/>
          <w:sz w:val="24"/>
          <w:lang w:eastAsia="zh-TW"/>
        </w:rPr>
        <w:t>artment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5334CD">
        <w:tc>
          <w:tcPr>
            <w:tcW w:w="5125" w:type="dxa"/>
            <w:vAlign w:val="center"/>
          </w:tcPr>
          <w:p w14:paraId="1864C967" w14:textId="4458FE37" w:rsidR="006C52DF" w:rsidRDefault="005334CD" w:rsidP="005334CD">
            <w:pPr>
              <w:rPr>
                <w:rFonts w:ascii="Calibri" w:hAnsi="Calibri" w:cs="Calibri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4CD6011C">
                  <wp:simplePos x="0" y="0"/>
                  <wp:positionH relativeFrom="column">
                    <wp:posOffset>-673735</wp:posOffset>
                  </wp:positionH>
                  <wp:positionV relativeFrom="paragraph">
                    <wp:posOffset>27940</wp:posOffset>
                  </wp:positionV>
                  <wp:extent cx="534670" cy="5162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end"/>
            </w:r>
            <w:r w:rsidR="00C11AC7"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  <w:vAlign w:val="center"/>
          </w:tcPr>
          <w:p w14:paraId="4A10E4F5" w14:textId="77777777" w:rsidR="006C52DF" w:rsidRDefault="00345303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1" w:history="1">
              <w:r w:rsidR="007749E4"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5334CD">
        <w:tc>
          <w:tcPr>
            <w:tcW w:w="5125" w:type="dxa"/>
            <w:vAlign w:val="center"/>
          </w:tcPr>
          <w:p w14:paraId="1A5ED91E" w14:textId="62A08C52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62E3A022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0</wp:posOffset>
                  </wp:positionV>
                  <wp:extent cx="560705" cy="5632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="007749E4"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 w:rsidR="007749E4"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  <w:vAlign w:val="center"/>
          </w:tcPr>
          <w:p w14:paraId="670E538C" w14:textId="77777777" w:rsidR="007749E4" w:rsidRDefault="00345303" w:rsidP="005334CD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3" w:history="1">
              <w:r w:rsidR="007749E4"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5334CD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>ool in 2018 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5334CD">
        <w:tc>
          <w:tcPr>
            <w:tcW w:w="5125" w:type="dxa"/>
            <w:vAlign w:val="center"/>
          </w:tcPr>
          <w:p w14:paraId="0DCB17A2" w14:textId="44341C67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 w:rsidR="00F95DDB"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  <w:vAlign w:val="center"/>
          </w:tcPr>
          <w:p w14:paraId="234CE57C" w14:textId="77777777" w:rsidR="007749E4" w:rsidRDefault="00345303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5" w:history="1">
              <w:r w:rsidR="00F95DDB"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 in 2018 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CADathlon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bookmarkStart w:id="0" w:name="_GoBack"/>
      <w:bookmarkEnd w:id="0"/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MtDetector: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Kalafala, and N. Venkateswaran,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Yuh,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Su,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</w:t>
      </w:r>
      <w:r w:rsidRPr="007704FD">
        <w:rPr>
          <w:rFonts w:cs="Calibri"/>
          <w:szCs w:val="24"/>
        </w:rPr>
        <w:lastRenderedPageBreak/>
        <w:t>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20A13BE8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Kalafala, D. Sinha, and N. Venkateswaran,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lastRenderedPageBreak/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Kalafala, D. Sinha, and N. Venkateswaran,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r w:rsidR="00925515" w:rsidRPr="007704FD">
        <w:rPr>
          <w:rFonts w:ascii="Calibri" w:hAnsi="Calibri" w:cs="Calibri"/>
          <w:sz w:val="24"/>
        </w:rPr>
        <w:t>Large Scale</w:t>
      </w:r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r w:rsidR="002E306F" w:rsidRPr="007704FD">
        <w:rPr>
          <w:rFonts w:ascii="Calibri" w:hAnsi="Calibri" w:cs="Calibri"/>
          <w:sz w:val="24"/>
        </w:rPr>
        <w:t>VSDOpen</w:t>
      </w:r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Co-chair, ACM SIGDA CADathlon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lastRenderedPageBreak/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The C++ Conference (CppCon),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22825" w14:textId="77777777" w:rsidR="00345303" w:rsidRDefault="00345303" w:rsidP="00A15EAD">
      <w:r>
        <w:separator/>
      </w:r>
    </w:p>
  </w:endnote>
  <w:endnote w:type="continuationSeparator" w:id="0">
    <w:p w14:paraId="581146FD" w14:textId="77777777" w:rsidR="00345303" w:rsidRDefault="0034530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951F" w14:textId="77777777" w:rsidR="00345303" w:rsidRDefault="00345303" w:rsidP="00A15EAD">
      <w:r>
        <w:separator/>
      </w:r>
    </w:p>
  </w:footnote>
  <w:footnote w:type="continuationSeparator" w:id="0">
    <w:p w14:paraId="4C76C69F" w14:textId="77777777" w:rsidR="00345303" w:rsidRDefault="0034530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06FCE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44DD"/>
    <w:rsid w:val="0058757F"/>
    <w:rsid w:val="005918F1"/>
    <w:rsid w:val="00593D42"/>
    <w:rsid w:val="00595898"/>
    <w:rsid w:val="005A6142"/>
    <w:rsid w:val="005A7B75"/>
    <w:rsid w:val="005B4754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15101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10</cp:revision>
  <cp:lastPrinted>2019-07-21T01:58:00Z</cp:lastPrinted>
  <dcterms:created xsi:type="dcterms:W3CDTF">2019-07-21T01:58:00Z</dcterms:created>
  <dcterms:modified xsi:type="dcterms:W3CDTF">2019-07-23T17:49:00Z</dcterms:modified>
</cp:coreProperties>
</file>