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4DB47EA0" w:rsidR="00A12350" w:rsidRPr="00A12350" w:rsidRDefault="006225A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My </w:t>
      </w:r>
      <w:r w:rsidR="009240A9">
        <w:rPr>
          <w:rFonts w:ascii="Calibri" w:hAnsi="Calibri" w:cs="Calibri"/>
          <w:bCs/>
        </w:rPr>
        <w:t>research makes</w:t>
      </w:r>
      <w:r>
        <w:rPr>
          <w:rFonts w:ascii="Calibri" w:hAnsi="Calibri" w:cs="Calibri"/>
          <w:bCs/>
        </w:rPr>
        <w:t xml:space="preserve"> parallel and heterogeneous computing easier to handle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534B76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534B76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534B76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2517D4E" w14:textId="4F26EF2C" w:rsidR="00575F1C" w:rsidRDefault="00575F1C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370412C6" w14:textId="7BE8F024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29B533BA" w14:textId="4659A0E3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A Novel 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 xml:space="preserve">A Distributed Power Grid Analysis Framework </w:t>
      </w:r>
      <w:r w:rsidR="00157EDF" w:rsidRPr="007704FD">
        <w:rPr>
          <w:rFonts w:cs="Calibri"/>
          <w:szCs w:val="24"/>
        </w:rPr>
        <w:lastRenderedPageBreak/>
        <w:t>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Network-Flow Based Pin-Count Aware Routing Algorithm for </w:t>
      </w:r>
      <w:r w:rsidR="008531C1" w:rsidRPr="007704FD">
        <w:rPr>
          <w:rFonts w:cs="Calibri"/>
          <w:szCs w:val="24"/>
        </w:rPr>
        <w:lastRenderedPageBreak/>
        <w:t>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02FDF923" w14:textId="13F77089" w:rsidR="00214523" w:rsidRPr="00214523" w:rsidRDefault="004073CF" w:rsidP="00214523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24F49C4A" w14:textId="641CB104" w:rsidR="00C3773C" w:rsidRDefault="00C3773C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</w:t>
      </w:r>
      <w:r>
        <w:rPr>
          <w:rFonts w:ascii="Calibri" w:hAnsi="Calibri" w:cs="Calibri"/>
        </w:rPr>
        <w:t xml:space="preserve">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</w:t>
      </w:r>
      <w:r>
        <w:rPr>
          <w:rFonts w:ascii="Calibri" w:hAnsi="Calibri" w:cs="Calibri"/>
        </w:rPr>
        <w:t>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C4DF4" w14:textId="77777777" w:rsidR="00534B76" w:rsidRDefault="00534B76" w:rsidP="00A15EAD">
      <w:r>
        <w:separator/>
      </w:r>
    </w:p>
  </w:endnote>
  <w:endnote w:type="continuationSeparator" w:id="0">
    <w:p w14:paraId="3005047E" w14:textId="77777777" w:rsidR="00534B76" w:rsidRDefault="00534B76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B5C6F" w14:textId="77777777" w:rsidR="00534B76" w:rsidRDefault="00534B76" w:rsidP="00A15EAD">
      <w:r>
        <w:separator/>
      </w:r>
    </w:p>
  </w:footnote>
  <w:footnote w:type="continuationSeparator" w:id="0">
    <w:p w14:paraId="158F7EDB" w14:textId="77777777" w:rsidR="00534B76" w:rsidRDefault="00534B76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18264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9</cp:revision>
  <cp:lastPrinted>2020-10-15T04:07:00Z</cp:lastPrinted>
  <dcterms:created xsi:type="dcterms:W3CDTF">2020-10-15T04:07:00Z</dcterms:created>
  <dcterms:modified xsi:type="dcterms:W3CDTF">2020-10-15T04:10:00Z</dcterms:modified>
</cp:coreProperties>
</file>