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AINT 2050: Applied AI Agent Architectures: From Conversational Spark to LangGraph Systems</w:t>
      </w:r>
    </w:p>
    <w:p>
      <w:r>
        <w:rPr>
          <w:b/>
          <w:sz w:val="28"/>
        </w:rPr>
        <w:t>Master Course Syllabus (Fall 2026)</w:t>
      </w:r>
    </w:p>
    <w:p>
      <w:r>
        <w:t>Institution: Laramie County Community College</w:t>
      </w:r>
    </w:p>
    <w:p>
      <w:r>
        <w:t>Course Credits: 3.0 Credit Hours (Hybrid / Active Learning)</w:t>
      </w:r>
    </w:p>
    <w:p>
      <w:r>
        <w:rPr>
          <w:b/>
        </w:rPr>
        <w:t>Course Description:</w:t>
      </w:r>
    </w:p>
    <w:p>
      <w:r>
        <w:t>An accelerated, hands-on exploration of the modern AI Agent spectrumâ€”advancing from prompt-driven conversational models (Gemini Spark, Anthropic Claude) through visual and low-code orchestration engines (n8n, Langflow), to production code-first stateful multi-agent graphs (LangGraph). Students design, prototype, evaluate, and deploy autonomous agents with tool use, memory, human-in-the-loop safeguards, and graph-based control flow.</w:t>
      </w:r>
    </w:p>
    <w:p>
      <w:r>
        <w:rPr>
          <w:b/>
        </w:rPr>
        <w:t>Course Learning Outcomes (CLOs):</w:t>
      </w:r>
    </w:p>
    <w:p>
      <w:r>
        <w:t>1. CLO 1 (Agent Taxonomy &amp; Prompt Architectures): Differentiate levels of agent autonomy and implement structured reasoning loops (ReAct, Plan-and-Solve) using foundation models (Google Gemini, Anthropic Claude).</w:t>
      </w:r>
    </w:p>
    <w:p>
      <w:r>
        <w:t>2. CLO 2 (Visual &amp; Low-Code Orchestration): Construct, debug, and automate multi-step agentic workflows and API integrations using visual platforms (n8n, Langflow).</w:t>
      </w:r>
    </w:p>
    <w:p>
      <w:r>
        <w:t>3. CLO 3 (Stateful Graph Engineering): Architect cyclical, stateful agent workflows using code-first frameworks (LangGraph), defining typed states, routing nodes, conditional edges, and persistent checkpointers.</w:t>
      </w:r>
    </w:p>
    <w:p>
      <w:r>
        <w:t>4. CLO 4 (Tool Integration &amp; Action Dispatch): Design and execute robust tool-calling schemas (JSON Schema / Pydantic) with dynamic discovery, parameter validation, and exception fallback handling.</w:t>
      </w:r>
    </w:p>
    <w:p>
      <w:r>
        <w:t>5. CLO 5 (Human-in-the-Loop &amp; Safety Governance): Implement state interrupts, review breakpoints, permission gating, and rate limiting to ensure secure, deterministic agent behavior.</w:t>
      </w:r>
    </w:p>
    <w:p>
      <w:r>
        <w:t>6. CLO 6 (Multi-Agent Systems &amp; Evaluation): Coordinate multi-agent collaborative networks (hierarchical supervisors, specialized workers) and benchmark performance via automated evaluation suites.</w:t>
      </w:r>
    </w:p>
    <w:p>
      <w:r>
        <w:rPr>
          <w:b/>
        </w:rPr>
        <w:t>Grading Policy &amp; Weighting:</w:t>
      </w:r>
    </w:p>
    <w:p>
      <w:r>
        <w:t>- Hands-on Applied Agent Labs (40.0%)</w:t>
      </w:r>
    </w:p>
    <w:p>
      <w:r>
        <w:t>- Comprehensive Agent Architecture Capstone (30.0%)</w:t>
      </w:r>
    </w:p>
    <w:p>
      <w:r>
        <w:t>- Unit Knowledge Checks &amp; Architecture Quizzes (20.0%)</w:t>
      </w:r>
    </w:p>
    <w:p>
      <w:r>
        <w:t>- Asynchronous Preparation &amp; Socratic AI Drills (10.0%)</w:t>
      </w:r>
    </w:p>
    <w:p>
      <w:r>
        <w:rPr>
          <w:b/>
        </w:rPr>
        <w:t>Grade Scale:</w:t>
      </w:r>
    </w:p>
    <w:p>
      <w:r>
        <w:t>A: 90 - 100% | B: 80 - 89% | C: 70 - 79% | D: 60 - 69% | F: 0 - 59%</w:t>
      </w:r>
    </w:p>
  </w:body>
</w:document>
</file>