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2A18" w14:textId="0E82EC3D" w:rsidR="00B21780" w:rsidRDefault="00000000">
      <w:pPr>
        <w:spacing w:line="360" w:lineRule="auto"/>
        <w:rPr>
          <w:b/>
          <w:bCs/>
          <w:color w:val="003300"/>
          <w:sz w:val="36"/>
          <w:szCs w:val="36"/>
        </w:rPr>
      </w:pPr>
      <w:r w:rsidRPr="00B21780">
        <w:rPr>
          <w:b/>
          <w:bCs/>
          <w:color w:val="003300"/>
          <w:sz w:val="36"/>
          <w:szCs w:val="36"/>
        </w:rPr>
        <mc:AlternateContent>
          <mc:Choice Requires="wps">
            <w:drawing>
              <wp:anchor distT="0" distB="0" distL="114300" distR="114300" simplePos="0" relativeHeight="251659264" behindDoc="0" locked="0" layoutInCell="1" allowOverlap="1" wp14:anchorId="2B815178" wp14:editId="3E767264">
                <wp:simplePos x="0" y="0"/>
                <wp:positionH relativeFrom="page">
                  <wp:posOffset>6123940</wp:posOffset>
                </wp:positionH>
                <wp:positionV relativeFrom="paragraph">
                  <wp:posOffset>0</wp:posOffset>
                </wp:positionV>
                <wp:extent cx="1428115" cy="802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802640"/>
                        </a:xfrm>
                        <a:prstGeom prst="rect">
                          <a:avLst/>
                        </a:prstGeom>
                        <a:solidFill>
                          <a:srgbClr val="E2F0D9">
                            <a:alpha val="18824"/>
                          </a:srgbClr>
                        </a:solidFill>
                        <a:ln w="9525">
                          <a:noFill/>
                          <a:miter lim="800000"/>
                        </a:ln>
                      </wps:spPr>
                      <wps:txbx>
                        <w:txbxContent>
                          <w:p w14:paraId="460B78B2" w14:textId="77777777" w:rsidR="00781442" w:rsidRDefault="00000000">
                            <w:r>
                              <w:t>Contact us:</w:t>
                            </w:r>
                          </w:p>
                          <w:p w14:paraId="41220DF2" w14:textId="77777777" w:rsidR="00781442" w:rsidRDefault="00000000">
                            <w:r>
                              <w:t>ibsghk@gmail.com</w:t>
                            </w:r>
                          </w:p>
                          <w:p w14:paraId="527DC91E" w14:textId="77777777" w:rsidR="00781442" w:rsidRDefault="00781442">
                            <w:pPr>
                              <w:rPr>
                                <w:color w:val="FFFFFF" w:themeColor="background1"/>
                              </w:rPr>
                            </w:pPr>
                          </w:p>
                        </w:txbxContent>
                      </wps:txbx>
                      <wps:bodyPr rot="0" vert="horz" wrap="square" lIns="91440" tIns="45720" rIns="91440" bIns="45720" anchor="t" anchorCtr="0">
                        <a:noAutofit/>
                      </wps:bodyPr>
                    </wps:wsp>
                  </a:graphicData>
                </a:graphic>
              </wp:anchor>
            </w:drawing>
          </mc:Choice>
          <mc:Fallback>
            <w:pict>
              <v:shapetype w14:anchorId="2B815178" id="_x0000_t202" coordsize="21600,21600" o:spt="202" path="m,l,21600r21600,l21600,xe">
                <v:stroke joinstyle="miter"/>
                <v:path gradientshapeok="t" o:connecttype="rect"/>
              </v:shapetype>
              <v:shape id="Text Box 2" o:spid="_x0000_s1026" type="#_x0000_t202" style="position:absolute;margin-left:482.2pt;margin-top:0;width:112.45pt;height:63.2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" fillcolor="#e2f0d9" stroked="f">
                <v:fill opacity="12336f"/>
                <v:textbox>
                  <w:txbxContent>
                    <w:p w14:paraId="460B78B2" w14:textId="77777777" w:rsidR="00781442" w:rsidRDefault="00000000">
                      <w:r>
                        <w:t>Contact us:</w:t>
                      </w:r>
                    </w:p>
                    <w:p w14:paraId="41220DF2" w14:textId="77777777" w:rsidR="00781442" w:rsidRDefault="00000000">
                      <w:r>
                        <w:t>ibsghk@gmail.com</w:t>
                      </w:r>
                    </w:p>
                    <w:p w14:paraId="527DC91E" w14:textId="77777777" w:rsidR="00781442" w:rsidRDefault="00781442">
                      <w:pPr>
                        <w:rPr>
                          <w:color w:val="FFFFFF" w:themeColor="background1"/>
                        </w:rPr>
                      </w:pPr>
                    </w:p>
                  </w:txbxContent>
                </v:textbox>
                <w10:wrap type="square" anchorx="page"/>
              </v:shape>
            </w:pict>
          </mc:Fallback>
        </mc:AlternateContent>
      </w:r>
      <w:bookmarkStart w:id="0" w:name="_xj1moxk1l321" w:colFirst="0" w:colLast="0"/>
      <w:bookmarkEnd w:id="0"/>
      <w:r w:rsidR="00B21780" w:rsidRPr="00B21780">
        <w:rPr>
          <w:rFonts w:hint="eastAsia"/>
          <w:b/>
          <w:bCs/>
          <w:color w:val="003300"/>
          <w:sz w:val="36"/>
          <w:szCs w:val="36"/>
        </w:rPr>
        <w:t>Depending</w:t>
      </w:r>
      <w:r w:rsidR="00B21780">
        <w:rPr>
          <w:b/>
          <w:bCs/>
          <w:color w:val="003300"/>
          <w:sz w:val="36"/>
          <w:szCs w:val="36"/>
        </w:rPr>
        <w:t xml:space="preserve"> on how cold this winter gets</w:t>
      </w:r>
    </w:p>
    <w:p w14:paraId="1B1E5F50" w14:textId="4FAD90A3" w:rsidR="00781442" w:rsidRPr="00B21780" w:rsidRDefault="00B21780">
      <w:pPr>
        <w:spacing w:line="360" w:lineRule="auto"/>
        <w:rPr>
          <w:rFonts w:eastAsiaTheme="minorEastAsia" w:hint="eastAsia"/>
          <w:b/>
          <w:bCs/>
          <w:color w:val="003300"/>
          <w:sz w:val="36"/>
          <w:szCs w:val="36"/>
        </w:rPr>
      </w:pPr>
      <w:r w:rsidRPr="00B21780">
        <w:rPr>
          <w:b/>
          <w:bCs/>
          <w:color w:val="003300"/>
          <w:sz w:val="36"/>
          <w:szCs w:val="36"/>
        </w:rPr>
        <mc:AlternateContent>
          <mc:Choice Requires="wps">
            <w:drawing>
              <wp:anchor distT="0" distB="0" distL="114300" distR="114300" simplePos="0" relativeHeight="251660288" behindDoc="0" locked="0" layoutInCell="1" allowOverlap="1" wp14:anchorId="141469BF" wp14:editId="7D7A6319">
                <wp:simplePos x="0" y="0"/>
                <wp:positionH relativeFrom="margin">
                  <wp:posOffset>-1905</wp:posOffset>
                </wp:positionH>
                <wp:positionV relativeFrom="paragraph">
                  <wp:posOffset>614045</wp:posOffset>
                </wp:positionV>
                <wp:extent cx="6638290" cy="0"/>
                <wp:effectExtent l="0" t="0" r="0" b="0"/>
                <wp:wrapThrough wrapText="bothSides">
                  <wp:wrapPolygon edited="0">
                    <wp:start x="0" y="0"/>
                    <wp:lineTo x="0" y="21600"/>
                    <wp:lineTo x="21600" y="21600"/>
                    <wp:lineTo x="21600" y="0"/>
                  </wp:wrapPolygon>
                </wp:wrapThrough>
                <wp:docPr id="3" name="Straight Connector 3"/>
                <wp:cNvGraphicFramePr/>
                <a:graphic xmlns:a="http://schemas.openxmlformats.org/drawingml/2006/main">
                  <a:graphicData uri="http://schemas.microsoft.com/office/word/2010/wordprocessingShape">
                    <wps:wsp>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925DD" id="Straight Connector 3" o:spid="_x0000_s1026" style="position:absolute;left:0;text-align:left;z-index:251660288;visibility:visible;mso-wrap-style:square;mso-wrap-distance-left:9pt;mso-wrap-distance-top:0;mso-wrap-distance-right:9pt;mso-wrap-distance-bottom:0;mso-position-horizontal:absolute;mso-position-horizontal-relative:margin;mso-position-vertical:absolute;mso-position-vertical-relative:text" from="-.15pt,48.35pt" to="522.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" strokecolor="#030" strokeweight=".5pt">
                <v:stroke joinstyle="miter"/>
                <w10:wrap type="through" anchorx="margin"/>
              </v:line>
            </w:pict>
          </mc:Fallback>
        </mc:AlternateContent>
      </w:r>
      <w:r>
        <w:rPr>
          <w:b/>
          <w:bCs/>
          <w:color w:val="003300"/>
          <w:sz w:val="36"/>
          <w:szCs w:val="36"/>
        </w:rPr>
        <w:t>-Outlook for the Europe energy</w:t>
      </w:r>
    </w:p>
    <w:p w14:paraId="773B3077" w14:textId="77777777" w:rsidR="00781442" w:rsidRDefault="00000000">
      <w:pPr>
        <w:pStyle w:val="IBSG"/>
        <w:spacing w:line="360" w:lineRule="auto"/>
        <w:rPr>
          <w:sz w:val="36"/>
          <w:szCs w:val="36"/>
        </w:rPr>
      </w:pPr>
      <w:bookmarkStart w:id="1" w:name="_Toc117700784"/>
      <w:r>
        <w:rPr>
          <w:rFonts w:ascii="Times New Roman" w:hAnsi="Times New Roman" w:cs="Times New Roman"/>
          <w:sz w:val="36"/>
          <w:szCs w:val="36"/>
        </w:rPr>
        <w:t>Abstract</w:t>
      </w:r>
      <w:r>
        <w:rPr>
          <w:sz w:val="36"/>
          <w:szCs w:val="36"/>
        </w:rPr>
        <w:t>:</w:t>
      </w:r>
      <w:bookmarkEnd w:id="1"/>
      <w:r>
        <w:tab/>
      </w:r>
    </w:p>
    <w:p w14:paraId="34BF2C1C" w14:textId="77777777" w:rsidR="00781442" w:rsidRDefault="00781442">
      <w:pPr>
        <w:spacing w:line="360" w:lineRule="auto"/>
        <w:rPr>
          <w:sz w:val="28"/>
          <w:szCs w:val="28"/>
        </w:rPr>
      </w:pPr>
    </w:p>
    <w:p w14:paraId="250BF0C9" w14:textId="0A5BC6BB" w:rsidR="00781442" w:rsidRDefault="0000000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electricity prices for EU main countries have doubled, with the peak exceeding 500 Euros/MWh, mainly due to the unique Marginal Costs Pricing Mechanism, lack of natural gas supply and the failure of other energies to fill the gap.</w:t>
      </w:r>
    </w:p>
    <w:p w14:paraId="562114DA" w14:textId="7DE3A7EE" w:rsidR="00781442" w:rsidRDefault="0000000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We may conclude that the demand for natural gas is solid in the short-term. The price surge in natural gas is mainly a result of supply shortages. However, we believe that in the long-term the demand for energy will be structurally changed after the European Energy crisis. The Policy will be the main guidance in predicting the long-term demand for natural gas.</w:t>
      </w:r>
    </w:p>
    <w:p w14:paraId="4E29D420" w14:textId="77777777" w:rsidR="00781442" w:rsidRDefault="00000000">
      <w:pPr>
        <w:pStyle w:val="ListParagraph"/>
        <w:numPr>
          <w:ilvl w:val="0"/>
          <w:numId w:val="1"/>
        </w:num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Even if Germany's gas storage facilities were 100% full, they would only last two and a half months when Russian supplies were completely stopped. Unless households manage to cut gas consumption by at least 20%, avoiding emergencies amid possible rationing will be a challenge. </w:t>
      </w:r>
      <w:r>
        <w:rPr>
          <w:rFonts w:ascii="Times New Roman" w:eastAsia="Times New Roman" w:hAnsi="Times New Roman" w:cs="Times New Roman"/>
          <w:sz w:val="28"/>
          <w:szCs w:val="28"/>
        </w:rPr>
        <w:t xml:space="preserve">Germany's progress on gas reserves reduces the risk of energy rationing, but that does not mean it is mitigated. The final scenario still depends on how much businesses and households reduce their energy </w:t>
      </w:r>
      <w:bookmarkStart w:id="2" w:name="_Hlk118382772"/>
      <w:r>
        <w:rPr>
          <w:rFonts w:ascii="Times New Roman" w:eastAsia="Times New Roman" w:hAnsi="Times New Roman" w:cs="Times New Roman"/>
          <w:sz w:val="28"/>
          <w:szCs w:val="28"/>
        </w:rPr>
        <w:t>consumption and how cold this winter gets</w:t>
      </w:r>
      <w:bookmarkEnd w:id="2"/>
      <w:r>
        <w:rPr>
          <w:rFonts w:ascii="Times New Roman" w:eastAsia="Times New Roman" w:hAnsi="Times New Roman" w:cs="Times New Roman"/>
          <w:sz w:val="28"/>
          <w:szCs w:val="28"/>
        </w:rPr>
        <w:t>.</w:t>
      </w:r>
    </w:p>
    <w:p w14:paraId="35BB9CCD" w14:textId="77777777" w:rsidR="00781442" w:rsidRDefault="00000000">
      <w:pPr>
        <w:rPr>
          <w:sz w:val="28"/>
          <w:szCs w:val="28"/>
        </w:rPr>
      </w:pPr>
      <w:r>
        <w:rPr>
          <w:sz w:val="28"/>
          <w:szCs w:val="28"/>
        </w:rPr>
        <w:br w:type="page"/>
      </w:r>
    </w:p>
    <w:p w14:paraId="31EA5C7E" w14:textId="21AE57EA" w:rsidR="00781442" w:rsidRDefault="00781442" w:rsidP="006345A9">
      <w:pPr>
        <w:pStyle w:val="ListParagraph"/>
        <w:numPr>
          <w:ilvl w:val="0"/>
          <w:numId w:val="1"/>
        </w:numPr>
        <w:spacing w:line="360" w:lineRule="auto"/>
        <w:rPr>
          <w:color w:val="003300"/>
          <w:sz w:val="44"/>
          <w:szCs w:val="44"/>
        </w:rPr>
      </w:pP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rFonts w:ascii="宋体" w:hAnsi="宋体" w:cs="宋体"/>
          <w:b w:val="0"/>
          <w:sz w:val="28"/>
          <w:szCs w:val="24"/>
          <w:lang w:val="en-US"/>
        </w:rPr>
      </w:sdtEndPr>
      <w:sdtContent>
        <w:p w14:paraId="06EB10FD" w14:textId="77777777" w:rsidR="00781442" w:rsidRDefault="00000000">
          <w:pPr>
            <w:pStyle w:val="TOC1"/>
            <w:rPr>
              <w:rFonts w:ascii="Times New Roman" w:hAnsi="Times New Roman" w:cs="Times New Roman"/>
              <w:b/>
              <w:color w:val="003300"/>
              <w:kern w:val="2"/>
              <w:sz w:val="36"/>
              <w:szCs w:val="36"/>
            </w:rPr>
          </w:pPr>
          <w:r>
            <w:rPr>
              <w:rFonts w:ascii="Times New Roman" w:hAnsi="Times New Roman" w:cs="Times New Roman"/>
              <w:b/>
              <w:color w:val="003300"/>
              <w:kern w:val="2"/>
              <w:sz w:val="36"/>
              <w:szCs w:val="36"/>
            </w:rPr>
            <w:t>Content:</w:t>
          </w:r>
        </w:p>
        <w:p w14:paraId="2F3B5580" w14:textId="77777777" w:rsidR="00781442" w:rsidRDefault="00781442">
          <w:pPr>
            <w:spacing w:line="360" w:lineRule="auto"/>
            <w:rPr>
              <w:rFonts w:eastAsiaTheme="minorEastAsia" w:cstheme="minorBidi"/>
              <w:color w:val="000000" w:themeColor="text1"/>
              <w:szCs w:val="22"/>
              <w:lang w:val="zh-CN"/>
            </w:rPr>
          </w:pPr>
        </w:p>
        <w:p w14:paraId="124BE90B" w14:textId="591C3667" w:rsidR="00781442" w:rsidRDefault="00000000">
          <w:pPr>
            <w:pStyle w:val="TOC1"/>
            <w:rPr>
              <w:rFonts w:asciiTheme="minorHAnsi" w:eastAsiaTheme="minorEastAsia" w:hAnsiTheme="minorHAnsi" w:cstheme="minorBidi"/>
              <w:sz w:val="22"/>
              <w:szCs w:val="22"/>
            </w:rPr>
          </w:pPr>
          <w:r>
            <w:rPr>
              <w:sz w:val="28"/>
              <w:szCs w:val="28"/>
            </w:rPr>
            <w:fldChar w:fldCharType="begin"/>
          </w:r>
          <w:r>
            <w:rPr>
              <w:sz w:val="28"/>
              <w:szCs w:val="28"/>
            </w:rPr>
            <w:instrText xml:space="preserve"> TOC \o "1-3" \h \z \u </w:instrText>
          </w:r>
          <w:r>
            <w:rPr>
              <w:sz w:val="28"/>
              <w:szCs w:val="28"/>
            </w:rPr>
            <w:fldChar w:fldCharType="separate"/>
          </w:r>
          <w:hyperlink w:anchor="_Toc117700784" w:history="1">
            <w:r>
              <w:rPr>
                <w:rStyle w:val="Hyperlink"/>
                <w:rFonts w:ascii="Times New Roman" w:hAnsi="Times New Roman" w:cs="Times New Roman"/>
              </w:rPr>
              <w:t>Abstract</w:t>
            </w:r>
            <w:r>
              <w:rPr>
                <w:rStyle w:val="Hyperlink"/>
              </w:rPr>
              <w:t>:</w:t>
            </w:r>
            <w:r>
              <w:tab/>
            </w:r>
            <w:r>
              <w:fldChar w:fldCharType="begin"/>
            </w:r>
            <w:r>
              <w:instrText xml:space="preserve"> PAGEREF _Toc117700784 \h </w:instrText>
            </w:r>
            <w:r>
              <w:fldChar w:fldCharType="separate"/>
            </w:r>
            <w:r w:rsidR="00B21780">
              <w:rPr>
                <w:noProof/>
              </w:rPr>
              <w:t>1</w:t>
            </w:r>
            <w:r>
              <w:fldChar w:fldCharType="end"/>
            </w:r>
          </w:hyperlink>
        </w:p>
        <w:p w14:paraId="053800CC" w14:textId="77777777" w:rsidR="00781442" w:rsidRDefault="00000000">
          <w:pPr>
            <w:pStyle w:val="TOC1"/>
            <w:rPr>
              <w:rFonts w:asciiTheme="minorHAnsi" w:eastAsiaTheme="minorEastAsia" w:hAnsiTheme="minorHAnsi" w:cstheme="minorBidi"/>
              <w:sz w:val="22"/>
              <w:szCs w:val="22"/>
            </w:rPr>
          </w:pPr>
          <w:hyperlink w:anchor="_Toc117700785" w:history="1">
            <w:r>
              <w:rPr>
                <w:rStyle w:val="Hyperlink"/>
                <w:rFonts w:ascii="Times New Roman" w:hAnsi="Times New Roman" w:cs="Times New Roman"/>
              </w:rPr>
              <w:t>Introduction:</w:t>
            </w:r>
            <w:r>
              <w:tab/>
              <w:t>4</w:t>
            </w:r>
          </w:hyperlink>
        </w:p>
        <w:p w14:paraId="5083559E" w14:textId="77777777" w:rsidR="00781442" w:rsidRDefault="00000000">
          <w:pPr>
            <w:pStyle w:val="TOC1"/>
            <w:rPr>
              <w:rFonts w:asciiTheme="minorHAnsi" w:eastAsiaTheme="minorEastAsia" w:hAnsiTheme="minorHAnsi" w:cstheme="minorBidi"/>
              <w:sz w:val="22"/>
              <w:szCs w:val="22"/>
            </w:rPr>
          </w:pPr>
          <w:hyperlink w:anchor="_Toc117700786" w:history="1">
            <w:r>
              <w:rPr>
                <w:rStyle w:val="Hyperlink"/>
                <w:rFonts w:ascii="Times New Roman" w:hAnsi="Times New Roman" w:cs="Times New Roman"/>
              </w:rPr>
              <w:t xml:space="preserve">1. </w:t>
            </w:r>
            <w:bookmarkStart w:id="3" w:name="_Hlk118053165"/>
            <w:r>
              <w:rPr>
                <w:rStyle w:val="Hyperlink"/>
                <w:rFonts w:ascii="Times New Roman" w:hAnsi="Times New Roman" w:cs="Times New Roman"/>
              </w:rPr>
              <w:t>Supply Side: The electricity price has been highly affected by the lack of supply in natural gas</w:t>
            </w:r>
            <w:bookmarkEnd w:id="3"/>
            <w:r>
              <w:tab/>
              <w:t>4</w:t>
            </w:r>
          </w:hyperlink>
        </w:p>
        <w:p w14:paraId="5978817D" w14:textId="77777777" w:rsidR="00781442" w:rsidRDefault="00000000">
          <w:pPr>
            <w:pStyle w:val="TOC2"/>
            <w:rPr>
              <w:rFonts w:asciiTheme="minorHAnsi" w:eastAsiaTheme="minorEastAsia" w:hAnsiTheme="minorHAnsi" w:cstheme="minorBidi"/>
              <w:sz w:val="22"/>
              <w:szCs w:val="22"/>
            </w:rPr>
          </w:pPr>
          <w:hyperlink w:anchor="_Toc117700787" w:history="1">
            <w:r>
              <w:rPr>
                <w:rStyle w:val="Hyperlink"/>
                <w:rFonts w:ascii="Times New Roman" w:hAnsi="Times New Roman" w:cs="Times New Roman"/>
              </w:rPr>
              <w:t xml:space="preserve">1.1. </w:t>
            </w:r>
            <w:bookmarkStart w:id="4" w:name="_Hlk118053184"/>
            <w:r>
              <w:rPr>
                <w:rStyle w:val="Hyperlink"/>
                <w:rFonts w:ascii="Times New Roman" w:hAnsi="Times New Roman" w:cs="Times New Roman"/>
              </w:rPr>
              <w:t xml:space="preserve">The price of electricity is determined by Marginal Cost Pricing </w:t>
            </w:r>
            <w:r>
              <w:rPr>
                <w:rStyle w:val="Hyperlink"/>
                <w:rFonts w:ascii="Times New Roman" w:hAnsi="Times New Roman" w:cs="Times New Roman" w:hint="eastAsia"/>
              </w:rPr>
              <w:t>Mechanism</w:t>
            </w:r>
            <w:bookmarkEnd w:id="4"/>
            <w:r>
              <w:tab/>
              <w:t>4</w:t>
            </w:r>
          </w:hyperlink>
        </w:p>
        <w:p w14:paraId="7F0C723F" w14:textId="77777777" w:rsidR="00781442" w:rsidRDefault="00000000">
          <w:pPr>
            <w:pStyle w:val="TOC2"/>
            <w:rPr>
              <w:rStyle w:val="Hyperlink"/>
            </w:rPr>
          </w:pPr>
          <w:hyperlink w:anchor="_Toc117700788" w:history="1">
            <w:r>
              <w:rPr>
                <w:rStyle w:val="Hyperlink"/>
                <w:rFonts w:ascii="Times New Roman" w:hAnsi="Times New Roman" w:cs="Times New Roman"/>
              </w:rPr>
              <w:t>1.2. The lack of natural gas supply</w:t>
            </w:r>
            <w:r>
              <w:tab/>
              <w:t>6</w:t>
            </w:r>
          </w:hyperlink>
        </w:p>
        <w:p w14:paraId="1B87D2ED" w14:textId="77777777" w:rsidR="00781442" w:rsidRDefault="00000000">
          <w:pPr>
            <w:pStyle w:val="TOC2"/>
            <w:rPr>
              <w:color w:val="0563C1" w:themeColor="hyperlink"/>
              <w:u w:val="single"/>
            </w:rPr>
          </w:pPr>
          <w:hyperlink w:anchor="_Toc117700788" w:history="1">
            <w:r>
              <w:rPr>
                <w:rStyle w:val="Hyperlink"/>
                <w:rFonts w:ascii="Times New Roman" w:hAnsi="Times New Roman" w:cs="Times New Roman"/>
              </w:rPr>
              <w:t>1.3. The failure of other Energies to fill the gap</w:t>
            </w:r>
            <w:r>
              <w:tab/>
              <w:t>9</w:t>
            </w:r>
          </w:hyperlink>
        </w:p>
        <w:p w14:paraId="44B38146" w14:textId="2E00E1AE" w:rsidR="00781442" w:rsidRDefault="00000000">
          <w:pPr>
            <w:pStyle w:val="TOC1"/>
          </w:pPr>
          <w:hyperlink w:anchor="_Toc117700789" w:history="1">
            <w:r>
              <w:rPr>
                <w:rStyle w:val="Hyperlink"/>
                <w:rFonts w:ascii="Times New Roman" w:hAnsi="Times New Roman" w:cs="Times New Roman"/>
              </w:rPr>
              <w:t>2. Energy Consumption</w:t>
            </w:r>
            <w:r>
              <w:tab/>
            </w:r>
            <w:r>
              <w:fldChar w:fldCharType="begin"/>
            </w:r>
            <w:r>
              <w:instrText xml:space="preserve"> PAGEREF _Toc117700789 \h </w:instrText>
            </w:r>
            <w:r>
              <w:fldChar w:fldCharType="separate"/>
            </w:r>
            <w:r w:rsidR="00B21780">
              <w:rPr>
                <w:noProof/>
              </w:rPr>
              <w:t>10</w:t>
            </w:r>
            <w:r>
              <w:fldChar w:fldCharType="end"/>
            </w:r>
          </w:hyperlink>
        </w:p>
        <w:p w14:paraId="35733698" w14:textId="77777777" w:rsidR="00781442" w:rsidRDefault="00000000">
          <w:pPr>
            <w:pStyle w:val="TOC2"/>
            <w:rPr>
              <w:rFonts w:asciiTheme="minorHAnsi" w:eastAsiaTheme="minorEastAsia" w:hAnsiTheme="minorHAnsi" w:cstheme="minorBidi"/>
              <w:sz w:val="22"/>
              <w:szCs w:val="22"/>
            </w:rPr>
          </w:pPr>
          <w:hyperlink w:anchor="_Toc117700787" w:history="1">
            <w:r>
              <w:rPr>
                <w:rStyle w:val="Hyperlink"/>
                <w:rFonts w:ascii="Times New Roman" w:hAnsi="Times New Roman" w:cs="Times New Roman"/>
              </w:rPr>
              <w:t>2.1. Energy consumption before Energy Crisis</w:t>
            </w:r>
            <w:r>
              <w:tab/>
              <w:t>12</w:t>
            </w:r>
          </w:hyperlink>
        </w:p>
        <w:p w14:paraId="200228BB" w14:textId="77777777" w:rsidR="00781442" w:rsidRDefault="00000000">
          <w:pPr>
            <w:pStyle w:val="TOC2"/>
            <w:rPr>
              <w:rFonts w:asciiTheme="minorHAnsi" w:eastAsiaTheme="minorEastAsia" w:hAnsiTheme="minorHAnsi" w:cstheme="minorBidi"/>
              <w:sz w:val="22"/>
              <w:szCs w:val="22"/>
            </w:rPr>
          </w:pPr>
          <w:hyperlink w:anchor="_Toc117700787" w:history="1">
            <w:r>
              <w:rPr>
                <w:rStyle w:val="Hyperlink"/>
                <w:rFonts w:ascii="Times New Roman" w:hAnsi="Times New Roman" w:cs="Times New Roman"/>
              </w:rPr>
              <w:t>2.2. Natural Gas price surge and demand analysis</w:t>
            </w:r>
            <w:r>
              <w:tab/>
              <w:t>16</w:t>
            </w:r>
          </w:hyperlink>
        </w:p>
        <w:p w14:paraId="0DE15AAA" w14:textId="77777777" w:rsidR="00781442" w:rsidRDefault="00000000">
          <w:pPr>
            <w:pStyle w:val="TOC1"/>
            <w:rPr>
              <w:rStyle w:val="Hyperlink"/>
            </w:rPr>
          </w:pPr>
          <w:hyperlink w:anchor="_Toc117700789" w:history="1">
            <w:r>
              <w:rPr>
                <w:rStyle w:val="Hyperlink"/>
                <w:rFonts w:ascii="Times New Roman" w:hAnsi="Times New Roman" w:cs="Times New Roman"/>
              </w:rPr>
              <w:t>3. Case Study: Germany</w:t>
            </w:r>
            <w:r>
              <w:tab/>
              <w:t>22</w:t>
            </w:r>
          </w:hyperlink>
        </w:p>
        <w:p w14:paraId="195FDF3C" w14:textId="77777777" w:rsidR="00781442" w:rsidRDefault="00000000">
          <w:pPr>
            <w:pStyle w:val="TOC2"/>
            <w:rPr>
              <w:rFonts w:asciiTheme="minorHAnsi" w:eastAsiaTheme="minorEastAsia" w:hAnsiTheme="minorHAnsi" w:cstheme="minorBidi"/>
              <w:sz w:val="22"/>
              <w:szCs w:val="22"/>
            </w:rPr>
          </w:pPr>
          <w:hyperlink w:anchor="_Toc117700787" w:history="1">
            <w:r>
              <w:rPr>
                <w:rStyle w:val="Hyperlink"/>
                <w:rFonts w:ascii="Times New Roman" w:hAnsi="Times New Roman" w:cs="Times New Roman"/>
              </w:rPr>
              <w:t>3.1. The supply side</w:t>
            </w:r>
            <w:r>
              <w:tab/>
              <w:t>22</w:t>
            </w:r>
          </w:hyperlink>
        </w:p>
        <w:p w14:paraId="0E03D279" w14:textId="77777777" w:rsidR="00781442" w:rsidRDefault="00000000">
          <w:pPr>
            <w:pStyle w:val="TOC2"/>
            <w:rPr>
              <w:rStyle w:val="Hyperlink"/>
            </w:rPr>
          </w:pPr>
          <w:r>
            <w:rPr>
              <w:rStyle w:val="Hyperlink"/>
              <w:rFonts w:ascii="Times New Roman" w:hAnsi="Times New Roman" w:cs="Times New Roman"/>
              <w:color w:val="auto"/>
              <w:u w:val="none"/>
            </w:rPr>
            <w:t>3.2. The demand side</w:t>
          </w:r>
          <w:r>
            <w:tab/>
            <w:t>23</w:t>
          </w:r>
        </w:p>
        <w:p w14:paraId="43AE1EFC" w14:textId="77777777" w:rsidR="00781442" w:rsidRDefault="00000000">
          <w:pPr>
            <w:pStyle w:val="TOC2"/>
            <w:rPr>
              <w:color w:val="0563C1" w:themeColor="hyperlink"/>
              <w:u w:val="single"/>
            </w:rPr>
          </w:pPr>
          <w:hyperlink w:anchor="_Toc117700788" w:history="1">
            <w:r>
              <w:rPr>
                <w:rStyle w:val="Hyperlink"/>
                <w:rFonts w:ascii="Times New Roman" w:hAnsi="Times New Roman" w:cs="Times New Roman"/>
              </w:rPr>
              <w:t>3.3. Conclusion</w:t>
            </w:r>
            <w:r>
              <w:tab/>
              <w:t>25</w:t>
            </w:r>
          </w:hyperlink>
        </w:p>
        <w:p w14:paraId="09E777C7" w14:textId="77777777" w:rsidR="00781442" w:rsidRDefault="00000000">
          <w:pPr>
            <w:pStyle w:val="TOC1"/>
            <w:rPr>
              <w:color w:val="0563C1" w:themeColor="hyperlink"/>
              <w:u w:val="single"/>
            </w:rPr>
          </w:pPr>
          <w:hyperlink w:anchor="_Toc117700789" w:history="1">
            <w:r>
              <w:rPr>
                <w:rStyle w:val="Hyperlink"/>
                <w:rFonts w:ascii="Times New Roman" w:hAnsi="Times New Roman" w:cs="Times New Roman"/>
              </w:rPr>
              <w:t>4. Forward looking</w:t>
            </w:r>
            <w:r>
              <w:tab/>
              <w:t>26</w:t>
            </w:r>
          </w:hyperlink>
          <w:r>
            <w:rPr>
              <w:sz w:val="28"/>
            </w:rPr>
            <w:fldChar w:fldCharType="end"/>
          </w:r>
        </w:p>
      </w:sdtContent>
    </w:sdt>
    <w:p w14:paraId="0FEAB2AF" w14:textId="77777777" w:rsidR="00781442" w:rsidRDefault="00000000">
      <w:pPr>
        <w:spacing w:line="360" w:lineRule="auto"/>
        <w:rPr>
          <w:color w:val="003300"/>
          <w:sz w:val="44"/>
          <w:szCs w:val="44"/>
        </w:rPr>
      </w:pPr>
      <w:r>
        <w:rPr>
          <w:color w:val="003300"/>
          <w:sz w:val="44"/>
          <w:szCs w:val="44"/>
        </w:rPr>
        <w:br w:type="page"/>
      </w:r>
    </w:p>
    <w:p w14:paraId="39D5AF8D" w14:textId="77777777" w:rsidR="00781442" w:rsidRDefault="00000000">
      <w:pPr>
        <w:pStyle w:val="IBSG"/>
        <w:spacing w:line="360" w:lineRule="auto"/>
      </w:pPr>
      <w:bookmarkStart w:id="5" w:name="_Toc117700785"/>
      <w:r>
        <w:rPr>
          <w:rFonts w:ascii="Times New Roman" w:hAnsi="Times New Roman" w:cs="Times New Roman"/>
          <w:b w:val="0"/>
          <w:sz w:val="36"/>
          <w:szCs w:val="36"/>
        </w:rPr>
        <w:lastRenderedPageBreak/>
        <w:t>Introduction:</w:t>
      </w:r>
      <w:bookmarkEnd w:id="5"/>
      <w:r>
        <w:rPr>
          <w:rFonts w:ascii="Times New Roman" w:hAnsi="Times New Roman" w:cs="Times New Roman"/>
          <w:b w:val="0"/>
          <w:sz w:val="36"/>
          <w:szCs w:val="36"/>
        </w:rPr>
        <w:tab/>
      </w:r>
    </w:p>
    <w:p w14:paraId="278CC929" w14:textId="3F97AE33" w:rsidR="00781442" w:rsidRDefault="00000000">
      <w:pPr>
        <w:spacing w:line="360" w:lineRule="auto"/>
        <w:rPr>
          <w:bCs/>
        </w:rPr>
      </w:pPr>
      <w:r>
        <w:rPr>
          <w:bCs/>
        </w:rPr>
        <w:t>As a developed capital market, Europe has always been a leader in ESG development. However, since February 2022, affected by the Russian-Ukrainian war and the long-term lack of energy investment, European energy supply has fallen into a shortage and prices have soared. In the short-term, the energy crisis will disrupt the EU's carbon neutrality plan and make the EU pay for its over-reliance on imported natural gas; but in the long run, the EU will embrace new energy more quickly after the adjustment period.</w:t>
      </w:r>
    </w:p>
    <w:p w14:paraId="69ABCB05" w14:textId="77777777" w:rsidR="00781442" w:rsidRDefault="00781442">
      <w:pPr>
        <w:spacing w:line="360" w:lineRule="auto"/>
        <w:rPr>
          <w:bCs/>
        </w:rPr>
      </w:pPr>
    </w:p>
    <w:p w14:paraId="7E987653" w14:textId="3E0C9372" w:rsidR="00781442" w:rsidRDefault="00000000">
      <w:pPr>
        <w:spacing w:line="360" w:lineRule="auto"/>
        <w:rPr>
          <w:bCs/>
        </w:rPr>
      </w:pPr>
      <w:r>
        <w:rPr>
          <w:bCs/>
        </w:rPr>
        <w:t xml:space="preserve">To make a better judgment on the development of new energy in Europe and the future price trend of traditional </w:t>
      </w:r>
      <w:proofErr w:type="gramStart"/>
      <w:r>
        <w:rPr>
          <w:bCs/>
        </w:rPr>
        <w:t>energy</w:t>
      </w:r>
      <w:r>
        <w:rPr>
          <w:rFonts w:hint="eastAsia"/>
          <w:bCs/>
        </w:rPr>
        <w:t xml:space="preserve"> </w:t>
      </w:r>
      <w:r>
        <w:rPr>
          <w:bCs/>
          <w:lang w:eastAsia="zh-TW"/>
        </w:rPr>
        <w:t>,we</w:t>
      </w:r>
      <w:proofErr w:type="gramEnd"/>
      <w:r>
        <w:rPr>
          <w:bCs/>
          <w:lang w:eastAsia="zh-TW"/>
        </w:rPr>
        <w:t xml:space="preserve"> </w:t>
      </w:r>
      <w:r>
        <w:rPr>
          <w:rFonts w:hint="eastAsia"/>
          <w:bCs/>
        </w:rPr>
        <w:t>w</w:t>
      </w:r>
      <w:r>
        <w:rPr>
          <w:bCs/>
        </w:rPr>
        <w:t xml:space="preserve">ill discuss the shortage of traditional energy in Europe, the development status of new energy, and the </w:t>
      </w:r>
      <w:r>
        <w:rPr>
          <w:rFonts w:hint="eastAsia"/>
          <w:bCs/>
        </w:rPr>
        <w:t>compensation</w:t>
      </w:r>
      <w:r>
        <w:rPr>
          <w:bCs/>
        </w:rPr>
        <w:t xml:space="preserve"> of traditional energy shortages.</w:t>
      </w:r>
    </w:p>
    <w:p w14:paraId="3A00437E" w14:textId="77777777" w:rsidR="00781442" w:rsidRDefault="00781442">
      <w:pPr>
        <w:spacing w:line="360" w:lineRule="auto"/>
        <w:ind w:firstLine="720"/>
        <w:rPr>
          <w:rFonts w:eastAsiaTheme="minorEastAsia"/>
          <w:b/>
          <w:color w:val="000000" w:themeColor="text1"/>
          <w:szCs w:val="22"/>
        </w:rPr>
      </w:pPr>
    </w:p>
    <w:p w14:paraId="3729FDA2" w14:textId="77777777" w:rsidR="00781442" w:rsidRDefault="00000000">
      <w:pPr>
        <w:pStyle w:val="Heading1"/>
        <w:spacing w:line="360" w:lineRule="auto"/>
        <w:rPr>
          <w:rFonts w:ascii="Times New Roman" w:hAnsi="Times New Roman" w:cs="Times New Roman"/>
          <w:szCs w:val="36"/>
        </w:rPr>
      </w:pPr>
      <w:bookmarkStart w:id="6" w:name="_Toc117700786"/>
      <w:r>
        <w:rPr>
          <w:rFonts w:ascii="Times New Roman" w:hAnsi="Times New Roman" w:cs="Times New Roman"/>
          <w:szCs w:val="36"/>
        </w:rPr>
        <w:t xml:space="preserve">1. Supply Side: The electricity price has been highly affected by the lack of supply in natural gas </w:t>
      </w:r>
      <w:bookmarkEnd w:id="6"/>
    </w:p>
    <w:p w14:paraId="60F406EB" w14:textId="77777777" w:rsidR="00781442" w:rsidRDefault="00781442"/>
    <w:p w14:paraId="0CBA41C3" w14:textId="1691937F" w:rsidR="00781442" w:rsidRDefault="00000000">
      <w:pPr>
        <w:pStyle w:val="Heading2"/>
        <w:spacing w:line="360" w:lineRule="auto"/>
      </w:pPr>
      <w:bookmarkStart w:id="7" w:name="_Toc117700787"/>
      <w:r>
        <w:rPr>
          <w:rFonts w:ascii="Times New Roman" w:hAnsi="Times New Roman" w:cs="Times New Roman"/>
          <w:b w:val="0"/>
          <w:szCs w:val="24"/>
        </w:rPr>
        <w:t xml:space="preserve">1.1 The price of electricity is determined by Marginal-cost pricing mechanism </w:t>
      </w:r>
      <w:bookmarkEnd w:id="7"/>
    </w:p>
    <w:p w14:paraId="607987E4" w14:textId="77777777" w:rsidR="00781442" w:rsidRDefault="00781442">
      <w:pPr>
        <w:spacing w:line="360" w:lineRule="auto"/>
        <w:rPr>
          <w:bCs/>
        </w:rPr>
      </w:pPr>
    </w:p>
    <w:p w14:paraId="315F1C8E" w14:textId="77777777" w:rsidR="00781442" w:rsidRDefault="00000000">
      <w:pPr>
        <w:spacing w:line="360" w:lineRule="auto"/>
        <w:ind w:firstLine="720"/>
        <w:rPr>
          <w:bCs/>
        </w:rPr>
      </w:pPr>
      <w:r>
        <w:rPr>
          <w:bCs/>
        </w:rPr>
        <w:t xml:space="preserve">Entering 2022, the electricity price for Europe has been escalating a lot. As shown below, the electricity prices for EU main countries have doubled, with the peak exceeding 500 Euros/MWh, due to the unique Marginal Costs Pricing Mechanism, </w:t>
      </w:r>
      <w:bookmarkStart w:id="8" w:name="_Hlk120877760"/>
      <w:r>
        <w:rPr>
          <w:bCs/>
        </w:rPr>
        <w:t>lack of natural gas supply</w:t>
      </w:r>
      <w:bookmarkEnd w:id="8"/>
      <w:r>
        <w:rPr>
          <w:bCs/>
        </w:rPr>
        <w:t xml:space="preserve"> and the failure of other energies to fill the gap.</w:t>
      </w:r>
    </w:p>
    <w:p w14:paraId="28D74E8D" w14:textId="77777777" w:rsidR="00781442" w:rsidRDefault="00000000">
      <w:pPr>
        <w:spacing w:line="360" w:lineRule="auto"/>
        <w:jc w:val="center"/>
      </w:pPr>
      <w:r>
        <w:rPr>
          <w:i/>
          <w:iCs/>
          <w:color w:val="666666"/>
          <w:sz w:val="22"/>
          <w:szCs w:val="22"/>
        </w:rPr>
        <w:t>Figure: Electricity prices in the selected EU countries</w:t>
      </w:r>
    </w:p>
    <w:p w14:paraId="66ED3E54" w14:textId="77777777" w:rsidR="00781442" w:rsidRDefault="00000000">
      <w:pPr>
        <w:spacing w:line="360" w:lineRule="auto"/>
        <w:rPr>
          <w:bCs/>
          <w:i/>
          <w:color w:val="666666"/>
          <w:sz w:val="22"/>
          <w:szCs w:val="22"/>
        </w:rPr>
      </w:pPr>
      <w:r>
        <w:rPr>
          <w:noProof/>
          <w:color w:val="000000"/>
        </w:rPr>
        <w:lastRenderedPageBreak/>
        <w:drawing>
          <wp:inline distT="0" distB="0" distL="0" distR="0" wp14:anchorId="4B748217" wp14:editId="612F15BA">
            <wp:extent cx="6093460" cy="4030980"/>
            <wp:effectExtent l="19050" t="19050" r="21590" b="266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21801" cy="4049630"/>
                    </a:xfrm>
                    <a:prstGeom prst="rect">
                      <a:avLst/>
                    </a:prstGeom>
                    <a:noFill/>
                    <a:ln>
                      <a:solidFill>
                        <a:schemeClr val="bg2"/>
                      </a:solidFill>
                    </a:ln>
                  </pic:spPr>
                </pic:pic>
              </a:graphicData>
            </a:graphic>
          </wp:inline>
        </w:drawing>
      </w:r>
    </w:p>
    <w:p w14:paraId="367D04D1" w14:textId="77777777" w:rsidR="00781442" w:rsidRDefault="00000000">
      <w:pPr>
        <w:spacing w:line="360" w:lineRule="auto"/>
        <w:rPr>
          <w:rFonts w:eastAsia="Arial"/>
          <w:bCs/>
          <w:i/>
          <w:color w:val="595959"/>
          <w:sz w:val="22"/>
          <w:szCs w:val="22"/>
        </w:rPr>
      </w:pPr>
      <w:r>
        <w:rPr>
          <w:bCs/>
          <w:i/>
          <w:color w:val="595959"/>
          <w:sz w:val="22"/>
          <w:szCs w:val="22"/>
        </w:rPr>
        <w:t xml:space="preserve">Source: </w:t>
      </w:r>
      <w:r>
        <w:rPr>
          <w:rFonts w:eastAsia="Arial"/>
          <w:bCs/>
          <w:i/>
          <w:color w:val="595959"/>
          <w:sz w:val="22"/>
          <w:szCs w:val="22"/>
        </w:rPr>
        <w:t>Statista</w:t>
      </w:r>
    </w:p>
    <w:p w14:paraId="752E99C5" w14:textId="77777777" w:rsidR="00781442" w:rsidRDefault="00781442">
      <w:pPr>
        <w:spacing w:line="360" w:lineRule="auto"/>
        <w:rPr>
          <w:bCs/>
          <w:i/>
          <w:color w:val="595959"/>
          <w:sz w:val="22"/>
          <w:szCs w:val="22"/>
        </w:rPr>
      </w:pPr>
    </w:p>
    <w:p w14:paraId="17CDFE39" w14:textId="69AFDA6D" w:rsidR="00781442" w:rsidRDefault="00000000">
      <w:pPr>
        <w:spacing w:line="360" w:lineRule="auto"/>
        <w:ind w:firstLine="720"/>
        <w:rPr>
          <w:bCs/>
        </w:rPr>
      </w:pPr>
      <w:r>
        <w:rPr>
          <w:bCs/>
        </w:rPr>
        <w:t xml:space="preserve">The escalation of natural gas’s price drives the marginal cost up, lifting the electricity price, determined by Marginal-cost pricing mechanism. The European electricity market has always been priced at marginal cost, which is the price quoted by the last electricity supplier whose transactional electricity meets the load demand. The electricity of the generator set with the quotation higher than the marginal electricity price cannot be traded, and the bidding fails; the generator set with the quotation lower than the marginal electricity price does not settle the spot electricity according to the quotation and the electricity </w:t>
      </w:r>
      <w:proofErr w:type="gramStart"/>
      <w:r>
        <w:rPr>
          <w:bCs/>
        </w:rPr>
        <w:t>market, but</w:t>
      </w:r>
      <w:proofErr w:type="gramEnd"/>
      <w:r>
        <w:rPr>
          <w:bCs/>
        </w:rPr>
        <w:t xml:space="preserve"> settles according to the marginal electricity price of the system.</w:t>
      </w:r>
    </w:p>
    <w:p w14:paraId="549E9AA9" w14:textId="77777777" w:rsidR="00781442" w:rsidRDefault="00000000">
      <w:pPr>
        <w:spacing w:line="360" w:lineRule="auto"/>
        <w:ind w:firstLine="720"/>
        <w:rPr>
          <w:bCs/>
        </w:rPr>
      </w:pPr>
      <w:r>
        <w:rPr>
          <w:bCs/>
        </w:rPr>
        <w:t xml:space="preserve">Gas-fired power plants used to be marginal suppliers of electricity, meaning that the cost of generating electricity from natural gas determined electricity prices in Europe, because natural gas power plants have the advantage of being able to scale up or down faster than other thermal power plants (e.g., nuclear, lignite, hard coal). </w:t>
      </w:r>
    </w:p>
    <w:p w14:paraId="63A029F2" w14:textId="77777777" w:rsidR="00781442" w:rsidRDefault="00000000">
      <w:pPr>
        <w:spacing w:line="360" w:lineRule="auto"/>
        <w:jc w:val="center"/>
      </w:pPr>
      <w:r>
        <w:rPr>
          <w:i/>
          <w:iCs/>
          <w:color w:val="666666"/>
          <w:sz w:val="22"/>
          <w:szCs w:val="22"/>
        </w:rPr>
        <w:t xml:space="preserve">Figure: German marginal power gen costs inclusive of emission </w:t>
      </w:r>
      <w:proofErr w:type="gramStart"/>
      <w:r>
        <w:rPr>
          <w:i/>
          <w:iCs/>
          <w:color w:val="666666"/>
          <w:sz w:val="22"/>
          <w:szCs w:val="22"/>
        </w:rPr>
        <w:t>allowances(</w:t>
      </w:r>
      <w:proofErr w:type="gramEnd"/>
      <w:r>
        <w:rPr>
          <w:i/>
          <w:iCs/>
          <w:color w:val="666666"/>
          <w:sz w:val="22"/>
          <w:szCs w:val="22"/>
        </w:rPr>
        <w:t>Euros/MWh)</w:t>
      </w:r>
    </w:p>
    <w:p w14:paraId="12761FFA" w14:textId="77777777" w:rsidR="00781442" w:rsidRDefault="00000000">
      <w:pPr>
        <w:spacing w:line="360" w:lineRule="auto"/>
        <w:rPr>
          <w:bCs/>
          <w:i/>
          <w:color w:val="666666"/>
          <w:sz w:val="22"/>
          <w:szCs w:val="22"/>
        </w:rPr>
      </w:pPr>
      <w:r>
        <w:rPr>
          <w:noProof/>
          <w:color w:val="000000"/>
        </w:rPr>
        <w:lastRenderedPageBreak/>
        <w:drawing>
          <wp:inline distT="0" distB="0" distL="0" distR="0" wp14:anchorId="1C00FABC" wp14:editId="7B6F884A">
            <wp:extent cx="4059555" cy="2461895"/>
            <wp:effectExtent l="19050" t="19050" r="17145" b="146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4059555" cy="2461895"/>
                    </a:xfrm>
                    <a:prstGeom prst="rect">
                      <a:avLst/>
                    </a:prstGeom>
                    <a:noFill/>
                    <a:ln>
                      <a:solidFill>
                        <a:schemeClr val="bg2"/>
                      </a:solidFill>
                    </a:ln>
                  </pic:spPr>
                </pic:pic>
              </a:graphicData>
            </a:graphic>
          </wp:inline>
        </w:drawing>
      </w:r>
    </w:p>
    <w:p w14:paraId="46C984C4" w14:textId="77777777" w:rsidR="00781442" w:rsidRDefault="00000000">
      <w:pPr>
        <w:spacing w:line="360" w:lineRule="auto"/>
        <w:rPr>
          <w:i/>
          <w:iCs/>
          <w:color w:val="595959"/>
          <w:sz w:val="22"/>
          <w:szCs w:val="22"/>
          <w:shd w:val="clear" w:color="auto" w:fill="FFFFFF"/>
        </w:rPr>
      </w:pPr>
      <w:r>
        <w:rPr>
          <w:bCs/>
          <w:i/>
          <w:color w:val="595959"/>
          <w:sz w:val="22"/>
          <w:szCs w:val="22"/>
        </w:rPr>
        <w:t xml:space="preserve">Source: </w:t>
      </w:r>
      <w:r>
        <w:rPr>
          <w:i/>
          <w:iCs/>
          <w:color w:val="595959"/>
          <w:sz w:val="22"/>
          <w:szCs w:val="22"/>
          <w:shd w:val="clear" w:color="auto" w:fill="FFFFFF"/>
        </w:rPr>
        <w:t>Deutsche Bank, Bloomberg</w:t>
      </w:r>
    </w:p>
    <w:p w14:paraId="3BF74073" w14:textId="77777777" w:rsidR="00781442" w:rsidRDefault="00781442">
      <w:pPr>
        <w:spacing w:line="360" w:lineRule="auto"/>
        <w:rPr>
          <w:bCs/>
          <w:i/>
          <w:color w:val="595959"/>
          <w:sz w:val="22"/>
          <w:szCs w:val="22"/>
        </w:rPr>
      </w:pPr>
    </w:p>
    <w:p w14:paraId="17704F2D" w14:textId="77777777" w:rsidR="00781442" w:rsidRDefault="00000000">
      <w:pPr>
        <w:spacing w:line="360" w:lineRule="auto"/>
        <w:ind w:firstLine="720"/>
        <w:rPr>
          <w:bCs/>
        </w:rPr>
      </w:pPr>
      <w:r>
        <w:rPr>
          <w:bCs/>
        </w:rPr>
        <w:t>Therefore, once the price of natural gas rises, the cost of electricity will inevitably rise. As the price of natural gas continues to rise, so does the marginal cost price of natural gas power plants. Even if most of a country's electricity comes from clean energy generation, it has to pay high electricity prices.</w:t>
      </w:r>
    </w:p>
    <w:p w14:paraId="4A9A2B31" w14:textId="77777777" w:rsidR="00781442" w:rsidRDefault="00781442">
      <w:pPr>
        <w:spacing w:line="360" w:lineRule="auto"/>
        <w:ind w:firstLineChars="200" w:firstLine="480"/>
      </w:pPr>
    </w:p>
    <w:p w14:paraId="1777D956" w14:textId="1A5B6BB4" w:rsidR="00781442" w:rsidRDefault="00000000">
      <w:pPr>
        <w:pStyle w:val="Heading2"/>
        <w:spacing w:line="360" w:lineRule="auto"/>
        <w:rPr>
          <w:rFonts w:ascii="Times New Roman" w:hAnsi="Times New Roman" w:cs="Times New Roman"/>
          <w:b w:val="0"/>
        </w:rPr>
      </w:pPr>
      <w:bookmarkStart w:id="9" w:name="_Hlk118055110"/>
      <w:bookmarkStart w:id="10" w:name="_Toc117700788"/>
      <w:r>
        <w:rPr>
          <w:rFonts w:ascii="Times New Roman" w:hAnsi="Times New Roman" w:cs="Times New Roman"/>
          <w:b w:val="0"/>
        </w:rPr>
        <w:t xml:space="preserve">1.2. The </w:t>
      </w:r>
      <w:bookmarkEnd w:id="9"/>
      <w:bookmarkEnd w:id="10"/>
      <w:r>
        <w:rPr>
          <w:rFonts w:ascii="Times New Roman" w:hAnsi="Times New Roman" w:cs="Times New Roman"/>
          <w:b w:val="0"/>
        </w:rPr>
        <w:t>natural gas supply shortage</w:t>
      </w:r>
    </w:p>
    <w:p w14:paraId="6BD9663F" w14:textId="77777777" w:rsidR="00781442" w:rsidRDefault="00781442"/>
    <w:p w14:paraId="0E346CF6" w14:textId="577AAAE1" w:rsidR="00781442" w:rsidRDefault="00000000">
      <w:pPr>
        <w:spacing w:line="360" w:lineRule="auto"/>
        <w:ind w:firstLine="480"/>
      </w:pPr>
      <w:r>
        <w:t>According to BP data, about 21% of the total electricity generation in the EU and the UK in 2021</w:t>
      </w:r>
      <w:r w:rsidR="00306784">
        <w:t xml:space="preserve"> </w:t>
      </w:r>
      <w:r>
        <w:t>c</w:t>
      </w:r>
      <w:r w:rsidR="00306784">
        <w:t>a</w:t>
      </w:r>
      <w:r>
        <w:t>me from natural gas, making it the third largest source of electricity generation in Europe after renewable energy (27%) and nuclear energy (24%).</w:t>
      </w:r>
    </w:p>
    <w:p w14:paraId="449547DF" w14:textId="77777777" w:rsidR="00781442" w:rsidRDefault="00000000">
      <w:pPr>
        <w:spacing w:line="360" w:lineRule="auto"/>
        <w:jc w:val="center"/>
      </w:pPr>
      <w:r>
        <w:rPr>
          <w:i/>
          <w:iCs/>
          <w:color w:val="666666"/>
          <w:sz w:val="22"/>
          <w:szCs w:val="22"/>
        </w:rPr>
        <w:t>Figure: 2021 EU &amp; UK electricity source</w:t>
      </w:r>
    </w:p>
    <w:p w14:paraId="2DF30A62" w14:textId="77777777" w:rsidR="00781442" w:rsidRDefault="00000000">
      <w:pPr>
        <w:spacing w:line="360" w:lineRule="auto"/>
        <w:rPr>
          <w:bCs/>
          <w:i/>
          <w:color w:val="666666"/>
          <w:sz w:val="22"/>
          <w:szCs w:val="22"/>
        </w:rPr>
      </w:pPr>
      <w:r>
        <w:rPr>
          <w:noProof/>
          <w:color w:val="000000"/>
        </w:rPr>
        <w:lastRenderedPageBreak/>
        <w:drawing>
          <wp:inline distT="0" distB="0" distL="0" distR="0" wp14:anchorId="6C9FC181" wp14:editId="02E80790">
            <wp:extent cx="3416300" cy="2954020"/>
            <wp:effectExtent l="19050" t="19050" r="12700" b="1778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16300" cy="2954020"/>
                    </a:xfrm>
                    <a:prstGeom prst="rect">
                      <a:avLst/>
                    </a:prstGeom>
                    <a:noFill/>
                    <a:ln>
                      <a:solidFill>
                        <a:schemeClr val="bg2"/>
                      </a:solidFill>
                    </a:ln>
                  </pic:spPr>
                </pic:pic>
              </a:graphicData>
            </a:graphic>
          </wp:inline>
        </w:drawing>
      </w:r>
    </w:p>
    <w:p w14:paraId="5FE2194E" w14:textId="77777777" w:rsidR="00781442" w:rsidRDefault="00000000">
      <w:pPr>
        <w:spacing w:line="360" w:lineRule="auto"/>
        <w:rPr>
          <w:rFonts w:eastAsia="Arial"/>
          <w:bCs/>
          <w:i/>
          <w:color w:val="595959"/>
          <w:sz w:val="22"/>
          <w:szCs w:val="22"/>
        </w:rPr>
      </w:pPr>
      <w:r>
        <w:rPr>
          <w:bCs/>
          <w:i/>
          <w:color w:val="595959"/>
          <w:sz w:val="22"/>
          <w:szCs w:val="22"/>
        </w:rPr>
        <w:t xml:space="preserve">Source: </w:t>
      </w:r>
      <w:r>
        <w:rPr>
          <w:i/>
          <w:iCs/>
          <w:color w:val="595959"/>
          <w:sz w:val="22"/>
          <w:szCs w:val="22"/>
          <w:shd w:val="clear" w:color="auto" w:fill="FFFFFF"/>
        </w:rPr>
        <w:t>BP, CICC Research</w:t>
      </w:r>
    </w:p>
    <w:p w14:paraId="7FF1BF04" w14:textId="77777777" w:rsidR="00781442" w:rsidRDefault="00000000">
      <w:pPr>
        <w:spacing w:line="360" w:lineRule="auto"/>
        <w:jc w:val="center"/>
        <w:rPr>
          <w:i/>
          <w:iCs/>
          <w:color w:val="666666"/>
          <w:sz w:val="22"/>
          <w:szCs w:val="22"/>
        </w:rPr>
      </w:pPr>
      <w:r>
        <w:rPr>
          <w:i/>
          <w:iCs/>
          <w:color w:val="666666"/>
          <w:sz w:val="22"/>
          <w:szCs w:val="22"/>
        </w:rPr>
        <w:t>Figure: Worsening relation between Russia &amp; EU’s Effect on Supply</w:t>
      </w:r>
    </w:p>
    <w:p w14:paraId="63878BD0" w14:textId="64C268D5" w:rsidR="00781442" w:rsidRDefault="00000000">
      <w:pPr>
        <w:spacing w:line="360" w:lineRule="auto"/>
        <w:rPr>
          <w:rFonts w:eastAsia="Arial"/>
          <w:bCs/>
          <w:i/>
          <w:color w:val="595959"/>
          <w:sz w:val="22"/>
          <w:szCs w:val="22"/>
        </w:rPr>
      </w:pPr>
      <w:r>
        <w:rPr>
          <w:noProof/>
          <w:color w:val="000000"/>
        </w:rPr>
        <w:drawing>
          <wp:inline distT="0" distB="0" distL="0" distR="0" wp14:anchorId="7BF32C5F" wp14:editId="0EB91FD6">
            <wp:extent cx="5701030" cy="4170045"/>
            <wp:effectExtent l="19050" t="19050" r="13970" b="2095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1614" cy="4177599"/>
                    </a:xfrm>
                    <a:prstGeom prst="rect">
                      <a:avLst/>
                    </a:prstGeom>
                    <a:noFill/>
                    <a:ln>
                      <a:solidFill>
                        <a:schemeClr val="bg2"/>
                      </a:solidFill>
                    </a:ln>
                  </pic:spPr>
                </pic:pic>
              </a:graphicData>
            </a:graphic>
          </wp:inline>
        </w:drawing>
      </w:r>
      <w:r>
        <w:rPr>
          <w:bCs/>
          <w:i/>
          <w:color w:val="595959"/>
          <w:sz w:val="22"/>
          <w:szCs w:val="22"/>
        </w:rPr>
        <w:t xml:space="preserve">Source: </w:t>
      </w:r>
      <w:r>
        <w:rPr>
          <w:i/>
          <w:iCs/>
          <w:color w:val="595959"/>
          <w:sz w:val="22"/>
          <w:szCs w:val="22"/>
          <w:shd w:val="clear" w:color="auto" w:fill="FFFFFF"/>
        </w:rPr>
        <w:t>Bruegel</w:t>
      </w:r>
    </w:p>
    <w:p w14:paraId="620B8599" w14:textId="5B362CB0" w:rsidR="00781442" w:rsidRDefault="00000000">
      <w:pPr>
        <w:spacing w:line="360" w:lineRule="auto"/>
        <w:ind w:firstLine="720"/>
      </w:pPr>
      <w:r>
        <w:lastRenderedPageBreak/>
        <w:t xml:space="preserve">The supply of natural gas from Russia has declined from about 2000MCM/week to ~500MCM/week since the Russia &amp; Ukraine war. According to our estimation, this will bring about a 32 BCM deficit, accounting for ~11% of the current natural gas supply. As the EU uses more than 30% of the natural gas to produce electricity, the deficit would result in a significant difference. </w:t>
      </w:r>
    </w:p>
    <w:p w14:paraId="69814CEE" w14:textId="77777777" w:rsidR="00781442" w:rsidRDefault="00000000">
      <w:pPr>
        <w:spacing w:line="360" w:lineRule="auto"/>
        <w:jc w:val="center"/>
        <w:rPr>
          <w:rFonts w:eastAsia="宋体"/>
          <w:bCs/>
        </w:rPr>
      </w:pPr>
      <w:r>
        <w:rPr>
          <w:bCs/>
          <w:i/>
          <w:color w:val="595959"/>
          <w:sz w:val="22"/>
          <w:szCs w:val="22"/>
        </w:rPr>
        <w:t xml:space="preserve">Figure: </w:t>
      </w:r>
      <w:r>
        <w:rPr>
          <w:rFonts w:hint="eastAsia"/>
          <w:bCs/>
          <w:i/>
          <w:color w:val="595959"/>
          <w:sz w:val="22"/>
          <w:szCs w:val="22"/>
        </w:rPr>
        <w:t>EU</w:t>
      </w:r>
      <w:r>
        <w:rPr>
          <w:bCs/>
          <w:i/>
          <w:color w:val="595959"/>
          <w:sz w:val="22"/>
          <w:szCs w:val="22"/>
        </w:rPr>
        <w:t xml:space="preserve"> </w:t>
      </w:r>
      <w:r>
        <w:rPr>
          <w:rFonts w:hint="eastAsia"/>
          <w:bCs/>
          <w:i/>
          <w:color w:val="595959"/>
          <w:sz w:val="22"/>
          <w:szCs w:val="22"/>
        </w:rPr>
        <w:t>g</w:t>
      </w:r>
      <w:r>
        <w:rPr>
          <w:bCs/>
          <w:i/>
          <w:color w:val="595959"/>
          <w:sz w:val="22"/>
          <w:szCs w:val="22"/>
        </w:rPr>
        <w:t>as storage after heating season</w:t>
      </w:r>
      <w:r>
        <w:fldChar w:fldCharType="begin"/>
      </w:r>
      <w:r>
        <w:instrText xml:space="preserve"> LINK Excel.Sheet.12 "C:\\Users\\10792\\Downloads\\EU Natural Gas.xlsx" Summary!R2C2:R23C5 \a \f 4 \h  \* MERGEFORMAT </w:instrText>
      </w:r>
      <w:r>
        <w:fldChar w:fldCharType="separate"/>
      </w:r>
    </w:p>
    <w:tbl>
      <w:tblPr>
        <w:tblW w:w="8460" w:type="dxa"/>
        <w:tblLook w:val="04A0" w:firstRow="1" w:lastRow="0" w:firstColumn="1" w:lastColumn="0" w:noHBand="0" w:noVBand="1"/>
      </w:tblPr>
      <w:tblGrid>
        <w:gridCol w:w="4060"/>
        <w:gridCol w:w="1400"/>
        <w:gridCol w:w="1040"/>
        <w:gridCol w:w="1960"/>
      </w:tblGrid>
      <w:tr w:rsidR="00781442" w14:paraId="1287BF20" w14:textId="77777777">
        <w:trPr>
          <w:trHeight w:val="310"/>
        </w:trPr>
        <w:tc>
          <w:tcPr>
            <w:tcW w:w="4060" w:type="dxa"/>
            <w:shd w:val="clear" w:color="auto" w:fill="003300"/>
            <w:noWrap/>
            <w:vAlign w:val="bottom"/>
          </w:tcPr>
          <w:p w14:paraId="20712D91" w14:textId="77777777" w:rsidR="00781442" w:rsidRPr="00306784" w:rsidRDefault="00781442"/>
        </w:tc>
        <w:tc>
          <w:tcPr>
            <w:tcW w:w="1400" w:type="dxa"/>
            <w:shd w:val="clear" w:color="auto" w:fill="003300"/>
            <w:noWrap/>
            <w:vAlign w:val="bottom"/>
          </w:tcPr>
          <w:p w14:paraId="30EDDBC2" w14:textId="77777777" w:rsidR="00781442" w:rsidRPr="00306784" w:rsidRDefault="00000000">
            <w:pPr>
              <w:rPr>
                <w:color w:val="FFFFFF" w:themeColor="background1"/>
              </w:rPr>
            </w:pPr>
            <w:r w:rsidRPr="00306784">
              <w:rPr>
                <w:color w:val="FFFFFF" w:themeColor="background1"/>
              </w:rPr>
              <w:t>Sep.2022</w:t>
            </w:r>
          </w:p>
        </w:tc>
        <w:tc>
          <w:tcPr>
            <w:tcW w:w="1040" w:type="dxa"/>
            <w:shd w:val="clear" w:color="auto" w:fill="003300"/>
            <w:noWrap/>
            <w:vAlign w:val="bottom"/>
          </w:tcPr>
          <w:p w14:paraId="30147147" w14:textId="77777777" w:rsidR="00781442" w:rsidRPr="00306784" w:rsidRDefault="00000000">
            <w:pPr>
              <w:rPr>
                <w:color w:val="FFFFFF" w:themeColor="background1"/>
              </w:rPr>
            </w:pPr>
            <w:r w:rsidRPr="00306784">
              <w:rPr>
                <w:color w:val="FFFFFF" w:themeColor="background1"/>
              </w:rPr>
              <w:t>4Q22E</w:t>
            </w:r>
          </w:p>
        </w:tc>
        <w:tc>
          <w:tcPr>
            <w:tcW w:w="1960" w:type="dxa"/>
            <w:shd w:val="clear" w:color="auto" w:fill="003300"/>
            <w:noWrap/>
            <w:vAlign w:val="bottom"/>
          </w:tcPr>
          <w:p w14:paraId="1B4A756E" w14:textId="77777777" w:rsidR="00781442" w:rsidRPr="00306784" w:rsidRDefault="00000000">
            <w:pPr>
              <w:rPr>
                <w:color w:val="FFFFFF" w:themeColor="background1"/>
              </w:rPr>
            </w:pPr>
            <w:r w:rsidRPr="00306784">
              <w:rPr>
                <w:color w:val="FFFFFF" w:themeColor="background1"/>
              </w:rPr>
              <w:t>Until Mar.31.2023</w:t>
            </w:r>
          </w:p>
        </w:tc>
      </w:tr>
      <w:tr w:rsidR="00781442" w14:paraId="633E303E" w14:textId="77777777">
        <w:trPr>
          <w:trHeight w:val="310"/>
        </w:trPr>
        <w:tc>
          <w:tcPr>
            <w:tcW w:w="4060" w:type="dxa"/>
            <w:shd w:val="clear" w:color="auto" w:fill="D5E3CF"/>
            <w:noWrap/>
            <w:vAlign w:val="bottom"/>
          </w:tcPr>
          <w:p w14:paraId="7CBBF102" w14:textId="77777777" w:rsidR="00781442" w:rsidRPr="00306784" w:rsidRDefault="00000000">
            <w:pPr>
              <w:rPr>
                <w:color w:val="000000"/>
              </w:rPr>
            </w:pPr>
            <w:r w:rsidRPr="00306784">
              <w:rPr>
                <w:color w:val="000000"/>
              </w:rPr>
              <w:t>Gas in Storage</w:t>
            </w:r>
          </w:p>
        </w:tc>
        <w:tc>
          <w:tcPr>
            <w:tcW w:w="1400" w:type="dxa"/>
            <w:shd w:val="clear" w:color="auto" w:fill="D5E3CF"/>
            <w:noWrap/>
            <w:vAlign w:val="bottom"/>
          </w:tcPr>
          <w:p w14:paraId="5119D761" w14:textId="77777777" w:rsidR="00781442" w:rsidRPr="00306784" w:rsidRDefault="00781442">
            <w:pPr>
              <w:rPr>
                <w:color w:val="000000"/>
              </w:rPr>
            </w:pPr>
          </w:p>
        </w:tc>
        <w:tc>
          <w:tcPr>
            <w:tcW w:w="1040" w:type="dxa"/>
            <w:shd w:val="clear" w:color="auto" w:fill="D5E3CF"/>
            <w:noWrap/>
            <w:vAlign w:val="bottom"/>
          </w:tcPr>
          <w:p w14:paraId="6768959A" w14:textId="77777777" w:rsidR="00781442" w:rsidRPr="00306784" w:rsidRDefault="00781442"/>
        </w:tc>
        <w:tc>
          <w:tcPr>
            <w:tcW w:w="1960" w:type="dxa"/>
            <w:shd w:val="clear" w:color="auto" w:fill="D5E3CF"/>
            <w:noWrap/>
            <w:vAlign w:val="bottom"/>
          </w:tcPr>
          <w:p w14:paraId="32402E55" w14:textId="77777777" w:rsidR="00781442" w:rsidRPr="00306784" w:rsidRDefault="00781442"/>
        </w:tc>
      </w:tr>
      <w:tr w:rsidR="00781442" w14:paraId="63A4CAE6" w14:textId="77777777">
        <w:trPr>
          <w:trHeight w:val="310"/>
        </w:trPr>
        <w:tc>
          <w:tcPr>
            <w:tcW w:w="4060" w:type="dxa"/>
            <w:shd w:val="clear" w:color="auto" w:fill="F2F6F0"/>
            <w:noWrap/>
            <w:vAlign w:val="bottom"/>
          </w:tcPr>
          <w:p w14:paraId="63CDB1A8" w14:textId="77777777" w:rsidR="00781442" w:rsidRPr="00306784" w:rsidRDefault="00000000">
            <w:pPr>
              <w:rPr>
                <w:color w:val="000000"/>
              </w:rPr>
            </w:pPr>
            <w:r w:rsidRPr="00306784">
              <w:rPr>
                <w:color w:val="000000"/>
              </w:rPr>
              <w:t xml:space="preserve">Max </w:t>
            </w:r>
            <w:proofErr w:type="gramStart"/>
            <w:r w:rsidRPr="00306784">
              <w:rPr>
                <w:color w:val="000000"/>
              </w:rPr>
              <w:t>capacity(</w:t>
            </w:r>
            <w:proofErr w:type="gramEnd"/>
            <w:r w:rsidRPr="00306784">
              <w:rPr>
                <w:color w:val="000000"/>
              </w:rPr>
              <w:t>BCM)</w:t>
            </w:r>
          </w:p>
        </w:tc>
        <w:tc>
          <w:tcPr>
            <w:tcW w:w="1400" w:type="dxa"/>
            <w:shd w:val="clear" w:color="auto" w:fill="F2F6F0"/>
            <w:noWrap/>
            <w:vAlign w:val="bottom"/>
          </w:tcPr>
          <w:p w14:paraId="652572E3" w14:textId="77777777" w:rsidR="00781442" w:rsidRPr="00306784" w:rsidRDefault="00000000">
            <w:pPr>
              <w:jc w:val="right"/>
              <w:rPr>
                <w:rFonts w:ascii="Calibri" w:hAnsi="Calibri" w:cs="Calibri"/>
                <w:color w:val="000000"/>
              </w:rPr>
            </w:pPr>
            <w:r w:rsidRPr="00306784">
              <w:rPr>
                <w:color w:val="000000"/>
              </w:rPr>
              <w:t xml:space="preserve">                  111 </w:t>
            </w:r>
          </w:p>
        </w:tc>
        <w:tc>
          <w:tcPr>
            <w:tcW w:w="1040" w:type="dxa"/>
            <w:shd w:val="clear" w:color="auto" w:fill="F2F6F0"/>
            <w:noWrap/>
            <w:vAlign w:val="bottom"/>
          </w:tcPr>
          <w:p w14:paraId="68B56E24" w14:textId="77777777" w:rsidR="00781442" w:rsidRPr="00306784" w:rsidRDefault="00000000">
            <w:pPr>
              <w:jc w:val="right"/>
              <w:rPr>
                <w:rFonts w:ascii="Calibri" w:hAnsi="Calibri" w:cs="Calibri"/>
                <w:color w:val="000000"/>
              </w:rPr>
            </w:pPr>
            <w:r w:rsidRPr="00306784">
              <w:rPr>
                <w:color w:val="000000"/>
              </w:rPr>
              <w:t xml:space="preserve">           111 </w:t>
            </w:r>
          </w:p>
        </w:tc>
        <w:tc>
          <w:tcPr>
            <w:tcW w:w="1960" w:type="dxa"/>
            <w:shd w:val="clear" w:color="auto" w:fill="F2F6F0"/>
            <w:noWrap/>
            <w:vAlign w:val="bottom"/>
          </w:tcPr>
          <w:p w14:paraId="134F48B4" w14:textId="77777777" w:rsidR="00781442" w:rsidRPr="00306784" w:rsidRDefault="00000000">
            <w:pPr>
              <w:jc w:val="right"/>
              <w:rPr>
                <w:rFonts w:ascii="Calibri" w:hAnsi="Calibri" w:cs="Calibri"/>
                <w:color w:val="000000"/>
              </w:rPr>
            </w:pPr>
            <w:r w:rsidRPr="00306784">
              <w:rPr>
                <w:color w:val="000000"/>
              </w:rPr>
              <w:t xml:space="preserve">                              111 </w:t>
            </w:r>
          </w:p>
        </w:tc>
      </w:tr>
      <w:tr w:rsidR="00781442" w14:paraId="190B4BF9" w14:textId="77777777">
        <w:trPr>
          <w:trHeight w:val="310"/>
        </w:trPr>
        <w:tc>
          <w:tcPr>
            <w:tcW w:w="4060" w:type="dxa"/>
            <w:shd w:val="clear" w:color="auto" w:fill="D5E3CF"/>
            <w:noWrap/>
            <w:vAlign w:val="bottom"/>
          </w:tcPr>
          <w:p w14:paraId="4408CB85" w14:textId="77777777" w:rsidR="00781442" w:rsidRPr="00306784" w:rsidRDefault="00000000">
            <w:pPr>
              <w:rPr>
                <w:color w:val="000000"/>
              </w:rPr>
            </w:pPr>
            <w:r w:rsidRPr="00306784">
              <w:rPr>
                <w:color w:val="000000"/>
              </w:rPr>
              <w:t xml:space="preserve">Current </w:t>
            </w:r>
            <w:proofErr w:type="gramStart"/>
            <w:r w:rsidRPr="00306784">
              <w:rPr>
                <w:color w:val="000000"/>
              </w:rPr>
              <w:t>values(</w:t>
            </w:r>
            <w:proofErr w:type="gramEnd"/>
            <w:r w:rsidRPr="00306784">
              <w:rPr>
                <w:color w:val="000000"/>
              </w:rPr>
              <w:t>BCM)</w:t>
            </w:r>
          </w:p>
        </w:tc>
        <w:tc>
          <w:tcPr>
            <w:tcW w:w="1400" w:type="dxa"/>
            <w:shd w:val="clear" w:color="auto" w:fill="D5E3CF"/>
            <w:noWrap/>
            <w:vAlign w:val="bottom"/>
          </w:tcPr>
          <w:p w14:paraId="207491B9" w14:textId="77777777" w:rsidR="00781442" w:rsidRPr="00306784" w:rsidRDefault="00000000">
            <w:pPr>
              <w:jc w:val="right"/>
              <w:rPr>
                <w:rFonts w:ascii="Calibri" w:hAnsi="Calibri" w:cs="Calibri"/>
                <w:color w:val="000000"/>
              </w:rPr>
            </w:pPr>
            <w:r w:rsidRPr="00306784">
              <w:rPr>
                <w:color w:val="000000"/>
              </w:rPr>
              <w:t xml:space="preserve">                     99 </w:t>
            </w:r>
          </w:p>
        </w:tc>
        <w:tc>
          <w:tcPr>
            <w:tcW w:w="1040" w:type="dxa"/>
            <w:shd w:val="clear" w:color="auto" w:fill="D5E3CF"/>
            <w:noWrap/>
            <w:vAlign w:val="bottom"/>
          </w:tcPr>
          <w:p w14:paraId="330728F8" w14:textId="77777777" w:rsidR="00781442" w:rsidRPr="00306784" w:rsidRDefault="00000000">
            <w:pPr>
              <w:jc w:val="right"/>
              <w:rPr>
                <w:rFonts w:ascii="Calibri" w:hAnsi="Calibri" w:cs="Calibri"/>
                <w:color w:val="000000"/>
              </w:rPr>
            </w:pPr>
            <w:r w:rsidRPr="00306784">
              <w:rPr>
                <w:color w:val="000000"/>
              </w:rPr>
              <w:t xml:space="preserve">              99 </w:t>
            </w:r>
          </w:p>
        </w:tc>
        <w:tc>
          <w:tcPr>
            <w:tcW w:w="1960" w:type="dxa"/>
            <w:shd w:val="clear" w:color="auto" w:fill="D5E3CF"/>
            <w:noWrap/>
            <w:vAlign w:val="bottom"/>
          </w:tcPr>
          <w:p w14:paraId="34BB85DD" w14:textId="77777777" w:rsidR="00781442" w:rsidRPr="00306784" w:rsidRDefault="00000000">
            <w:pPr>
              <w:jc w:val="right"/>
              <w:rPr>
                <w:rFonts w:ascii="Calibri" w:hAnsi="Calibri" w:cs="Calibri"/>
                <w:color w:val="000000"/>
              </w:rPr>
            </w:pPr>
            <w:r w:rsidRPr="00306784">
              <w:rPr>
                <w:color w:val="000000"/>
              </w:rPr>
              <w:t xml:space="preserve">                                99 </w:t>
            </w:r>
          </w:p>
        </w:tc>
      </w:tr>
      <w:tr w:rsidR="00781442" w14:paraId="69701612" w14:textId="77777777">
        <w:trPr>
          <w:trHeight w:val="310"/>
        </w:trPr>
        <w:tc>
          <w:tcPr>
            <w:tcW w:w="4060" w:type="dxa"/>
            <w:shd w:val="clear" w:color="auto" w:fill="F2F6F0"/>
            <w:noWrap/>
            <w:vAlign w:val="bottom"/>
          </w:tcPr>
          <w:p w14:paraId="616E5D61" w14:textId="77777777" w:rsidR="00781442" w:rsidRPr="00306784" w:rsidRDefault="00000000">
            <w:pPr>
              <w:rPr>
                <w:color w:val="000000"/>
              </w:rPr>
            </w:pPr>
            <w:r w:rsidRPr="00306784">
              <w:rPr>
                <w:color w:val="000000"/>
              </w:rPr>
              <w:t xml:space="preserve">Estimated </w:t>
            </w:r>
            <w:proofErr w:type="gramStart"/>
            <w:r w:rsidRPr="00306784">
              <w:rPr>
                <w:color w:val="000000"/>
              </w:rPr>
              <w:t>Target(</w:t>
            </w:r>
            <w:proofErr w:type="gramEnd"/>
            <w:r w:rsidRPr="00306784">
              <w:rPr>
                <w:color w:val="000000"/>
              </w:rPr>
              <w:t>%)</w:t>
            </w:r>
          </w:p>
        </w:tc>
        <w:tc>
          <w:tcPr>
            <w:tcW w:w="1400" w:type="dxa"/>
            <w:shd w:val="clear" w:color="auto" w:fill="F2F6F0"/>
            <w:noWrap/>
            <w:vAlign w:val="bottom"/>
          </w:tcPr>
          <w:p w14:paraId="62014ED8" w14:textId="77777777" w:rsidR="00781442" w:rsidRPr="00306784" w:rsidRDefault="00000000">
            <w:pPr>
              <w:jc w:val="right"/>
              <w:rPr>
                <w:color w:val="000000"/>
              </w:rPr>
            </w:pPr>
            <w:r w:rsidRPr="00306784">
              <w:rPr>
                <w:color w:val="000000"/>
              </w:rPr>
              <w:t>90%</w:t>
            </w:r>
          </w:p>
        </w:tc>
        <w:tc>
          <w:tcPr>
            <w:tcW w:w="1040" w:type="dxa"/>
            <w:shd w:val="clear" w:color="auto" w:fill="F2F6F0"/>
            <w:noWrap/>
            <w:vAlign w:val="bottom"/>
          </w:tcPr>
          <w:p w14:paraId="673A90EE" w14:textId="77777777" w:rsidR="00781442" w:rsidRPr="00306784" w:rsidRDefault="00000000">
            <w:pPr>
              <w:jc w:val="right"/>
              <w:rPr>
                <w:color w:val="000000"/>
              </w:rPr>
            </w:pPr>
            <w:r w:rsidRPr="00306784">
              <w:rPr>
                <w:color w:val="000000"/>
              </w:rPr>
              <w:t>90%</w:t>
            </w:r>
          </w:p>
        </w:tc>
        <w:tc>
          <w:tcPr>
            <w:tcW w:w="1960" w:type="dxa"/>
            <w:shd w:val="clear" w:color="auto" w:fill="F2F6F0"/>
            <w:noWrap/>
            <w:vAlign w:val="bottom"/>
          </w:tcPr>
          <w:p w14:paraId="4CD6D9D8" w14:textId="77777777" w:rsidR="00781442" w:rsidRPr="00306784" w:rsidRDefault="00000000">
            <w:pPr>
              <w:jc w:val="right"/>
              <w:rPr>
                <w:color w:val="000000"/>
              </w:rPr>
            </w:pPr>
            <w:r w:rsidRPr="00306784">
              <w:rPr>
                <w:color w:val="000000"/>
              </w:rPr>
              <w:t>90%</w:t>
            </w:r>
          </w:p>
        </w:tc>
      </w:tr>
      <w:tr w:rsidR="00781442" w14:paraId="754CDF31" w14:textId="77777777">
        <w:trPr>
          <w:trHeight w:val="310"/>
        </w:trPr>
        <w:tc>
          <w:tcPr>
            <w:tcW w:w="4060" w:type="dxa"/>
            <w:shd w:val="clear" w:color="auto" w:fill="D5E3CF"/>
            <w:noWrap/>
          </w:tcPr>
          <w:p w14:paraId="0C0BB23E" w14:textId="77777777" w:rsidR="00781442" w:rsidRPr="00306784" w:rsidRDefault="00000000">
            <w:pPr>
              <w:rPr>
                <w:b/>
                <w:bCs/>
                <w:color w:val="000000"/>
              </w:rPr>
            </w:pPr>
            <w:r w:rsidRPr="00306784">
              <w:rPr>
                <w:b/>
                <w:bCs/>
                <w:color w:val="000000"/>
              </w:rPr>
              <w:t xml:space="preserve">Estimated </w:t>
            </w:r>
            <w:proofErr w:type="gramStart"/>
            <w:r w:rsidRPr="00306784">
              <w:rPr>
                <w:b/>
                <w:bCs/>
                <w:color w:val="000000"/>
              </w:rPr>
              <w:t>values(</w:t>
            </w:r>
            <w:proofErr w:type="gramEnd"/>
            <w:r w:rsidRPr="00306784">
              <w:rPr>
                <w:b/>
                <w:bCs/>
                <w:color w:val="000000"/>
              </w:rPr>
              <w:t>BCM)</w:t>
            </w:r>
          </w:p>
        </w:tc>
        <w:tc>
          <w:tcPr>
            <w:tcW w:w="1400" w:type="dxa"/>
            <w:shd w:val="clear" w:color="auto" w:fill="D5E3CF"/>
            <w:noWrap/>
            <w:vAlign w:val="bottom"/>
          </w:tcPr>
          <w:p w14:paraId="37C1B81C" w14:textId="77777777" w:rsidR="00781442" w:rsidRPr="00306784" w:rsidRDefault="00000000">
            <w:pPr>
              <w:jc w:val="right"/>
              <w:rPr>
                <w:b/>
                <w:bCs/>
                <w:color w:val="000000"/>
              </w:rPr>
            </w:pPr>
            <w:r w:rsidRPr="00306784">
              <w:rPr>
                <w:b/>
                <w:bCs/>
                <w:color w:val="000000"/>
              </w:rPr>
              <w:t xml:space="preserve">100 </w:t>
            </w:r>
          </w:p>
        </w:tc>
        <w:tc>
          <w:tcPr>
            <w:tcW w:w="1040" w:type="dxa"/>
            <w:shd w:val="clear" w:color="auto" w:fill="D5E3CF"/>
            <w:noWrap/>
            <w:vAlign w:val="bottom"/>
          </w:tcPr>
          <w:p w14:paraId="1DC0DDDF" w14:textId="77777777" w:rsidR="00781442" w:rsidRPr="00306784" w:rsidRDefault="00000000">
            <w:pPr>
              <w:jc w:val="right"/>
              <w:rPr>
                <w:b/>
                <w:bCs/>
                <w:color w:val="000000"/>
              </w:rPr>
            </w:pPr>
            <w:r w:rsidRPr="00306784">
              <w:rPr>
                <w:b/>
                <w:bCs/>
                <w:color w:val="000000"/>
              </w:rPr>
              <w:t xml:space="preserve">100 </w:t>
            </w:r>
          </w:p>
        </w:tc>
        <w:tc>
          <w:tcPr>
            <w:tcW w:w="1960" w:type="dxa"/>
            <w:shd w:val="clear" w:color="auto" w:fill="D5E3CF"/>
            <w:noWrap/>
            <w:vAlign w:val="bottom"/>
          </w:tcPr>
          <w:p w14:paraId="0B0C635F" w14:textId="77777777" w:rsidR="00781442" w:rsidRPr="00306784" w:rsidRDefault="00000000">
            <w:pPr>
              <w:jc w:val="right"/>
              <w:rPr>
                <w:b/>
                <w:bCs/>
                <w:color w:val="000000"/>
              </w:rPr>
            </w:pPr>
            <w:r w:rsidRPr="00306784">
              <w:rPr>
                <w:b/>
                <w:bCs/>
                <w:color w:val="000000"/>
              </w:rPr>
              <w:t xml:space="preserve">100 </w:t>
            </w:r>
          </w:p>
        </w:tc>
      </w:tr>
      <w:tr w:rsidR="00781442" w14:paraId="49330B5D" w14:textId="77777777">
        <w:trPr>
          <w:trHeight w:val="310"/>
        </w:trPr>
        <w:tc>
          <w:tcPr>
            <w:tcW w:w="4060" w:type="dxa"/>
            <w:shd w:val="clear" w:color="auto" w:fill="auto"/>
            <w:noWrap/>
            <w:vAlign w:val="bottom"/>
          </w:tcPr>
          <w:p w14:paraId="211B5709" w14:textId="77777777" w:rsidR="00781442" w:rsidRPr="00306784" w:rsidRDefault="00781442">
            <w:pPr>
              <w:jc w:val="right"/>
              <w:rPr>
                <w:color w:val="000000"/>
              </w:rPr>
            </w:pPr>
          </w:p>
        </w:tc>
        <w:tc>
          <w:tcPr>
            <w:tcW w:w="1400" w:type="dxa"/>
            <w:shd w:val="clear" w:color="auto" w:fill="auto"/>
            <w:noWrap/>
            <w:vAlign w:val="bottom"/>
          </w:tcPr>
          <w:p w14:paraId="30E6AE0A" w14:textId="77777777" w:rsidR="00781442" w:rsidRPr="00306784" w:rsidRDefault="00781442"/>
        </w:tc>
        <w:tc>
          <w:tcPr>
            <w:tcW w:w="1040" w:type="dxa"/>
            <w:shd w:val="clear" w:color="auto" w:fill="auto"/>
            <w:noWrap/>
            <w:vAlign w:val="bottom"/>
          </w:tcPr>
          <w:p w14:paraId="1CAF9133" w14:textId="77777777" w:rsidR="00781442" w:rsidRPr="00306784" w:rsidRDefault="00781442"/>
        </w:tc>
        <w:tc>
          <w:tcPr>
            <w:tcW w:w="1960" w:type="dxa"/>
            <w:shd w:val="clear" w:color="auto" w:fill="auto"/>
            <w:noWrap/>
            <w:vAlign w:val="bottom"/>
          </w:tcPr>
          <w:p w14:paraId="166203A8" w14:textId="77777777" w:rsidR="00781442" w:rsidRPr="00306784" w:rsidRDefault="00781442"/>
        </w:tc>
      </w:tr>
      <w:tr w:rsidR="00781442" w14:paraId="3D85D290" w14:textId="77777777">
        <w:trPr>
          <w:trHeight w:val="310"/>
        </w:trPr>
        <w:tc>
          <w:tcPr>
            <w:tcW w:w="4060" w:type="dxa"/>
            <w:shd w:val="clear" w:color="auto" w:fill="D5E3CF"/>
            <w:noWrap/>
          </w:tcPr>
          <w:p w14:paraId="4647C5A1" w14:textId="77777777" w:rsidR="00781442" w:rsidRPr="00306784" w:rsidRDefault="00000000">
            <w:pPr>
              <w:rPr>
                <w:b/>
                <w:bCs/>
                <w:color w:val="000000"/>
              </w:rPr>
            </w:pPr>
            <w:r w:rsidRPr="00306784">
              <w:rPr>
                <w:b/>
                <w:bCs/>
                <w:color w:val="000000"/>
              </w:rPr>
              <w:t xml:space="preserve">Gas </w:t>
            </w:r>
            <w:proofErr w:type="gramStart"/>
            <w:r w:rsidRPr="00306784">
              <w:rPr>
                <w:b/>
                <w:bCs/>
                <w:color w:val="000000"/>
              </w:rPr>
              <w:t>import(</w:t>
            </w:r>
            <w:proofErr w:type="gramEnd"/>
            <w:r w:rsidRPr="00306784">
              <w:rPr>
                <w:b/>
                <w:bCs/>
                <w:color w:val="000000"/>
              </w:rPr>
              <w:t>BCM)</w:t>
            </w:r>
          </w:p>
        </w:tc>
        <w:tc>
          <w:tcPr>
            <w:tcW w:w="1400" w:type="dxa"/>
            <w:shd w:val="clear" w:color="auto" w:fill="D5E3CF"/>
            <w:noWrap/>
            <w:vAlign w:val="bottom"/>
          </w:tcPr>
          <w:p w14:paraId="4A7578F8" w14:textId="77777777" w:rsidR="00781442" w:rsidRPr="00306784" w:rsidRDefault="00000000">
            <w:pPr>
              <w:jc w:val="right"/>
              <w:rPr>
                <w:b/>
                <w:bCs/>
                <w:color w:val="000000"/>
              </w:rPr>
            </w:pPr>
            <w:r w:rsidRPr="00306784">
              <w:rPr>
                <w:b/>
                <w:bCs/>
                <w:color w:val="000000"/>
              </w:rPr>
              <w:t xml:space="preserve">29.00 </w:t>
            </w:r>
          </w:p>
        </w:tc>
        <w:tc>
          <w:tcPr>
            <w:tcW w:w="1040" w:type="dxa"/>
            <w:shd w:val="clear" w:color="auto" w:fill="D5E3CF"/>
            <w:noWrap/>
            <w:vAlign w:val="bottom"/>
          </w:tcPr>
          <w:p w14:paraId="17AEA6E0" w14:textId="77777777" w:rsidR="00781442" w:rsidRPr="00306784" w:rsidRDefault="00000000">
            <w:pPr>
              <w:jc w:val="right"/>
              <w:rPr>
                <w:b/>
                <w:bCs/>
                <w:color w:val="000000"/>
              </w:rPr>
            </w:pPr>
            <w:r w:rsidRPr="00306784">
              <w:rPr>
                <w:b/>
                <w:bCs/>
                <w:color w:val="000000"/>
              </w:rPr>
              <w:t xml:space="preserve">87.01 </w:t>
            </w:r>
          </w:p>
        </w:tc>
        <w:tc>
          <w:tcPr>
            <w:tcW w:w="1960" w:type="dxa"/>
            <w:shd w:val="clear" w:color="auto" w:fill="D5E3CF"/>
            <w:noWrap/>
            <w:vAlign w:val="bottom"/>
          </w:tcPr>
          <w:p w14:paraId="22449E9E" w14:textId="77777777" w:rsidR="00781442" w:rsidRPr="00306784" w:rsidRDefault="00000000">
            <w:pPr>
              <w:jc w:val="right"/>
              <w:rPr>
                <w:b/>
                <w:bCs/>
                <w:color w:val="000000"/>
              </w:rPr>
            </w:pPr>
            <w:r w:rsidRPr="00306784">
              <w:rPr>
                <w:b/>
                <w:bCs/>
                <w:color w:val="000000"/>
              </w:rPr>
              <w:t xml:space="preserve">188.83 </w:t>
            </w:r>
          </w:p>
        </w:tc>
      </w:tr>
      <w:tr w:rsidR="00781442" w14:paraId="3AD257DC" w14:textId="77777777">
        <w:trPr>
          <w:trHeight w:val="310"/>
        </w:trPr>
        <w:tc>
          <w:tcPr>
            <w:tcW w:w="4060" w:type="dxa"/>
            <w:shd w:val="clear" w:color="auto" w:fill="F2F6F0"/>
            <w:noWrap/>
            <w:vAlign w:val="center"/>
          </w:tcPr>
          <w:p w14:paraId="51EBBCDF" w14:textId="77777777" w:rsidR="00781442" w:rsidRPr="00306784" w:rsidRDefault="00000000">
            <w:pPr>
              <w:rPr>
                <w:i/>
                <w:iCs/>
                <w:color w:val="000000"/>
              </w:rPr>
            </w:pPr>
            <w:r w:rsidRPr="00306784">
              <w:rPr>
                <w:i/>
                <w:iCs/>
                <w:color w:val="000000"/>
              </w:rPr>
              <w:t>From: Russia</w:t>
            </w:r>
          </w:p>
        </w:tc>
        <w:tc>
          <w:tcPr>
            <w:tcW w:w="1400" w:type="dxa"/>
            <w:shd w:val="clear" w:color="auto" w:fill="F2F6F0"/>
            <w:noWrap/>
            <w:vAlign w:val="bottom"/>
          </w:tcPr>
          <w:p w14:paraId="5BB999B1" w14:textId="77777777" w:rsidR="00781442" w:rsidRPr="00306784" w:rsidRDefault="00000000">
            <w:pPr>
              <w:jc w:val="right"/>
              <w:rPr>
                <w:color w:val="000000"/>
              </w:rPr>
            </w:pPr>
            <w:r w:rsidRPr="00306784">
              <w:rPr>
                <w:color w:val="000000"/>
              </w:rPr>
              <w:t xml:space="preserve">2.47 </w:t>
            </w:r>
          </w:p>
        </w:tc>
        <w:tc>
          <w:tcPr>
            <w:tcW w:w="1040" w:type="dxa"/>
            <w:shd w:val="clear" w:color="auto" w:fill="F2F6F0"/>
            <w:noWrap/>
            <w:vAlign w:val="bottom"/>
          </w:tcPr>
          <w:p w14:paraId="7A49FD9A" w14:textId="77777777" w:rsidR="00781442" w:rsidRPr="00306784" w:rsidRDefault="00000000">
            <w:pPr>
              <w:jc w:val="right"/>
              <w:rPr>
                <w:color w:val="000000"/>
              </w:rPr>
            </w:pPr>
            <w:r w:rsidRPr="00306784">
              <w:rPr>
                <w:color w:val="000000"/>
              </w:rPr>
              <w:t xml:space="preserve">7.41 </w:t>
            </w:r>
          </w:p>
        </w:tc>
        <w:tc>
          <w:tcPr>
            <w:tcW w:w="1960" w:type="dxa"/>
            <w:shd w:val="clear" w:color="auto" w:fill="F2F6F0"/>
            <w:noWrap/>
            <w:vAlign w:val="bottom"/>
          </w:tcPr>
          <w:p w14:paraId="03930924" w14:textId="77777777" w:rsidR="00781442" w:rsidRPr="00306784" w:rsidRDefault="00000000">
            <w:pPr>
              <w:jc w:val="right"/>
              <w:rPr>
                <w:color w:val="000000"/>
              </w:rPr>
            </w:pPr>
            <w:r w:rsidRPr="00306784">
              <w:rPr>
                <w:color w:val="000000"/>
              </w:rPr>
              <w:t xml:space="preserve">14.81 </w:t>
            </w:r>
          </w:p>
        </w:tc>
      </w:tr>
      <w:tr w:rsidR="00781442" w14:paraId="74F8FC93" w14:textId="77777777">
        <w:trPr>
          <w:trHeight w:val="310"/>
        </w:trPr>
        <w:tc>
          <w:tcPr>
            <w:tcW w:w="4060" w:type="dxa"/>
            <w:shd w:val="clear" w:color="auto" w:fill="D5E3CF"/>
            <w:noWrap/>
            <w:vAlign w:val="center"/>
          </w:tcPr>
          <w:p w14:paraId="32816C16" w14:textId="77777777" w:rsidR="00781442" w:rsidRPr="00306784" w:rsidRDefault="00000000">
            <w:pPr>
              <w:rPr>
                <w:i/>
                <w:iCs/>
                <w:color w:val="000000"/>
              </w:rPr>
            </w:pPr>
            <w:r w:rsidRPr="00306784">
              <w:rPr>
                <w:i/>
                <w:iCs/>
                <w:color w:val="000000"/>
              </w:rPr>
              <w:t>Norway</w:t>
            </w:r>
          </w:p>
        </w:tc>
        <w:tc>
          <w:tcPr>
            <w:tcW w:w="1400" w:type="dxa"/>
            <w:shd w:val="clear" w:color="auto" w:fill="D5E3CF"/>
            <w:noWrap/>
            <w:vAlign w:val="bottom"/>
          </w:tcPr>
          <w:p w14:paraId="2A1C67AD" w14:textId="77777777" w:rsidR="00781442" w:rsidRPr="00306784" w:rsidRDefault="00000000">
            <w:pPr>
              <w:jc w:val="right"/>
              <w:rPr>
                <w:color w:val="000000"/>
              </w:rPr>
            </w:pPr>
            <w:r w:rsidRPr="00306784">
              <w:rPr>
                <w:color w:val="000000"/>
              </w:rPr>
              <w:t xml:space="preserve">10.15 </w:t>
            </w:r>
          </w:p>
        </w:tc>
        <w:tc>
          <w:tcPr>
            <w:tcW w:w="1040" w:type="dxa"/>
            <w:shd w:val="clear" w:color="auto" w:fill="D5E3CF"/>
            <w:noWrap/>
            <w:vAlign w:val="bottom"/>
          </w:tcPr>
          <w:p w14:paraId="1EC22FF7" w14:textId="77777777" w:rsidR="00781442" w:rsidRPr="00306784" w:rsidRDefault="00000000">
            <w:pPr>
              <w:jc w:val="right"/>
              <w:rPr>
                <w:color w:val="000000"/>
              </w:rPr>
            </w:pPr>
            <w:r w:rsidRPr="00306784">
              <w:rPr>
                <w:color w:val="000000"/>
              </w:rPr>
              <w:t xml:space="preserve">30.46 </w:t>
            </w:r>
          </w:p>
        </w:tc>
        <w:tc>
          <w:tcPr>
            <w:tcW w:w="1960" w:type="dxa"/>
            <w:shd w:val="clear" w:color="auto" w:fill="D5E3CF"/>
            <w:noWrap/>
            <w:vAlign w:val="bottom"/>
          </w:tcPr>
          <w:p w14:paraId="1AB6E196" w14:textId="77777777" w:rsidR="00781442" w:rsidRPr="00306784" w:rsidRDefault="00000000">
            <w:pPr>
              <w:jc w:val="right"/>
              <w:rPr>
                <w:color w:val="000000"/>
              </w:rPr>
            </w:pPr>
            <w:r w:rsidRPr="00306784">
              <w:rPr>
                <w:color w:val="000000"/>
              </w:rPr>
              <w:t xml:space="preserve">60.93 </w:t>
            </w:r>
          </w:p>
        </w:tc>
      </w:tr>
      <w:tr w:rsidR="00781442" w14:paraId="1A1757D1" w14:textId="77777777">
        <w:trPr>
          <w:trHeight w:val="310"/>
        </w:trPr>
        <w:tc>
          <w:tcPr>
            <w:tcW w:w="4060" w:type="dxa"/>
            <w:shd w:val="clear" w:color="auto" w:fill="F2F6F0"/>
            <w:noWrap/>
            <w:vAlign w:val="center"/>
          </w:tcPr>
          <w:p w14:paraId="0EFE7F61" w14:textId="77777777" w:rsidR="00781442" w:rsidRPr="00306784" w:rsidRDefault="00000000">
            <w:pPr>
              <w:rPr>
                <w:i/>
                <w:iCs/>
                <w:color w:val="000000"/>
              </w:rPr>
            </w:pPr>
            <w:r w:rsidRPr="00306784">
              <w:rPr>
                <w:i/>
                <w:iCs/>
                <w:color w:val="000000"/>
              </w:rPr>
              <w:t>Algeria</w:t>
            </w:r>
          </w:p>
        </w:tc>
        <w:tc>
          <w:tcPr>
            <w:tcW w:w="1400" w:type="dxa"/>
            <w:shd w:val="clear" w:color="auto" w:fill="F2F6F0"/>
            <w:noWrap/>
            <w:vAlign w:val="bottom"/>
          </w:tcPr>
          <w:p w14:paraId="546955F9" w14:textId="77777777" w:rsidR="00781442" w:rsidRPr="00306784" w:rsidRDefault="00000000">
            <w:pPr>
              <w:jc w:val="right"/>
              <w:rPr>
                <w:i/>
                <w:iCs/>
                <w:color w:val="000000"/>
              </w:rPr>
            </w:pPr>
            <w:r w:rsidRPr="00306784">
              <w:rPr>
                <w:i/>
                <w:iCs/>
                <w:color w:val="000000"/>
              </w:rPr>
              <w:t xml:space="preserve">3.00 </w:t>
            </w:r>
          </w:p>
        </w:tc>
        <w:tc>
          <w:tcPr>
            <w:tcW w:w="1040" w:type="dxa"/>
            <w:shd w:val="clear" w:color="auto" w:fill="F2F6F0"/>
            <w:noWrap/>
            <w:vAlign w:val="bottom"/>
          </w:tcPr>
          <w:p w14:paraId="681411F6" w14:textId="77777777" w:rsidR="00781442" w:rsidRPr="00306784" w:rsidRDefault="00000000">
            <w:pPr>
              <w:jc w:val="right"/>
              <w:rPr>
                <w:i/>
                <w:iCs/>
                <w:color w:val="000000"/>
              </w:rPr>
            </w:pPr>
            <w:r w:rsidRPr="00306784">
              <w:rPr>
                <w:i/>
                <w:iCs/>
                <w:color w:val="000000"/>
              </w:rPr>
              <w:t xml:space="preserve">9.01 </w:t>
            </w:r>
          </w:p>
        </w:tc>
        <w:tc>
          <w:tcPr>
            <w:tcW w:w="1960" w:type="dxa"/>
            <w:shd w:val="clear" w:color="auto" w:fill="F2F6F0"/>
            <w:noWrap/>
            <w:vAlign w:val="bottom"/>
          </w:tcPr>
          <w:p w14:paraId="650208C5" w14:textId="77777777" w:rsidR="00781442" w:rsidRPr="00306784" w:rsidRDefault="00000000">
            <w:pPr>
              <w:jc w:val="right"/>
              <w:rPr>
                <w:i/>
                <w:iCs/>
                <w:color w:val="000000"/>
              </w:rPr>
            </w:pPr>
            <w:r w:rsidRPr="00306784">
              <w:rPr>
                <w:i/>
                <w:iCs/>
                <w:color w:val="000000"/>
              </w:rPr>
              <w:t xml:space="preserve">18.01 </w:t>
            </w:r>
          </w:p>
        </w:tc>
      </w:tr>
      <w:tr w:rsidR="00781442" w14:paraId="7D84ACCB" w14:textId="77777777">
        <w:trPr>
          <w:trHeight w:val="310"/>
        </w:trPr>
        <w:tc>
          <w:tcPr>
            <w:tcW w:w="4060" w:type="dxa"/>
            <w:shd w:val="clear" w:color="auto" w:fill="D5E3CF"/>
            <w:noWrap/>
            <w:vAlign w:val="center"/>
          </w:tcPr>
          <w:p w14:paraId="0C90B622" w14:textId="77777777" w:rsidR="00781442" w:rsidRPr="00306784" w:rsidRDefault="00000000">
            <w:pPr>
              <w:rPr>
                <w:i/>
                <w:iCs/>
                <w:color w:val="000000"/>
              </w:rPr>
            </w:pPr>
            <w:r w:rsidRPr="00306784">
              <w:rPr>
                <w:i/>
                <w:iCs/>
                <w:color w:val="000000"/>
              </w:rPr>
              <w:t>LNG</w:t>
            </w:r>
          </w:p>
        </w:tc>
        <w:tc>
          <w:tcPr>
            <w:tcW w:w="1400" w:type="dxa"/>
            <w:shd w:val="clear" w:color="auto" w:fill="D5E3CF"/>
            <w:noWrap/>
            <w:vAlign w:val="bottom"/>
          </w:tcPr>
          <w:p w14:paraId="26A7FB96" w14:textId="77777777" w:rsidR="00781442" w:rsidRPr="00306784" w:rsidRDefault="00000000">
            <w:pPr>
              <w:jc w:val="right"/>
              <w:rPr>
                <w:i/>
                <w:iCs/>
                <w:color w:val="000000"/>
              </w:rPr>
            </w:pPr>
            <w:r w:rsidRPr="00306784">
              <w:rPr>
                <w:i/>
                <w:iCs/>
                <w:color w:val="000000"/>
              </w:rPr>
              <w:t xml:space="preserve">12.13 </w:t>
            </w:r>
          </w:p>
        </w:tc>
        <w:tc>
          <w:tcPr>
            <w:tcW w:w="1040" w:type="dxa"/>
            <w:shd w:val="clear" w:color="auto" w:fill="D5E3CF"/>
            <w:noWrap/>
            <w:vAlign w:val="bottom"/>
          </w:tcPr>
          <w:p w14:paraId="156B7D0A" w14:textId="77777777" w:rsidR="00781442" w:rsidRPr="00306784" w:rsidRDefault="00000000">
            <w:pPr>
              <w:jc w:val="right"/>
              <w:rPr>
                <w:i/>
                <w:iCs/>
                <w:color w:val="000000"/>
              </w:rPr>
            </w:pPr>
            <w:r w:rsidRPr="00306784">
              <w:rPr>
                <w:i/>
                <w:iCs/>
                <w:color w:val="000000"/>
              </w:rPr>
              <w:t xml:space="preserve">36.39 </w:t>
            </w:r>
          </w:p>
        </w:tc>
        <w:tc>
          <w:tcPr>
            <w:tcW w:w="1960" w:type="dxa"/>
            <w:shd w:val="clear" w:color="auto" w:fill="D5E3CF"/>
            <w:noWrap/>
            <w:vAlign w:val="bottom"/>
          </w:tcPr>
          <w:p w14:paraId="57A8B06A" w14:textId="77777777" w:rsidR="00781442" w:rsidRPr="00306784" w:rsidRDefault="00000000">
            <w:pPr>
              <w:jc w:val="right"/>
              <w:rPr>
                <w:i/>
                <w:iCs/>
                <w:color w:val="000000"/>
              </w:rPr>
            </w:pPr>
            <w:r w:rsidRPr="00306784">
              <w:rPr>
                <w:i/>
                <w:iCs/>
                <w:color w:val="000000"/>
              </w:rPr>
              <w:t xml:space="preserve">95.08 </w:t>
            </w:r>
          </w:p>
        </w:tc>
      </w:tr>
      <w:tr w:rsidR="00781442" w14:paraId="6FA470D6" w14:textId="77777777">
        <w:trPr>
          <w:trHeight w:val="310"/>
        </w:trPr>
        <w:tc>
          <w:tcPr>
            <w:tcW w:w="4060" w:type="dxa"/>
            <w:shd w:val="clear" w:color="auto" w:fill="auto"/>
            <w:noWrap/>
            <w:vAlign w:val="center"/>
          </w:tcPr>
          <w:p w14:paraId="65E5E33A" w14:textId="77777777" w:rsidR="00781442" w:rsidRPr="00306784" w:rsidRDefault="00000000">
            <w:pPr>
              <w:rPr>
                <w:rFonts w:ascii="Calibri" w:hAnsi="Calibri" w:cs="Calibri"/>
                <w:i/>
                <w:iCs/>
                <w:color w:val="000000"/>
              </w:rPr>
            </w:pPr>
            <w:r w:rsidRPr="00306784">
              <w:rPr>
                <w:i/>
                <w:iCs/>
                <w:color w:val="000000"/>
              </w:rPr>
              <w:t>Others</w:t>
            </w:r>
          </w:p>
        </w:tc>
        <w:tc>
          <w:tcPr>
            <w:tcW w:w="1400" w:type="dxa"/>
            <w:shd w:val="clear" w:color="auto" w:fill="auto"/>
            <w:noWrap/>
            <w:vAlign w:val="bottom"/>
          </w:tcPr>
          <w:p w14:paraId="3F4B0F19" w14:textId="77777777" w:rsidR="00781442" w:rsidRPr="00306784" w:rsidRDefault="00781442">
            <w:pPr>
              <w:rPr>
                <w:i/>
                <w:iCs/>
                <w:color w:val="000000"/>
              </w:rPr>
            </w:pPr>
          </w:p>
        </w:tc>
        <w:tc>
          <w:tcPr>
            <w:tcW w:w="1040" w:type="dxa"/>
            <w:shd w:val="clear" w:color="auto" w:fill="auto"/>
            <w:noWrap/>
            <w:vAlign w:val="bottom"/>
          </w:tcPr>
          <w:p w14:paraId="3D8F028E" w14:textId="77777777" w:rsidR="00781442" w:rsidRPr="00306784" w:rsidRDefault="00781442"/>
        </w:tc>
        <w:tc>
          <w:tcPr>
            <w:tcW w:w="1960" w:type="dxa"/>
            <w:shd w:val="clear" w:color="auto" w:fill="auto"/>
            <w:noWrap/>
            <w:vAlign w:val="bottom"/>
          </w:tcPr>
          <w:p w14:paraId="3261DE93" w14:textId="77777777" w:rsidR="00781442" w:rsidRPr="00306784" w:rsidRDefault="00781442"/>
        </w:tc>
      </w:tr>
      <w:tr w:rsidR="00781442" w14:paraId="29FEDC95" w14:textId="77777777">
        <w:trPr>
          <w:trHeight w:val="310"/>
        </w:trPr>
        <w:tc>
          <w:tcPr>
            <w:tcW w:w="4060" w:type="dxa"/>
            <w:shd w:val="clear" w:color="auto" w:fill="D5E3CF"/>
            <w:noWrap/>
          </w:tcPr>
          <w:p w14:paraId="1289ADDE" w14:textId="77777777" w:rsidR="00781442" w:rsidRPr="00306784" w:rsidRDefault="00000000">
            <w:pPr>
              <w:rPr>
                <w:b/>
                <w:bCs/>
                <w:color w:val="000000"/>
              </w:rPr>
            </w:pPr>
            <w:r w:rsidRPr="00306784">
              <w:rPr>
                <w:b/>
                <w:bCs/>
                <w:color w:val="000000"/>
              </w:rPr>
              <w:t>EU Production</w:t>
            </w:r>
          </w:p>
        </w:tc>
        <w:tc>
          <w:tcPr>
            <w:tcW w:w="1400" w:type="dxa"/>
            <w:shd w:val="clear" w:color="auto" w:fill="D5E3CF"/>
            <w:noWrap/>
            <w:vAlign w:val="bottom"/>
          </w:tcPr>
          <w:p w14:paraId="46DFD552" w14:textId="77777777" w:rsidR="00781442" w:rsidRPr="00306784" w:rsidRDefault="00781442">
            <w:pPr>
              <w:rPr>
                <w:b/>
                <w:bCs/>
                <w:color w:val="000000"/>
              </w:rPr>
            </w:pPr>
          </w:p>
        </w:tc>
        <w:tc>
          <w:tcPr>
            <w:tcW w:w="1040" w:type="dxa"/>
            <w:shd w:val="clear" w:color="auto" w:fill="D5E3CF"/>
            <w:noWrap/>
            <w:vAlign w:val="bottom"/>
          </w:tcPr>
          <w:p w14:paraId="1407830F" w14:textId="77777777" w:rsidR="00781442" w:rsidRPr="00306784" w:rsidRDefault="00781442"/>
        </w:tc>
        <w:tc>
          <w:tcPr>
            <w:tcW w:w="1960" w:type="dxa"/>
            <w:shd w:val="clear" w:color="auto" w:fill="D5E3CF"/>
            <w:noWrap/>
            <w:vAlign w:val="bottom"/>
          </w:tcPr>
          <w:p w14:paraId="7F3B88DF" w14:textId="77777777" w:rsidR="00781442" w:rsidRPr="00306784" w:rsidRDefault="00000000">
            <w:pPr>
              <w:jc w:val="right"/>
              <w:rPr>
                <w:b/>
                <w:bCs/>
                <w:color w:val="000000"/>
              </w:rPr>
            </w:pPr>
            <w:r w:rsidRPr="00306784">
              <w:rPr>
                <w:b/>
                <w:bCs/>
                <w:color w:val="000000"/>
              </w:rPr>
              <w:t>60</w:t>
            </w:r>
          </w:p>
        </w:tc>
      </w:tr>
      <w:tr w:rsidR="00781442" w14:paraId="41B56E19" w14:textId="77777777">
        <w:trPr>
          <w:trHeight w:val="310"/>
        </w:trPr>
        <w:tc>
          <w:tcPr>
            <w:tcW w:w="4060" w:type="dxa"/>
            <w:shd w:val="clear" w:color="auto" w:fill="auto"/>
            <w:noWrap/>
            <w:vAlign w:val="bottom"/>
          </w:tcPr>
          <w:p w14:paraId="3161067D" w14:textId="77777777" w:rsidR="00781442" w:rsidRPr="00306784" w:rsidRDefault="00781442">
            <w:pPr>
              <w:jc w:val="right"/>
              <w:rPr>
                <w:color w:val="000000"/>
              </w:rPr>
            </w:pPr>
          </w:p>
        </w:tc>
        <w:tc>
          <w:tcPr>
            <w:tcW w:w="1400" w:type="dxa"/>
            <w:shd w:val="clear" w:color="auto" w:fill="auto"/>
            <w:noWrap/>
            <w:vAlign w:val="bottom"/>
          </w:tcPr>
          <w:p w14:paraId="7242B263" w14:textId="77777777" w:rsidR="00781442" w:rsidRPr="00306784" w:rsidRDefault="00781442"/>
        </w:tc>
        <w:tc>
          <w:tcPr>
            <w:tcW w:w="1040" w:type="dxa"/>
            <w:shd w:val="clear" w:color="auto" w:fill="auto"/>
            <w:noWrap/>
            <w:vAlign w:val="bottom"/>
          </w:tcPr>
          <w:p w14:paraId="03C27D06" w14:textId="77777777" w:rsidR="00781442" w:rsidRPr="00306784" w:rsidRDefault="00781442"/>
        </w:tc>
        <w:tc>
          <w:tcPr>
            <w:tcW w:w="1960" w:type="dxa"/>
            <w:shd w:val="clear" w:color="auto" w:fill="auto"/>
            <w:noWrap/>
            <w:vAlign w:val="bottom"/>
          </w:tcPr>
          <w:p w14:paraId="574308CC" w14:textId="77777777" w:rsidR="00781442" w:rsidRPr="00306784" w:rsidRDefault="00781442">
            <w:pPr>
              <w:rPr>
                <w:lang w:eastAsia="zh-TW"/>
              </w:rPr>
            </w:pPr>
          </w:p>
        </w:tc>
      </w:tr>
      <w:tr w:rsidR="00781442" w14:paraId="51745751" w14:textId="77777777">
        <w:trPr>
          <w:trHeight w:val="310"/>
        </w:trPr>
        <w:tc>
          <w:tcPr>
            <w:tcW w:w="4060" w:type="dxa"/>
            <w:shd w:val="clear" w:color="auto" w:fill="D5E3CF"/>
            <w:noWrap/>
          </w:tcPr>
          <w:p w14:paraId="684D95D0" w14:textId="77777777" w:rsidR="00781442" w:rsidRPr="00306784" w:rsidRDefault="00000000">
            <w:pPr>
              <w:rPr>
                <w:b/>
                <w:bCs/>
                <w:color w:val="000000"/>
                <w:u w:val="single"/>
              </w:rPr>
            </w:pPr>
            <w:proofErr w:type="spellStart"/>
            <w:r w:rsidRPr="00306784">
              <w:rPr>
                <w:b/>
                <w:bCs/>
                <w:color w:val="000000"/>
                <w:u w:val="single"/>
              </w:rPr>
              <w:t>Comsumption</w:t>
            </w:r>
            <w:proofErr w:type="spellEnd"/>
          </w:p>
        </w:tc>
        <w:tc>
          <w:tcPr>
            <w:tcW w:w="1400" w:type="dxa"/>
            <w:shd w:val="clear" w:color="auto" w:fill="D5E3CF"/>
            <w:noWrap/>
            <w:vAlign w:val="bottom"/>
          </w:tcPr>
          <w:p w14:paraId="03793983" w14:textId="77777777" w:rsidR="00781442" w:rsidRPr="00306784" w:rsidRDefault="00000000">
            <w:pPr>
              <w:rPr>
                <w:color w:val="000000"/>
                <w:u w:val="single"/>
              </w:rPr>
            </w:pPr>
            <w:r w:rsidRPr="00306784">
              <w:rPr>
                <w:color w:val="000000"/>
                <w:u w:val="single"/>
              </w:rPr>
              <w:t> </w:t>
            </w:r>
          </w:p>
        </w:tc>
        <w:tc>
          <w:tcPr>
            <w:tcW w:w="1040" w:type="dxa"/>
            <w:shd w:val="clear" w:color="auto" w:fill="D5E3CF"/>
            <w:noWrap/>
            <w:vAlign w:val="bottom"/>
          </w:tcPr>
          <w:p w14:paraId="5CA00E1C" w14:textId="77777777" w:rsidR="00781442" w:rsidRPr="00306784" w:rsidRDefault="00000000">
            <w:pPr>
              <w:rPr>
                <w:color w:val="000000"/>
                <w:u w:val="single"/>
              </w:rPr>
            </w:pPr>
            <w:r w:rsidRPr="00306784">
              <w:rPr>
                <w:color w:val="000000"/>
                <w:u w:val="single"/>
              </w:rPr>
              <w:t> </w:t>
            </w:r>
          </w:p>
        </w:tc>
        <w:tc>
          <w:tcPr>
            <w:tcW w:w="1960" w:type="dxa"/>
            <w:shd w:val="clear" w:color="auto" w:fill="D5E3CF"/>
            <w:noWrap/>
            <w:vAlign w:val="bottom"/>
          </w:tcPr>
          <w:p w14:paraId="034A38DE" w14:textId="77777777" w:rsidR="00781442" w:rsidRPr="00306784" w:rsidRDefault="00000000">
            <w:pPr>
              <w:jc w:val="right"/>
              <w:rPr>
                <w:b/>
                <w:bCs/>
                <w:color w:val="000000"/>
                <w:u w:val="single"/>
              </w:rPr>
            </w:pPr>
            <w:r w:rsidRPr="00306784">
              <w:rPr>
                <w:b/>
                <w:bCs/>
                <w:color w:val="000000"/>
                <w:u w:val="single"/>
              </w:rPr>
              <w:t>-321</w:t>
            </w:r>
          </w:p>
        </w:tc>
      </w:tr>
      <w:tr w:rsidR="00781442" w14:paraId="6181C7C4" w14:textId="77777777">
        <w:trPr>
          <w:trHeight w:val="310"/>
        </w:trPr>
        <w:tc>
          <w:tcPr>
            <w:tcW w:w="4060" w:type="dxa"/>
            <w:shd w:val="clear" w:color="auto" w:fill="F2F6F0"/>
            <w:noWrap/>
          </w:tcPr>
          <w:p w14:paraId="7746A0E1" w14:textId="77777777" w:rsidR="00781442" w:rsidRPr="00306784" w:rsidRDefault="00000000">
            <w:pPr>
              <w:rPr>
                <w:b/>
                <w:bCs/>
                <w:color w:val="000000"/>
              </w:rPr>
            </w:pPr>
            <w:r w:rsidRPr="00306784">
              <w:rPr>
                <w:b/>
                <w:bCs/>
                <w:color w:val="000000"/>
              </w:rPr>
              <w:t>Values in Storage</w:t>
            </w:r>
          </w:p>
        </w:tc>
        <w:tc>
          <w:tcPr>
            <w:tcW w:w="1400" w:type="dxa"/>
            <w:shd w:val="clear" w:color="auto" w:fill="F2F6F0"/>
            <w:noWrap/>
            <w:vAlign w:val="bottom"/>
          </w:tcPr>
          <w:p w14:paraId="6B96E281" w14:textId="77777777" w:rsidR="00781442" w:rsidRPr="00306784" w:rsidRDefault="00781442">
            <w:pPr>
              <w:rPr>
                <w:b/>
                <w:bCs/>
                <w:color w:val="000000"/>
              </w:rPr>
            </w:pPr>
          </w:p>
        </w:tc>
        <w:tc>
          <w:tcPr>
            <w:tcW w:w="1040" w:type="dxa"/>
            <w:shd w:val="clear" w:color="auto" w:fill="F2F6F0"/>
            <w:noWrap/>
            <w:vAlign w:val="bottom"/>
          </w:tcPr>
          <w:p w14:paraId="167C57FE" w14:textId="77777777" w:rsidR="00781442" w:rsidRPr="00306784" w:rsidRDefault="00781442"/>
        </w:tc>
        <w:tc>
          <w:tcPr>
            <w:tcW w:w="1960" w:type="dxa"/>
            <w:shd w:val="clear" w:color="auto" w:fill="F2F6F0"/>
            <w:noWrap/>
            <w:vAlign w:val="bottom"/>
          </w:tcPr>
          <w:p w14:paraId="3B4858C1" w14:textId="77777777" w:rsidR="00781442" w:rsidRPr="00306784" w:rsidRDefault="00000000">
            <w:pPr>
              <w:jc w:val="right"/>
              <w:rPr>
                <w:b/>
                <w:bCs/>
                <w:color w:val="000000"/>
              </w:rPr>
            </w:pPr>
            <w:r w:rsidRPr="00306784">
              <w:rPr>
                <w:b/>
                <w:bCs/>
                <w:color w:val="000000"/>
              </w:rPr>
              <w:t xml:space="preserve">27.93 </w:t>
            </w:r>
          </w:p>
        </w:tc>
      </w:tr>
      <w:tr w:rsidR="00781442" w14:paraId="06243CA5" w14:textId="77777777">
        <w:trPr>
          <w:trHeight w:val="310"/>
        </w:trPr>
        <w:tc>
          <w:tcPr>
            <w:tcW w:w="4060" w:type="dxa"/>
            <w:shd w:val="clear" w:color="auto" w:fill="D5E3CF"/>
            <w:noWrap/>
            <w:vAlign w:val="bottom"/>
          </w:tcPr>
          <w:p w14:paraId="4AD99A5F" w14:textId="77777777" w:rsidR="00781442" w:rsidRPr="00306784" w:rsidRDefault="00000000">
            <w:pPr>
              <w:rPr>
                <w:color w:val="000000"/>
              </w:rPr>
            </w:pPr>
            <w:r w:rsidRPr="00306784">
              <w:rPr>
                <w:color w:val="000000"/>
              </w:rPr>
              <w:t>Storage Rate</w:t>
            </w:r>
          </w:p>
        </w:tc>
        <w:tc>
          <w:tcPr>
            <w:tcW w:w="1400" w:type="dxa"/>
            <w:shd w:val="clear" w:color="auto" w:fill="D5E3CF"/>
            <w:noWrap/>
            <w:vAlign w:val="bottom"/>
          </w:tcPr>
          <w:p w14:paraId="19040522" w14:textId="77777777" w:rsidR="00781442" w:rsidRPr="00306784" w:rsidRDefault="00781442">
            <w:pPr>
              <w:rPr>
                <w:color w:val="000000"/>
              </w:rPr>
            </w:pPr>
          </w:p>
        </w:tc>
        <w:tc>
          <w:tcPr>
            <w:tcW w:w="1040" w:type="dxa"/>
            <w:shd w:val="clear" w:color="auto" w:fill="D5E3CF"/>
            <w:noWrap/>
            <w:vAlign w:val="bottom"/>
          </w:tcPr>
          <w:p w14:paraId="4A459BEE" w14:textId="77777777" w:rsidR="00781442" w:rsidRPr="00306784" w:rsidRDefault="00781442"/>
        </w:tc>
        <w:tc>
          <w:tcPr>
            <w:tcW w:w="1960" w:type="dxa"/>
            <w:shd w:val="clear" w:color="auto" w:fill="D5E3CF"/>
            <w:noWrap/>
            <w:vAlign w:val="bottom"/>
          </w:tcPr>
          <w:p w14:paraId="6B7BC43D" w14:textId="77777777" w:rsidR="00781442" w:rsidRPr="00306784" w:rsidRDefault="00000000">
            <w:pPr>
              <w:jc w:val="right"/>
              <w:rPr>
                <w:color w:val="000000"/>
              </w:rPr>
            </w:pPr>
            <w:r w:rsidRPr="00306784">
              <w:rPr>
                <w:color w:val="000000"/>
              </w:rPr>
              <w:t>25.11%</w:t>
            </w:r>
          </w:p>
        </w:tc>
      </w:tr>
      <w:tr w:rsidR="00781442" w14:paraId="4CF03316" w14:textId="77777777">
        <w:trPr>
          <w:trHeight w:val="310"/>
        </w:trPr>
        <w:tc>
          <w:tcPr>
            <w:tcW w:w="4060" w:type="dxa"/>
            <w:shd w:val="clear" w:color="auto" w:fill="auto"/>
            <w:noWrap/>
            <w:vAlign w:val="bottom"/>
          </w:tcPr>
          <w:p w14:paraId="37372962" w14:textId="77777777" w:rsidR="00781442" w:rsidRPr="00306784" w:rsidRDefault="00781442">
            <w:pPr>
              <w:jc w:val="right"/>
              <w:rPr>
                <w:color w:val="000000"/>
              </w:rPr>
            </w:pPr>
          </w:p>
        </w:tc>
        <w:tc>
          <w:tcPr>
            <w:tcW w:w="1400" w:type="dxa"/>
            <w:shd w:val="clear" w:color="auto" w:fill="auto"/>
            <w:noWrap/>
            <w:vAlign w:val="bottom"/>
          </w:tcPr>
          <w:p w14:paraId="5A3B6B38" w14:textId="77777777" w:rsidR="00781442" w:rsidRPr="00306784" w:rsidRDefault="00781442"/>
        </w:tc>
        <w:tc>
          <w:tcPr>
            <w:tcW w:w="1040" w:type="dxa"/>
            <w:shd w:val="clear" w:color="auto" w:fill="auto"/>
            <w:noWrap/>
            <w:vAlign w:val="bottom"/>
          </w:tcPr>
          <w:p w14:paraId="348D1C49" w14:textId="77777777" w:rsidR="00781442" w:rsidRPr="00306784" w:rsidRDefault="00781442"/>
        </w:tc>
        <w:tc>
          <w:tcPr>
            <w:tcW w:w="1960" w:type="dxa"/>
            <w:shd w:val="clear" w:color="auto" w:fill="auto"/>
            <w:noWrap/>
            <w:vAlign w:val="bottom"/>
          </w:tcPr>
          <w:p w14:paraId="2482E74D" w14:textId="77777777" w:rsidR="00781442" w:rsidRPr="00306784" w:rsidRDefault="00781442"/>
        </w:tc>
      </w:tr>
      <w:tr w:rsidR="00781442" w14:paraId="4F48F82F" w14:textId="77777777">
        <w:trPr>
          <w:trHeight w:val="310"/>
        </w:trPr>
        <w:tc>
          <w:tcPr>
            <w:tcW w:w="4060" w:type="dxa"/>
            <w:shd w:val="clear" w:color="auto" w:fill="D5E3CF"/>
            <w:noWrap/>
            <w:vAlign w:val="bottom"/>
          </w:tcPr>
          <w:p w14:paraId="35E4C316" w14:textId="77777777" w:rsidR="00781442" w:rsidRPr="00306784" w:rsidRDefault="00000000">
            <w:pPr>
              <w:rPr>
                <w:color w:val="000000"/>
              </w:rPr>
            </w:pPr>
            <w:r w:rsidRPr="00306784">
              <w:rPr>
                <w:color w:val="000000"/>
              </w:rPr>
              <w:t>North Stream Effect on Import:</w:t>
            </w:r>
          </w:p>
        </w:tc>
        <w:tc>
          <w:tcPr>
            <w:tcW w:w="1400" w:type="dxa"/>
            <w:shd w:val="clear" w:color="auto" w:fill="D5E3CF"/>
            <w:noWrap/>
            <w:vAlign w:val="bottom"/>
          </w:tcPr>
          <w:p w14:paraId="241CF2A5" w14:textId="77777777" w:rsidR="00781442" w:rsidRPr="00306784" w:rsidRDefault="00781442">
            <w:pPr>
              <w:rPr>
                <w:color w:val="000000"/>
              </w:rPr>
            </w:pPr>
          </w:p>
        </w:tc>
        <w:tc>
          <w:tcPr>
            <w:tcW w:w="1040" w:type="dxa"/>
            <w:shd w:val="clear" w:color="auto" w:fill="D5E3CF"/>
            <w:noWrap/>
            <w:vAlign w:val="bottom"/>
          </w:tcPr>
          <w:p w14:paraId="05955AA5" w14:textId="77777777" w:rsidR="00781442" w:rsidRPr="00306784" w:rsidRDefault="00781442"/>
        </w:tc>
        <w:tc>
          <w:tcPr>
            <w:tcW w:w="1960" w:type="dxa"/>
            <w:shd w:val="clear" w:color="auto" w:fill="D5E3CF"/>
            <w:noWrap/>
            <w:vAlign w:val="bottom"/>
          </w:tcPr>
          <w:p w14:paraId="4DC30FFB" w14:textId="77777777" w:rsidR="00781442" w:rsidRPr="00306784" w:rsidRDefault="00000000">
            <w:pPr>
              <w:jc w:val="right"/>
              <w:rPr>
                <w:color w:val="000000"/>
              </w:rPr>
            </w:pPr>
            <w:r w:rsidRPr="00306784">
              <w:rPr>
                <w:color w:val="000000"/>
              </w:rPr>
              <w:t>4.44%</w:t>
            </w:r>
          </w:p>
        </w:tc>
      </w:tr>
      <w:tr w:rsidR="00781442" w14:paraId="594C69E0" w14:textId="77777777">
        <w:trPr>
          <w:trHeight w:val="310"/>
        </w:trPr>
        <w:tc>
          <w:tcPr>
            <w:tcW w:w="4060" w:type="dxa"/>
            <w:shd w:val="clear" w:color="auto" w:fill="F2F6F0"/>
            <w:noWrap/>
            <w:vAlign w:val="bottom"/>
          </w:tcPr>
          <w:p w14:paraId="3D660169" w14:textId="77777777" w:rsidR="00781442" w:rsidRPr="00306784" w:rsidRDefault="00000000">
            <w:pPr>
              <w:rPr>
                <w:color w:val="000000"/>
              </w:rPr>
            </w:pPr>
            <w:r w:rsidRPr="00306784">
              <w:rPr>
                <w:color w:val="000000"/>
              </w:rPr>
              <w:t>North Stream Effect on Supply:</w:t>
            </w:r>
          </w:p>
        </w:tc>
        <w:tc>
          <w:tcPr>
            <w:tcW w:w="1400" w:type="dxa"/>
            <w:shd w:val="clear" w:color="auto" w:fill="auto"/>
            <w:noWrap/>
            <w:vAlign w:val="bottom"/>
          </w:tcPr>
          <w:p w14:paraId="0D50E6EC" w14:textId="77777777" w:rsidR="00781442" w:rsidRPr="00306784" w:rsidRDefault="00781442">
            <w:pPr>
              <w:rPr>
                <w:color w:val="000000"/>
              </w:rPr>
            </w:pPr>
          </w:p>
        </w:tc>
        <w:tc>
          <w:tcPr>
            <w:tcW w:w="1040" w:type="dxa"/>
            <w:shd w:val="clear" w:color="auto" w:fill="auto"/>
            <w:noWrap/>
            <w:vAlign w:val="bottom"/>
          </w:tcPr>
          <w:p w14:paraId="73B7B40A" w14:textId="77777777" w:rsidR="00781442" w:rsidRPr="00306784" w:rsidRDefault="00781442"/>
        </w:tc>
        <w:tc>
          <w:tcPr>
            <w:tcW w:w="1960" w:type="dxa"/>
            <w:shd w:val="clear" w:color="auto" w:fill="auto"/>
            <w:noWrap/>
            <w:vAlign w:val="bottom"/>
          </w:tcPr>
          <w:p w14:paraId="6982C856" w14:textId="77777777" w:rsidR="00781442" w:rsidRPr="00306784" w:rsidRDefault="00000000">
            <w:pPr>
              <w:jc w:val="right"/>
              <w:rPr>
                <w:b/>
                <w:bCs/>
                <w:color w:val="000000"/>
              </w:rPr>
            </w:pPr>
            <w:r w:rsidRPr="00306784">
              <w:rPr>
                <w:b/>
                <w:bCs/>
                <w:color w:val="000000"/>
              </w:rPr>
              <w:t>2.40%</w:t>
            </w:r>
          </w:p>
        </w:tc>
      </w:tr>
      <w:tr w:rsidR="00781442" w14:paraId="4627AF75" w14:textId="77777777">
        <w:trPr>
          <w:trHeight w:val="310"/>
        </w:trPr>
        <w:tc>
          <w:tcPr>
            <w:tcW w:w="4060" w:type="dxa"/>
            <w:shd w:val="clear" w:color="auto" w:fill="D5E3CF"/>
            <w:noWrap/>
            <w:vAlign w:val="bottom"/>
          </w:tcPr>
          <w:p w14:paraId="6386A006" w14:textId="77777777" w:rsidR="00781442" w:rsidRPr="00306784" w:rsidRDefault="00000000">
            <w:pPr>
              <w:rPr>
                <w:color w:val="000000"/>
              </w:rPr>
            </w:pPr>
            <w:r w:rsidRPr="00306784">
              <w:rPr>
                <w:color w:val="000000"/>
              </w:rPr>
              <w:t>Russia &amp; Ukraine Effect on Supply:</w:t>
            </w:r>
          </w:p>
        </w:tc>
        <w:tc>
          <w:tcPr>
            <w:tcW w:w="1400" w:type="dxa"/>
            <w:shd w:val="clear" w:color="auto" w:fill="D5E3CF"/>
            <w:noWrap/>
            <w:vAlign w:val="bottom"/>
          </w:tcPr>
          <w:p w14:paraId="3EB5E45D" w14:textId="77777777" w:rsidR="00781442" w:rsidRPr="00306784" w:rsidRDefault="00781442">
            <w:pPr>
              <w:rPr>
                <w:color w:val="000000"/>
              </w:rPr>
            </w:pPr>
          </w:p>
        </w:tc>
        <w:tc>
          <w:tcPr>
            <w:tcW w:w="1040" w:type="dxa"/>
            <w:shd w:val="clear" w:color="auto" w:fill="D5E3CF"/>
            <w:noWrap/>
            <w:vAlign w:val="bottom"/>
          </w:tcPr>
          <w:p w14:paraId="6306A9FC" w14:textId="77777777" w:rsidR="00781442" w:rsidRPr="00306784" w:rsidRDefault="00781442"/>
        </w:tc>
        <w:tc>
          <w:tcPr>
            <w:tcW w:w="1960" w:type="dxa"/>
            <w:shd w:val="clear" w:color="auto" w:fill="D5E3CF"/>
            <w:noWrap/>
            <w:vAlign w:val="bottom"/>
          </w:tcPr>
          <w:p w14:paraId="11B41F76" w14:textId="77777777" w:rsidR="00781442" w:rsidRPr="00306784" w:rsidRDefault="00000000">
            <w:pPr>
              <w:jc w:val="right"/>
              <w:rPr>
                <w:b/>
                <w:bCs/>
                <w:color w:val="000000"/>
              </w:rPr>
            </w:pPr>
            <w:r w:rsidRPr="00306784">
              <w:rPr>
                <w:b/>
                <w:bCs/>
                <w:color w:val="000000"/>
              </w:rPr>
              <w:t>10.98%</w:t>
            </w:r>
          </w:p>
        </w:tc>
      </w:tr>
    </w:tbl>
    <w:p w14:paraId="52E681B1" w14:textId="3B356158" w:rsidR="00781442" w:rsidRDefault="00000000">
      <w:pPr>
        <w:spacing w:line="360" w:lineRule="auto"/>
        <w:rPr>
          <w:bCs/>
          <w:i/>
          <w:color w:val="595959"/>
        </w:rPr>
      </w:pPr>
      <w:r>
        <w:rPr>
          <w:b/>
        </w:rPr>
        <w:fldChar w:fldCharType="end"/>
      </w:r>
      <w:r>
        <w:rPr>
          <w:bCs/>
          <w:i/>
          <w:color w:val="595959"/>
        </w:rPr>
        <w:t xml:space="preserve">Source: </w:t>
      </w:r>
      <w:r>
        <w:rPr>
          <w:rFonts w:hint="eastAsia"/>
          <w:i/>
          <w:iCs/>
          <w:color w:val="595959"/>
          <w:sz w:val="22"/>
          <w:szCs w:val="22"/>
          <w:shd w:val="clear" w:color="auto" w:fill="FFFFFF"/>
        </w:rPr>
        <w:t>B</w:t>
      </w:r>
      <w:r>
        <w:rPr>
          <w:i/>
          <w:iCs/>
          <w:color w:val="595959"/>
          <w:sz w:val="22"/>
          <w:szCs w:val="22"/>
          <w:shd w:val="clear" w:color="auto" w:fill="FFFFFF"/>
        </w:rPr>
        <w:t>ruegel</w:t>
      </w:r>
      <w:r>
        <w:rPr>
          <w:bCs/>
          <w:i/>
          <w:color w:val="595959"/>
        </w:rPr>
        <w:t xml:space="preserve"> </w:t>
      </w:r>
    </w:p>
    <w:p w14:paraId="700A466E" w14:textId="77777777" w:rsidR="00781442" w:rsidRDefault="00000000">
      <w:pPr>
        <w:spacing w:before="240" w:after="240"/>
      </w:pPr>
      <w:r>
        <w:rPr>
          <w:b/>
          <w:bCs/>
          <w:i/>
          <w:iCs/>
          <w:color w:val="000000"/>
          <w:sz w:val="20"/>
          <w:szCs w:val="20"/>
        </w:rPr>
        <w:t>Methodology:</w:t>
      </w:r>
    </w:p>
    <w:p w14:paraId="553CCFB6" w14:textId="77777777" w:rsidR="00781442" w:rsidRDefault="00000000">
      <w:pPr>
        <w:spacing w:before="240" w:after="240"/>
      </w:pPr>
      <w:r>
        <w:rPr>
          <w:b/>
          <w:bCs/>
          <w:i/>
          <w:iCs/>
          <w:color w:val="000000"/>
          <w:sz w:val="20"/>
          <w:szCs w:val="20"/>
        </w:rPr>
        <w:t xml:space="preserve">We base on the operation indicators in September and historical data to predict the result in the coming heating </w:t>
      </w:r>
      <w:proofErr w:type="gramStart"/>
      <w:r>
        <w:rPr>
          <w:b/>
          <w:bCs/>
          <w:i/>
          <w:iCs/>
          <w:color w:val="000000"/>
          <w:sz w:val="20"/>
          <w:szCs w:val="20"/>
        </w:rPr>
        <w:t>season(</w:t>
      </w:r>
      <w:proofErr w:type="gramEnd"/>
      <w:r>
        <w:rPr>
          <w:b/>
          <w:bCs/>
          <w:i/>
          <w:iCs/>
          <w:color w:val="000000"/>
          <w:sz w:val="20"/>
          <w:szCs w:val="20"/>
        </w:rPr>
        <w:t>Usually Nov-Mar, to simplify while the winter is estimated to be longer, we estimate the result from Oct-Mar for 6 months).</w:t>
      </w:r>
    </w:p>
    <w:p w14:paraId="18F96CBC" w14:textId="77777777" w:rsidR="00781442" w:rsidRDefault="00000000">
      <w:pPr>
        <w:spacing w:before="240" w:after="240"/>
      </w:pPr>
      <w:r>
        <w:rPr>
          <w:b/>
          <w:bCs/>
          <w:i/>
          <w:iCs/>
          <w:color w:val="000000"/>
          <w:sz w:val="20"/>
          <w:szCs w:val="20"/>
        </w:rPr>
        <w:t xml:space="preserve">BCM = Billion Cubic Meters </w:t>
      </w:r>
      <w:r>
        <w:rPr>
          <w:rFonts w:ascii="宋体" w:eastAsia="宋体" w:hAnsi="宋体" w:cs="宋体" w:hint="eastAsia"/>
          <w:b/>
          <w:bCs/>
          <w:i/>
          <w:iCs/>
          <w:color w:val="000000"/>
          <w:sz w:val="20"/>
          <w:szCs w:val="20"/>
        </w:rPr>
        <w:t>十亿立方米</w:t>
      </w:r>
      <w:r>
        <w:rPr>
          <w:b/>
          <w:bCs/>
          <w:i/>
          <w:iCs/>
          <w:color w:val="000000"/>
          <w:sz w:val="20"/>
          <w:szCs w:val="20"/>
        </w:rPr>
        <w:t xml:space="preserve">, MCM = Million Cubic Meters </w:t>
      </w:r>
      <w:r>
        <w:rPr>
          <w:rFonts w:ascii="宋体" w:eastAsia="宋体" w:hAnsi="宋体" w:cs="宋体" w:hint="eastAsia"/>
          <w:b/>
          <w:bCs/>
          <w:i/>
          <w:iCs/>
          <w:color w:val="000000"/>
          <w:sz w:val="20"/>
          <w:szCs w:val="20"/>
        </w:rPr>
        <w:t>百万立方米</w:t>
      </w:r>
    </w:p>
    <w:p w14:paraId="33CD2630" w14:textId="77777777" w:rsidR="00781442" w:rsidRDefault="00000000">
      <w:pPr>
        <w:spacing w:before="240" w:after="240"/>
      </w:pPr>
      <w:r>
        <w:rPr>
          <w:b/>
          <w:bCs/>
          <w:color w:val="000000"/>
          <w:sz w:val="20"/>
          <w:szCs w:val="20"/>
          <w:u w:val="single"/>
        </w:rPr>
        <w:t xml:space="preserve">Capacity: </w:t>
      </w:r>
      <w:r>
        <w:rPr>
          <w:color w:val="000000"/>
          <w:sz w:val="20"/>
          <w:szCs w:val="20"/>
        </w:rPr>
        <w:t>The capacity of gas storage is relatively fixed to current level.</w:t>
      </w:r>
    </w:p>
    <w:p w14:paraId="603EDAA0" w14:textId="77777777" w:rsidR="00781442" w:rsidRDefault="00000000">
      <w:pPr>
        <w:spacing w:before="240" w:after="240"/>
      </w:pPr>
      <w:r>
        <w:rPr>
          <w:b/>
          <w:bCs/>
          <w:color w:val="000000"/>
          <w:sz w:val="20"/>
          <w:szCs w:val="20"/>
          <w:u w:val="single"/>
        </w:rPr>
        <w:lastRenderedPageBreak/>
        <w:t xml:space="preserve">Estimated Target: </w:t>
      </w:r>
      <w:r>
        <w:rPr>
          <w:color w:val="000000"/>
          <w:sz w:val="20"/>
          <w:szCs w:val="20"/>
        </w:rPr>
        <w:t>Currently 89.3%, the initial target was 80%, but for fear of energy deficit, we estimate the filling rate to exceed 90%, so we take it as 90%.</w:t>
      </w:r>
    </w:p>
    <w:p w14:paraId="66560823" w14:textId="77777777" w:rsidR="00781442" w:rsidRDefault="00000000">
      <w:pPr>
        <w:spacing w:before="240" w:after="240"/>
      </w:pPr>
      <w:r>
        <w:rPr>
          <w:b/>
          <w:bCs/>
          <w:color w:val="000000"/>
          <w:sz w:val="20"/>
          <w:szCs w:val="20"/>
          <w:u w:val="single"/>
        </w:rPr>
        <w:t>Gas import: </w:t>
      </w:r>
    </w:p>
    <w:p w14:paraId="0D8302A8" w14:textId="77777777" w:rsidR="00781442" w:rsidRDefault="00000000">
      <w:pPr>
        <w:spacing w:before="240" w:after="240"/>
      </w:pPr>
      <w:r>
        <w:rPr>
          <w:b/>
          <w:bCs/>
          <w:color w:val="000000"/>
          <w:sz w:val="20"/>
          <w:szCs w:val="20"/>
        </w:rPr>
        <w:t xml:space="preserve">Import from Russia: </w:t>
      </w:r>
      <w:r>
        <w:rPr>
          <w:color w:val="000000"/>
          <w:sz w:val="20"/>
          <w:szCs w:val="20"/>
        </w:rPr>
        <w:t>We take the import value after the shutdown of North Stream 1 &amp; 2, which is 526.3 MCM/week, equivalent to 188.83 BCM during the heating season. </w:t>
      </w:r>
    </w:p>
    <w:p w14:paraId="760995A2" w14:textId="77777777" w:rsidR="00781442" w:rsidRDefault="00000000">
      <w:pPr>
        <w:spacing w:before="240" w:after="240"/>
      </w:pPr>
      <w:r>
        <w:rPr>
          <w:b/>
          <w:bCs/>
          <w:color w:val="000000"/>
          <w:sz w:val="20"/>
          <w:szCs w:val="20"/>
        </w:rPr>
        <w:t xml:space="preserve">Import from LNG: </w:t>
      </w:r>
      <w:r>
        <w:rPr>
          <w:color w:val="000000"/>
          <w:sz w:val="20"/>
          <w:szCs w:val="20"/>
        </w:rPr>
        <w:t>Estimated to reach 234.75 BCM/</w:t>
      </w:r>
      <w:proofErr w:type="spellStart"/>
      <w:r>
        <w:rPr>
          <w:color w:val="000000"/>
          <w:sz w:val="20"/>
          <w:szCs w:val="20"/>
        </w:rPr>
        <w:t>yr</w:t>
      </w:r>
      <w:proofErr w:type="spellEnd"/>
      <w:r>
        <w:rPr>
          <w:color w:val="000000"/>
          <w:sz w:val="20"/>
          <w:szCs w:val="20"/>
        </w:rPr>
        <w:t xml:space="preserve"> at the end of 2022, we just simply use CICC estimation.</w:t>
      </w:r>
    </w:p>
    <w:p w14:paraId="68BE674D" w14:textId="77777777" w:rsidR="00781442" w:rsidRDefault="00000000">
      <w:pPr>
        <w:spacing w:before="240" w:after="240"/>
      </w:pPr>
      <w:r>
        <w:rPr>
          <w:b/>
          <w:bCs/>
          <w:color w:val="000000"/>
          <w:sz w:val="20"/>
          <w:szCs w:val="20"/>
        </w:rPr>
        <w:t xml:space="preserve">Others: </w:t>
      </w:r>
      <w:r>
        <w:rPr>
          <w:color w:val="000000"/>
          <w:sz w:val="20"/>
          <w:szCs w:val="20"/>
        </w:rPr>
        <w:t xml:space="preserve">We take the value in </w:t>
      </w:r>
      <w:proofErr w:type="gramStart"/>
      <w:r>
        <w:rPr>
          <w:color w:val="000000"/>
          <w:sz w:val="20"/>
          <w:szCs w:val="20"/>
        </w:rPr>
        <w:t>September, and</w:t>
      </w:r>
      <w:proofErr w:type="gramEnd"/>
      <w:r>
        <w:rPr>
          <w:color w:val="000000"/>
          <w:sz w:val="20"/>
          <w:szCs w:val="20"/>
        </w:rPr>
        <w:t xml:space="preserve"> multiply it by 6.</w:t>
      </w:r>
    </w:p>
    <w:p w14:paraId="6B8DF420" w14:textId="77777777" w:rsidR="00781442" w:rsidRDefault="00000000">
      <w:pPr>
        <w:spacing w:before="240" w:after="240"/>
      </w:pPr>
      <w:r>
        <w:rPr>
          <w:b/>
          <w:bCs/>
          <w:color w:val="000000"/>
          <w:sz w:val="20"/>
          <w:szCs w:val="20"/>
          <w:u w:val="single"/>
        </w:rPr>
        <w:t xml:space="preserve">EU production: </w:t>
      </w:r>
      <w:r>
        <w:rPr>
          <w:color w:val="000000"/>
          <w:sz w:val="20"/>
          <w:szCs w:val="20"/>
        </w:rPr>
        <w:t xml:space="preserve">EU Production in the heating </w:t>
      </w:r>
      <w:proofErr w:type="gramStart"/>
      <w:r>
        <w:rPr>
          <w:color w:val="000000"/>
          <w:sz w:val="20"/>
          <w:szCs w:val="20"/>
        </w:rPr>
        <w:t>season(</w:t>
      </w:r>
      <w:proofErr w:type="gramEnd"/>
      <w:r>
        <w:rPr>
          <w:color w:val="000000"/>
          <w:sz w:val="20"/>
          <w:szCs w:val="20"/>
        </w:rPr>
        <w:t>Nov-Mar) is relatively constant, about 50 BCM, so we use 60 here.</w:t>
      </w:r>
    </w:p>
    <w:p w14:paraId="3FDB52D5" w14:textId="77777777" w:rsidR="00781442" w:rsidRDefault="00000000">
      <w:pPr>
        <w:spacing w:before="240" w:after="240"/>
      </w:pPr>
      <w:r>
        <w:rPr>
          <w:b/>
          <w:bCs/>
          <w:color w:val="000000"/>
          <w:sz w:val="20"/>
          <w:szCs w:val="20"/>
          <w:u w:val="single"/>
        </w:rPr>
        <w:t>Consumption:</w:t>
      </w:r>
      <w:r>
        <w:rPr>
          <w:color w:val="000000"/>
          <w:sz w:val="20"/>
          <w:szCs w:val="20"/>
        </w:rPr>
        <w:t xml:space="preserve"> Consumption in the heating </w:t>
      </w:r>
      <w:proofErr w:type="gramStart"/>
      <w:r>
        <w:rPr>
          <w:color w:val="000000"/>
          <w:sz w:val="20"/>
          <w:szCs w:val="20"/>
        </w:rPr>
        <w:t>Season(</w:t>
      </w:r>
      <w:proofErr w:type="gramEnd"/>
      <w:r>
        <w:rPr>
          <w:color w:val="000000"/>
          <w:sz w:val="20"/>
          <w:szCs w:val="20"/>
        </w:rPr>
        <w:t>Nov-Mar) is relatively constant at 267.5 BCM, and we multiply it by 6/5.</w:t>
      </w:r>
    </w:p>
    <w:p w14:paraId="5C057BBC" w14:textId="77777777" w:rsidR="00781442" w:rsidRDefault="00000000">
      <w:pPr>
        <w:spacing w:before="240" w:after="240"/>
        <w:rPr>
          <w:color w:val="000000"/>
          <w:sz w:val="20"/>
          <w:szCs w:val="20"/>
          <w:lang w:eastAsia="zh-TW"/>
        </w:rPr>
      </w:pPr>
      <w:r>
        <w:rPr>
          <w:b/>
          <w:bCs/>
          <w:color w:val="000000"/>
          <w:sz w:val="20"/>
          <w:szCs w:val="20"/>
          <w:u w:val="single"/>
        </w:rPr>
        <w:t xml:space="preserve">Value in storage: = </w:t>
      </w:r>
      <w:r>
        <w:rPr>
          <w:color w:val="000000"/>
          <w:sz w:val="20"/>
          <w:szCs w:val="20"/>
        </w:rPr>
        <w:t xml:space="preserve">Estimated </w:t>
      </w:r>
      <w:proofErr w:type="spellStart"/>
      <w:r>
        <w:rPr>
          <w:color w:val="000000"/>
          <w:sz w:val="20"/>
          <w:szCs w:val="20"/>
        </w:rPr>
        <w:t>values+Gas</w:t>
      </w:r>
      <w:proofErr w:type="spellEnd"/>
      <w:r>
        <w:rPr>
          <w:color w:val="000000"/>
          <w:sz w:val="20"/>
          <w:szCs w:val="20"/>
        </w:rPr>
        <w:t xml:space="preserve"> </w:t>
      </w:r>
      <w:proofErr w:type="spellStart"/>
      <w:r>
        <w:rPr>
          <w:color w:val="000000"/>
          <w:sz w:val="20"/>
          <w:szCs w:val="20"/>
        </w:rPr>
        <w:t>import+EU</w:t>
      </w:r>
      <w:proofErr w:type="spellEnd"/>
      <w:r>
        <w:rPr>
          <w:color w:val="000000"/>
          <w:sz w:val="20"/>
          <w:szCs w:val="20"/>
        </w:rPr>
        <w:t xml:space="preserve"> production-consumption, and the estimated terminal value in storage is</w:t>
      </w:r>
      <w:r>
        <w:rPr>
          <w:b/>
          <w:bCs/>
          <w:color w:val="000000"/>
          <w:sz w:val="20"/>
          <w:szCs w:val="20"/>
        </w:rPr>
        <w:t xml:space="preserve"> ~28 BCM</w:t>
      </w:r>
      <w:r>
        <w:rPr>
          <w:color w:val="000000"/>
          <w:sz w:val="20"/>
          <w:szCs w:val="20"/>
        </w:rPr>
        <w:t>, whose corresponding storage rate would be ~25% at the end of the heating season, much lower from 5-year average ~40 BCM.</w:t>
      </w:r>
    </w:p>
    <w:p w14:paraId="2432CC46" w14:textId="77777777" w:rsidR="00781442" w:rsidRDefault="00781442">
      <w:pPr>
        <w:spacing w:before="240" w:after="240"/>
        <w:rPr>
          <w:color w:val="000000"/>
          <w:sz w:val="20"/>
          <w:szCs w:val="20"/>
        </w:rPr>
      </w:pPr>
    </w:p>
    <w:p w14:paraId="4BD352F9" w14:textId="1560862B" w:rsidR="00781442" w:rsidRDefault="00000000">
      <w:pPr>
        <w:spacing w:before="240" w:after="240"/>
      </w:pPr>
      <w:r>
        <w:rPr>
          <w:color w:val="003300"/>
          <w:szCs w:val="26"/>
        </w:rPr>
        <w:t xml:space="preserve">1.3. </w:t>
      </w:r>
      <w:r>
        <w:t>The failure of other energy sources to fill the gap</w:t>
      </w:r>
    </w:p>
    <w:p w14:paraId="0523077B" w14:textId="77777777" w:rsidR="00781442" w:rsidRDefault="00000000">
      <w:pPr>
        <w:spacing w:line="360" w:lineRule="auto"/>
        <w:rPr>
          <w:b/>
        </w:rPr>
      </w:pPr>
      <w:r>
        <w:rPr>
          <w:b/>
        </w:rPr>
        <w:t>Coal:</w:t>
      </w:r>
    </w:p>
    <w:p w14:paraId="2BE2B82D" w14:textId="77777777" w:rsidR="00781442" w:rsidRDefault="00000000">
      <w:pPr>
        <w:spacing w:line="360" w:lineRule="auto"/>
        <w:ind w:firstLine="720"/>
        <w:rPr>
          <w:bCs/>
        </w:rPr>
      </w:pPr>
      <w:r>
        <w:rPr>
          <w:bCs/>
        </w:rPr>
        <w:t>According to Wood Mackenzie statistics, about 11GW of coal power capacity in Europe as a whole has resumed production, accounting for about 1/10 of Europe's total coal power capacity. On the other hand, the utilization hours of coal power have also increased. The utilization hours of the 14 major European coal power producing countries according to our statistics have reached 2,380 hours in the first eight months of this year. It will reach 4,000 hours, a further increase from 3,716 hours in 2021 and 2,658 hours in 2020.</w:t>
      </w:r>
    </w:p>
    <w:p w14:paraId="33C05C8E" w14:textId="3307D57F" w:rsidR="00781442" w:rsidRDefault="00000000">
      <w:pPr>
        <w:spacing w:line="360" w:lineRule="auto"/>
        <w:ind w:firstLine="720"/>
        <w:rPr>
          <w:bCs/>
        </w:rPr>
      </w:pPr>
      <w:r>
        <w:rPr>
          <w:bCs/>
        </w:rPr>
        <w:t>In the EU coal supply, imports account for a relatively high proportion. In 2021, the output of coal and lignite in the 27 EU countries will be about 330 million tons, the external import volume will be about 85 million tons, and the import dependence will be about 22%. In 1H2022, EU coal imports increased by 49% YoY, further increasing import dependence.</w:t>
      </w:r>
    </w:p>
    <w:p w14:paraId="75AB94FD" w14:textId="77777777" w:rsidR="00781442" w:rsidRDefault="00000000">
      <w:pPr>
        <w:spacing w:before="240" w:after="240"/>
        <w:jc w:val="center"/>
      </w:pPr>
      <w:r>
        <w:rPr>
          <w:i/>
          <w:iCs/>
          <w:color w:val="666666"/>
          <w:sz w:val="22"/>
          <w:szCs w:val="22"/>
        </w:rPr>
        <w:t>Figure: EU coal Import and Production from 2017-2021</w:t>
      </w:r>
    </w:p>
    <w:p w14:paraId="527FB335" w14:textId="02C374F4" w:rsidR="00781442" w:rsidRDefault="00781442"/>
    <w:p w14:paraId="7FD09426" w14:textId="28B28535" w:rsidR="0085742C" w:rsidRDefault="0085742C">
      <w:r>
        <w:rPr>
          <w:noProof/>
        </w:rPr>
        <w:lastRenderedPageBreak/>
        <w:drawing>
          <wp:inline distT="0" distB="0" distL="0" distR="0" wp14:anchorId="015C9A3E" wp14:editId="54E752FA">
            <wp:extent cx="4572635" cy="2743200"/>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a:ln>
                      <a:solidFill>
                        <a:schemeClr val="bg2"/>
                      </a:solidFill>
                    </a:ln>
                  </pic:spPr>
                </pic:pic>
              </a:graphicData>
            </a:graphic>
          </wp:inline>
        </w:drawing>
      </w:r>
    </w:p>
    <w:p w14:paraId="080AD77E" w14:textId="77777777" w:rsidR="00781442" w:rsidRDefault="00000000">
      <w:pPr>
        <w:spacing w:before="240" w:after="240"/>
      </w:pPr>
      <w:r>
        <w:rPr>
          <w:i/>
          <w:iCs/>
          <w:color w:val="595959"/>
          <w:sz w:val="22"/>
          <w:szCs w:val="22"/>
        </w:rPr>
        <w:t xml:space="preserve">Source: </w:t>
      </w:r>
      <w:r>
        <w:rPr>
          <w:i/>
          <w:iCs/>
          <w:color w:val="595959"/>
          <w:sz w:val="22"/>
          <w:szCs w:val="22"/>
          <w:shd w:val="clear" w:color="auto" w:fill="FFFFFF"/>
        </w:rPr>
        <w:t>IEA</w:t>
      </w:r>
    </w:p>
    <w:p w14:paraId="22F9AB15" w14:textId="4E96339D" w:rsidR="00781442" w:rsidRDefault="00000000">
      <w:pPr>
        <w:spacing w:line="360" w:lineRule="auto"/>
        <w:ind w:firstLine="720"/>
        <w:rPr>
          <w:bCs/>
        </w:rPr>
      </w:pPr>
      <w:r>
        <w:rPr>
          <w:bCs/>
        </w:rPr>
        <w:t>However, 45% of the EU's annual coal import</w:t>
      </w:r>
      <w:r>
        <w:rPr>
          <w:rFonts w:hint="eastAsia"/>
          <w:bCs/>
          <w:lang w:eastAsia="zh-TW"/>
        </w:rPr>
        <w:t>s</w:t>
      </w:r>
      <w:r>
        <w:rPr>
          <w:bCs/>
        </w:rPr>
        <w:t xml:space="preserve"> come from Russia, with a total value of about 4 billion euros, the embargo on Russian coal will affect 10% of the total coal supply. Although coal can be imported from other countries and regions, the cost will rise, lifting the marginal cost of electricity. </w:t>
      </w:r>
    </w:p>
    <w:p w14:paraId="5F2501D8" w14:textId="77777777" w:rsidR="00781442" w:rsidRDefault="00781442">
      <w:pPr>
        <w:spacing w:line="360" w:lineRule="auto"/>
        <w:ind w:firstLine="720"/>
        <w:rPr>
          <w:bCs/>
        </w:rPr>
      </w:pPr>
    </w:p>
    <w:p w14:paraId="29C4A4AB" w14:textId="77777777" w:rsidR="00781442" w:rsidRDefault="00000000">
      <w:pPr>
        <w:spacing w:line="360" w:lineRule="auto"/>
        <w:rPr>
          <w:b/>
        </w:rPr>
      </w:pPr>
      <w:r>
        <w:rPr>
          <w:b/>
        </w:rPr>
        <w:t>Other Energy</w:t>
      </w:r>
    </w:p>
    <w:p w14:paraId="77EE0EDB" w14:textId="77777777" w:rsidR="00781442" w:rsidRDefault="00000000">
      <w:pPr>
        <w:spacing w:line="360" w:lineRule="auto"/>
        <w:ind w:firstLine="720"/>
        <w:rPr>
          <w:bCs/>
        </w:rPr>
      </w:pPr>
      <w:r>
        <w:rPr>
          <w:bCs/>
        </w:rPr>
        <w:t>The high temperature and severe drought in Europe this summer have had a serious impact on power production. Hydropower, nuclear power and solar power generation are not immune, exacerbating the shortage of supply in the European power market.</w:t>
      </w:r>
    </w:p>
    <w:p w14:paraId="02BCE67E" w14:textId="77777777" w:rsidR="00781442" w:rsidRDefault="00000000">
      <w:pPr>
        <w:spacing w:line="360" w:lineRule="auto"/>
        <w:ind w:firstLine="720"/>
        <w:rPr>
          <w:bCs/>
        </w:rPr>
      </w:pPr>
      <w:r>
        <w:rPr>
          <w:b/>
        </w:rPr>
        <w:t>Hydropower:</w:t>
      </w:r>
      <w:r>
        <w:rPr>
          <w:bCs/>
        </w:rPr>
        <w:t xml:space="preserve"> Continued high temperatures in Europe have led to increased evaporation from rivers, lakes and reservoirs, lower water levels and severe impacts on hydropower generation. In Italy, for example, hydropower accounts for 20% of the country's total electricity production, but the country's hydropower production has plummeted by 40% in the past 12 months.</w:t>
      </w:r>
    </w:p>
    <w:p w14:paraId="23E317DD" w14:textId="77777777" w:rsidR="00781442" w:rsidRDefault="00000000">
      <w:pPr>
        <w:spacing w:line="360" w:lineRule="auto"/>
        <w:ind w:firstLine="720"/>
        <w:rPr>
          <w:bCs/>
        </w:rPr>
      </w:pPr>
      <w:r>
        <w:rPr>
          <w:b/>
        </w:rPr>
        <w:t>Nuclear power:</w:t>
      </w:r>
      <w:r>
        <w:rPr>
          <w:bCs/>
        </w:rPr>
        <w:t xml:space="preserve"> Statistics from a Norwegian energy consultancy show that in the first seven months of this year, Europe's hydropower generation fell by 20% compared with the same period last year, while nuclear power generation fell by 12%.</w:t>
      </w:r>
    </w:p>
    <w:p w14:paraId="5A173395" w14:textId="77777777" w:rsidR="00781442" w:rsidRDefault="00000000">
      <w:pPr>
        <w:spacing w:line="360" w:lineRule="auto"/>
        <w:ind w:firstLine="720"/>
        <w:rPr>
          <w:bCs/>
        </w:rPr>
      </w:pPr>
      <w:r>
        <w:rPr>
          <w:bCs/>
        </w:rPr>
        <w:lastRenderedPageBreak/>
        <w:t>Maintenance work and technical problems at French nuclear power plants have reduced their generating capacity. According to media reports, out of France's 62 gigawatts of nuclear power capacity, only 25 gigawatts are currently available. </w:t>
      </w:r>
    </w:p>
    <w:p w14:paraId="4722B1BF" w14:textId="77777777" w:rsidR="00781442" w:rsidRDefault="00000000">
      <w:pPr>
        <w:spacing w:line="360" w:lineRule="auto"/>
        <w:ind w:firstLine="720"/>
        <w:rPr>
          <w:bCs/>
        </w:rPr>
      </w:pPr>
      <w:r>
        <w:rPr>
          <w:b/>
        </w:rPr>
        <w:t>Solar power:</w:t>
      </w:r>
      <w:r>
        <w:rPr>
          <w:bCs/>
        </w:rPr>
        <w:t xml:space="preserve"> On the other hand, hot weather is also not conducive to solar power generation. High temperature will cause the power loss of photovoltaic panels and shorten the service life. When the temperature exceeds 25 degrees Celsius, the power generation of photovoltaic panels will drop significantly.</w:t>
      </w:r>
    </w:p>
    <w:p w14:paraId="1909C554" w14:textId="77777777" w:rsidR="00781442" w:rsidRDefault="00781442">
      <w:pPr>
        <w:spacing w:line="360" w:lineRule="auto"/>
        <w:rPr>
          <w:bCs/>
          <w:i/>
          <w:color w:val="595959"/>
          <w:sz w:val="22"/>
          <w:szCs w:val="22"/>
        </w:rPr>
      </w:pPr>
    </w:p>
    <w:p w14:paraId="26E3F24C" w14:textId="77777777" w:rsidR="00781442" w:rsidRDefault="00000000">
      <w:pPr>
        <w:pStyle w:val="Heading1"/>
        <w:spacing w:line="360" w:lineRule="auto"/>
        <w:rPr>
          <w:rFonts w:ascii="Times New Roman" w:hAnsi="Times New Roman" w:cs="Times New Roman"/>
          <w:szCs w:val="36"/>
        </w:rPr>
      </w:pPr>
      <w:bookmarkStart w:id="11" w:name="_Toc117700789"/>
      <w:r>
        <w:rPr>
          <w:rFonts w:ascii="Times New Roman" w:hAnsi="Times New Roman" w:cs="Times New Roman"/>
          <w:szCs w:val="36"/>
        </w:rPr>
        <w:t xml:space="preserve">2. Energy consumption </w:t>
      </w:r>
      <w:bookmarkEnd w:id="11"/>
    </w:p>
    <w:p w14:paraId="11D30BBA" w14:textId="77777777" w:rsidR="00781442" w:rsidRDefault="00000000">
      <w:pPr>
        <w:rPr>
          <w:rFonts w:eastAsiaTheme="minorEastAsia"/>
        </w:rPr>
      </w:pPr>
      <w:r>
        <w:rPr>
          <w:rFonts w:eastAsiaTheme="minorEastAsia" w:hint="eastAsia"/>
        </w:rPr>
        <w:t>K</w:t>
      </w:r>
      <w:r>
        <w:rPr>
          <w:rFonts w:eastAsiaTheme="minorEastAsia"/>
        </w:rPr>
        <w:t>ey facts before reading this section:</w:t>
      </w:r>
    </w:p>
    <w:p w14:paraId="6875A84C" w14:textId="77777777" w:rsidR="00781442" w:rsidRDefault="00000000">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Out of total energy available, about 2/3 is consumed by end-users and about 1/3 is mainly lost during electricity generation and distribution or non-energy uses.</w:t>
      </w:r>
    </w:p>
    <w:p w14:paraId="04C661A0" w14:textId="77777777" w:rsidR="00781442" w:rsidRDefault="00000000">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here are two energy products, the primary and secondary energy products.</w:t>
      </w:r>
    </w:p>
    <w:p w14:paraId="499BEDD3" w14:textId="77777777" w:rsidR="00781442" w:rsidRDefault="00781442">
      <w:pPr>
        <w:pStyle w:val="ListParagraph"/>
        <w:ind w:left="420"/>
        <w:rPr>
          <w:rFonts w:ascii="Times New Roman" w:eastAsiaTheme="minorEastAsia" w:hAnsi="Times New Roman" w:cs="Times New Roman"/>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5"/>
        <w:gridCol w:w="2835"/>
      </w:tblGrid>
      <w:tr w:rsidR="00781442" w14:paraId="57706534" w14:textId="77777777">
        <w:trPr>
          <w:trHeight w:val="2268"/>
          <w:jc w:val="center"/>
        </w:trPr>
        <w:tc>
          <w:tcPr>
            <w:tcW w:w="2835" w:type="dxa"/>
            <w:shd w:val="clear" w:color="auto" w:fill="E2EFD9" w:themeFill="accent6" w:themeFillTint="33"/>
          </w:tcPr>
          <w:p w14:paraId="7DFF820D" w14:textId="77777777" w:rsidR="00781442" w:rsidRDefault="00000000">
            <w:pPr>
              <w:pStyle w:val="ListParagraph"/>
              <w:ind w:left="0"/>
              <w:rPr>
                <w:rFonts w:ascii="Times New Roman" w:eastAsiaTheme="minorEastAsia" w:hAnsi="Times New Roman" w:cs="Times New Roman"/>
                <w:b/>
                <w:bCs/>
              </w:rPr>
            </w:pPr>
            <w:r>
              <w:rPr>
                <w:rFonts w:ascii="Times New Roman" w:eastAsiaTheme="minorEastAsia" w:hAnsi="Times New Roman" w:cs="Times New Roman" w:hint="eastAsia"/>
                <w:noProof/>
              </w:rPr>
              <mc:AlternateContent>
                <mc:Choice Requires="wps">
                  <w:drawing>
                    <wp:anchor distT="0" distB="0" distL="114300" distR="114300" simplePos="0" relativeHeight="251662336" behindDoc="0" locked="0" layoutInCell="1" allowOverlap="1" wp14:anchorId="7F4CB8CC" wp14:editId="3D5A56E8">
                      <wp:simplePos x="0" y="0"/>
                      <wp:positionH relativeFrom="column">
                        <wp:posOffset>1569085</wp:posOffset>
                      </wp:positionH>
                      <wp:positionV relativeFrom="paragraph">
                        <wp:posOffset>305435</wp:posOffset>
                      </wp:positionV>
                      <wp:extent cx="289560" cy="45720"/>
                      <wp:effectExtent l="0" t="19050" r="34290" b="31115"/>
                      <wp:wrapNone/>
                      <wp:docPr id="27" name="Arrow: Right 27"/>
                      <wp:cNvGraphicFramePr/>
                      <a:graphic xmlns:a="http://schemas.openxmlformats.org/drawingml/2006/main">
                        <a:graphicData uri="http://schemas.microsoft.com/office/word/2010/wordprocessingShape">
                          <wps:wsp>
                            <wps:cNvSpPr/>
                            <wps:spPr>
                              <a:xfrm>
                                <a:off x="0" y="0"/>
                                <a:ext cx="289560" cy="45719"/>
                              </a:xfrm>
                              <a:prstGeom prst="rightArrow">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7" o:spid="_x0000_s1026" o:spt="13" type="#_x0000_t13" style="position:absolute;left:0pt;margin-left:123.55pt;margin-top:24.05pt;height:3.6pt;width:22.8pt;z-index:251662336;v-text-anchor:middle;mso-width-relative:page;mso-height-relative:page;" fillcolor="#385723 [1609]" filled="t" stroked="t" coordsize="21600,21600" o:gfxdata="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FgiWTbAAAACQEAAA8AAAAAAAAAAQAgAAAA&#10;IgAAAGRycy9kb3ducmV2LnhtbFBLAQIUABQAAAAIAIdO4kDY6T1/egIAAEQFAAAOAAAAAAAAAAEA&#10;IAAAACoBAABkcnMvZTJvRG9jLnhtbFBLBQYAAAAABgAGAFkBAAAWBgAAAAA=&#10;" adj="19895,5400">
                      <v:fill on="t" focussize="0,0"/>
                      <v:stroke weight="1pt" color="#385723 [1609]" miterlimit="8" joinstyle="miter"/>
                      <v:imagedata o:title=""/>
                      <o:lock v:ext="edit" aspectratio="f"/>
                    </v:shape>
                  </w:pict>
                </mc:Fallback>
              </mc:AlternateContent>
            </w:r>
            <w:r>
              <w:rPr>
                <w:rFonts w:ascii="Times New Roman" w:eastAsiaTheme="minorEastAsia" w:hAnsi="Times New Roman" w:cs="Times New Roman" w:hint="eastAsia"/>
                <w:b/>
                <w:bCs/>
              </w:rPr>
              <w:t>P</w:t>
            </w:r>
            <w:r>
              <w:rPr>
                <w:rFonts w:ascii="Times New Roman" w:eastAsiaTheme="minorEastAsia" w:hAnsi="Times New Roman" w:cs="Times New Roman"/>
                <w:b/>
                <w:bCs/>
              </w:rPr>
              <w:t>rimary Energy Products</w:t>
            </w:r>
          </w:p>
          <w:p w14:paraId="4E2D3B16" w14:textId="77777777" w:rsidR="00781442" w:rsidRDefault="00781442">
            <w:pPr>
              <w:pStyle w:val="ListParagraph"/>
              <w:ind w:left="0"/>
              <w:rPr>
                <w:rFonts w:ascii="Times New Roman" w:eastAsiaTheme="minorEastAsia" w:hAnsi="Times New Roman" w:cs="Times New Roman"/>
              </w:rPr>
            </w:pPr>
          </w:p>
          <w:p w14:paraId="38409954"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x.</w:t>
            </w:r>
          </w:p>
          <w:p w14:paraId="2146F94B"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rPr>
              <w:t>N</w:t>
            </w:r>
            <w:r>
              <w:rPr>
                <w:rFonts w:ascii="Times New Roman" w:eastAsiaTheme="minorEastAsia" w:hAnsi="Times New Roman" w:cs="Times New Roman"/>
              </w:rPr>
              <w:t>atural Gas</w:t>
            </w:r>
          </w:p>
          <w:p w14:paraId="3AD67A8D"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noProof/>
              </w:rPr>
              <mc:AlternateContent>
                <mc:Choice Requires="wps">
                  <w:drawing>
                    <wp:anchor distT="0" distB="0" distL="114300" distR="114300" simplePos="0" relativeHeight="251661312" behindDoc="0" locked="0" layoutInCell="1" allowOverlap="1" wp14:anchorId="4DC4D23B" wp14:editId="12C1F402">
                      <wp:simplePos x="0" y="0"/>
                      <wp:positionH relativeFrom="column">
                        <wp:posOffset>817880</wp:posOffset>
                      </wp:positionH>
                      <wp:positionV relativeFrom="paragraph">
                        <wp:posOffset>168275</wp:posOffset>
                      </wp:positionV>
                      <wp:extent cx="64770" cy="297180"/>
                      <wp:effectExtent l="19050" t="0" r="30480" b="45720"/>
                      <wp:wrapNone/>
                      <wp:docPr id="25" name="Arrow: Down 25"/>
                      <wp:cNvGraphicFramePr/>
                      <a:graphic xmlns:a="http://schemas.openxmlformats.org/drawingml/2006/main">
                        <a:graphicData uri="http://schemas.microsoft.com/office/word/2010/wordprocessingShape">
                          <wps:wsp>
                            <wps:cNvSpPr/>
                            <wps:spPr>
                              <a:xfrm>
                                <a:off x="0" y="0"/>
                                <a:ext cx="64770" cy="297180"/>
                              </a:xfrm>
                              <a:prstGeom prst="downArrow">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25" o:spid="_x0000_s1026" o:spt="67" type="#_x0000_t67" style="position:absolute;left:0pt;margin-left:64.4pt;margin-top:13.25pt;height:23.4pt;width:5.1pt;z-index:251661312;v-text-anchor:middle;mso-width-relative:page;mso-height-relative:page;" fillcolor="#385723 [1609]" filled="t" stroked="t" coordsize="21600,21600" o:gfxdata="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B+T7XAAAACQEAAA8AAAAAAAAAAQAgAAAAIgAAAGRycy9k&#10;b3ducmV2LnhtbFBLAQIUABQAAAAIAIdO4kBrosafdQIAAEIFAAAOAAAAAAAAAAEAIAAAACYBAABk&#10;cnMvZTJvRG9jLnhtbFBLBQYAAAAABgAGAFkBAAANBgAAAAA=&#10;" adj="19247,5400">
                      <v:fill on="t" focussize="0,0"/>
                      <v:stroke weight="1pt" color="#385723 [1609]" miterlimit="8" joinstyle="miter"/>
                      <v:imagedata o:title=""/>
                      <o:lock v:ext="edit" aspectratio="f"/>
                    </v:shape>
                  </w:pict>
                </mc:Fallback>
              </mc:AlternateContent>
            </w:r>
            <w:r>
              <w:rPr>
                <w:rFonts w:ascii="Times New Roman" w:eastAsiaTheme="minorEastAsia" w:hAnsi="Times New Roman" w:cs="Times New Roman" w:hint="eastAsia"/>
              </w:rPr>
              <w:t>C</w:t>
            </w:r>
            <w:r>
              <w:rPr>
                <w:rFonts w:ascii="Times New Roman" w:eastAsiaTheme="minorEastAsia" w:hAnsi="Times New Roman" w:cs="Times New Roman"/>
              </w:rPr>
              <w:t>rude Oil</w:t>
            </w:r>
          </w:p>
          <w:p w14:paraId="512857ED"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oal</w:t>
            </w:r>
          </w:p>
        </w:tc>
        <w:tc>
          <w:tcPr>
            <w:tcW w:w="2835" w:type="dxa"/>
            <w:shd w:val="clear" w:color="auto" w:fill="538135" w:themeFill="accent6" w:themeFillShade="BF"/>
          </w:tcPr>
          <w:p w14:paraId="13C1FDBC" w14:textId="77777777" w:rsidR="00781442" w:rsidRDefault="00000000">
            <w:pPr>
              <w:pStyle w:val="ListParagraph"/>
              <w:ind w:left="0"/>
              <w:rPr>
                <w:rFonts w:ascii="Times New Roman" w:eastAsiaTheme="minorEastAsia" w:hAnsi="Times New Roman" w:cs="Times New Roman"/>
                <w:b/>
                <w:bCs/>
                <w:color w:val="FFFFFF" w:themeColor="background1"/>
              </w:rPr>
            </w:pPr>
            <w:r>
              <w:rPr>
                <w:rFonts w:ascii="Times New Roman" w:eastAsiaTheme="minorEastAsia" w:hAnsi="Times New Roman" w:cs="Times New Roman" w:hint="eastAsia"/>
                <w:b/>
                <w:bCs/>
                <w:color w:val="FFFFFF" w:themeColor="background1"/>
              </w:rPr>
              <w:t>D</w:t>
            </w:r>
            <w:r>
              <w:rPr>
                <w:rFonts w:ascii="Times New Roman" w:eastAsiaTheme="minorEastAsia" w:hAnsi="Times New Roman" w:cs="Times New Roman"/>
                <w:b/>
                <w:bCs/>
                <w:color w:val="FFFFFF" w:themeColor="background1"/>
              </w:rPr>
              <w:t>irect Consumption</w:t>
            </w:r>
          </w:p>
          <w:p w14:paraId="142FD896" w14:textId="77777777" w:rsidR="00781442" w:rsidRDefault="00781442">
            <w:pPr>
              <w:pStyle w:val="ListParagraph"/>
              <w:ind w:left="0"/>
              <w:rPr>
                <w:rFonts w:ascii="Times New Roman" w:eastAsiaTheme="minorEastAsia" w:hAnsi="Times New Roman" w:cs="Times New Roman"/>
                <w:color w:val="FFFFFF" w:themeColor="background1"/>
              </w:rPr>
            </w:pPr>
          </w:p>
          <w:p w14:paraId="0A94AA51" w14:textId="77777777" w:rsidR="00781442" w:rsidRDefault="00000000">
            <w:pPr>
              <w:pStyle w:val="ListParagraph"/>
              <w:ind w:left="0"/>
              <w:rPr>
                <w:rFonts w:ascii="Times New Roman" w:eastAsiaTheme="minorEastAsia" w:hAnsi="Times New Roman" w:cs="Times New Roman"/>
                <w:color w:val="FFFFFF" w:themeColor="background1"/>
              </w:rPr>
            </w:pPr>
            <w:r>
              <w:rPr>
                <w:rFonts w:ascii="Times New Roman" w:eastAsiaTheme="minorEastAsia" w:hAnsi="Times New Roman" w:cs="Times New Roman" w:hint="eastAsia"/>
                <w:color w:val="FFFFFF" w:themeColor="background1"/>
              </w:rPr>
              <w:t>E</w:t>
            </w:r>
            <w:r>
              <w:rPr>
                <w:rFonts w:ascii="Times New Roman" w:eastAsiaTheme="minorEastAsia" w:hAnsi="Times New Roman" w:cs="Times New Roman"/>
                <w:color w:val="FFFFFF" w:themeColor="background1"/>
              </w:rPr>
              <w:t>x.</w:t>
            </w:r>
          </w:p>
          <w:p w14:paraId="0456A545" w14:textId="77777777" w:rsidR="00781442" w:rsidRDefault="00000000">
            <w:pPr>
              <w:pStyle w:val="ListParagraph"/>
              <w:ind w:left="0"/>
              <w:rPr>
                <w:rFonts w:ascii="Times New Roman" w:eastAsiaTheme="minorEastAsia" w:hAnsi="Times New Roman" w:cs="Times New Roman"/>
                <w:color w:val="FFFFFF" w:themeColor="background1"/>
              </w:rPr>
            </w:pPr>
            <w:r>
              <w:rPr>
                <w:rFonts w:ascii="Times New Roman" w:eastAsiaTheme="minorEastAsia" w:hAnsi="Times New Roman" w:cs="Times New Roman" w:hint="eastAsia"/>
                <w:color w:val="FFFFFF" w:themeColor="background1"/>
              </w:rPr>
              <w:t>N</w:t>
            </w:r>
            <w:r>
              <w:rPr>
                <w:rFonts w:ascii="Times New Roman" w:eastAsiaTheme="minorEastAsia" w:hAnsi="Times New Roman" w:cs="Times New Roman"/>
                <w:color w:val="FFFFFF" w:themeColor="background1"/>
              </w:rPr>
              <w:t>atural gas for heating</w:t>
            </w:r>
          </w:p>
          <w:p w14:paraId="0B0EF241"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color w:val="FFFFFF" w:themeColor="background1"/>
              </w:rPr>
              <w:t>S</w:t>
            </w:r>
            <w:r>
              <w:rPr>
                <w:rFonts w:ascii="Times New Roman" w:eastAsiaTheme="minorEastAsia" w:hAnsi="Times New Roman" w:cs="Times New Roman"/>
                <w:color w:val="FFFFFF" w:themeColor="background1"/>
              </w:rPr>
              <w:t>olar thermal for sanitary hot water</w:t>
            </w:r>
          </w:p>
        </w:tc>
      </w:tr>
      <w:tr w:rsidR="00781442" w14:paraId="7C0B7BE0" w14:textId="77777777">
        <w:trPr>
          <w:trHeight w:val="2268"/>
          <w:jc w:val="center"/>
        </w:trPr>
        <w:tc>
          <w:tcPr>
            <w:tcW w:w="2835" w:type="dxa"/>
            <w:shd w:val="clear" w:color="auto" w:fill="538135" w:themeFill="accent6" w:themeFillShade="BF"/>
          </w:tcPr>
          <w:p w14:paraId="0DE76192" w14:textId="77777777" w:rsidR="00781442" w:rsidRDefault="00000000">
            <w:pPr>
              <w:pStyle w:val="ListParagraph"/>
              <w:ind w:left="0"/>
              <w:rPr>
                <w:rFonts w:ascii="Times New Roman" w:eastAsiaTheme="minorEastAsia" w:hAnsi="Times New Roman" w:cs="Times New Roman"/>
                <w:b/>
                <w:bCs/>
                <w:color w:val="FFFFFF" w:themeColor="background1"/>
              </w:rPr>
            </w:pPr>
            <w:r>
              <w:rPr>
                <w:rFonts w:ascii="Times New Roman" w:eastAsiaTheme="minorEastAsia" w:hAnsi="Times New Roman" w:cs="Times New Roman" w:hint="eastAsia"/>
                <w:b/>
                <w:bCs/>
                <w:color w:val="FFFFFF" w:themeColor="background1"/>
              </w:rPr>
              <w:t>T</w:t>
            </w:r>
            <w:r>
              <w:rPr>
                <w:rFonts w:ascii="Times New Roman" w:eastAsiaTheme="minorEastAsia" w:hAnsi="Times New Roman" w:cs="Times New Roman"/>
                <w:b/>
                <w:bCs/>
                <w:color w:val="FFFFFF" w:themeColor="background1"/>
              </w:rPr>
              <w:t>ransformation:</w:t>
            </w:r>
          </w:p>
          <w:p w14:paraId="0096E42D" w14:textId="77777777" w:rsidR="00781442" w:rsidRDefault="00781442">
            <w:pPr>
              <w:pStyle w:val="ListParagraph"/>
              <w:ind w:left="0"/>
              <w:rPr>
                <w:rFonts w:ascii="Times New Roman" w:eastAsiaTheme="minorEastAsia" w:hAnsi="Times New Roman" w:cs="Times New Roman"/>
                <w:color w:val="FFFFFF" w:themeColor="background1"/>
              </w:rPr>
            </w:pPr>
          </w:p>
          <w:p w14:paraId="37BC466C" w14:textId="77777777" w:rsidR="00781442" w:rsidRDefault="00000000">
            <w:pPr>
              <w:pStyle w:val="ListParagraph"/>
              <w:ind w:left="0"/>
              <w:rPr>
                <w:rFonts w:ascii="Times New Roman" w:eastAsiaTheme="minorEastAsia" w:hAnsi="Times New Roman" w:cs="Times New Roman"/>
                <w:color w:val="FFFFFF" w:themeColor="background1"/>
              </w:rPr>
            </w:pPr>
            <w:r>
              <w:rPr>
                <w:rFonts w:ascii="Times New Roman" w:eastAsiaTheme="minorEastAsia" w:hAnsi="Times New Roman" w:cs="Times New Roman" w:hint="eastAsia"/>
                <w:color w:val="FFFFFF" w:themeColor="background1"/>
              </w:rPr>
              <w:t>E</w:t>
            </w:r>
            <w:r>
              <w:rPr>
                <w:rFonts w:ascii="Times New Roman" w:eastAsiaTheme="minorEastAsia" w:hAnsi="Times New Roman" w:cs="Times New Roman"/>
                <w:color w:val="FFFFFF" w:themeColor="background1"/>
              </w:rPr>
              <w:t>x.</w:t>
            </w:r>
          </w:p>
          <w:p w14:paraId="4CE6804A"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color w:val="FFFFFF" w:themeColor="background1"/>
              </w:rPr>
              <w:t>Refineries, power plants, industrial process</w:t>
            </w:r>
          </w:p>
        </w:tc>
        <w:tc>
          <w:tcPr>
            <w:tcW w:w="2835" w:type="dxa"/>
            <w:shd w:val="clear" w:color="auto" w:fill="E2EFD9" w:themeFill="accent6" w:themeFillTint="33"/>
          </w:tcPr>
          <w:p w14:paraId="41D48122" w14:textId="77777777" w:rsidR="00781442" w:rsidRDefault="00000000">
            <w:pPr>
              <w:pStyle w:val="ListParagraph"/>
              <w:ind w:left="0"/>
              <w:rPr>
                <w:rFonts w:ascii="Times New Roman" w:eastAsiaTheme="minorEastAsia" w:hAnsi="Times New Roman" w:cs="Times New Roman"/>
                <w:b/>
                <w:bCs/>
              </w:rPr>
            </w:pPr>
            <w:r>
              <w:rPr>
                <w:rFonts w:ascii="Times New Roman" w:eastAsiaTheme="minorEastAsia" w:hAnsi="Times New Roman" w:cs="Times New Roman" w:hint="eastAsia"/>
                <w:b/>
                <w:bCs/>
              </w:rPr>
              <w:t>S</w:t>
            </w:r>
            <w:r>
              <w:rPr>
                <w:rFonts w:ascii="Times New Roman" w:eastAsiaTheme="minorEastAsia" w:hAnsi="Times New Roman" w:cs="Times New Roman"/>
                <w:b/>
                <w:bCs/>
              </w:rPr>
              <w:t>econdary energy products</w:t>
            </w:r>
          </w:p>
          <w:p w14:paraId="106ABE8F"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noProof/>
              </w:rPr>
              <mc:AlternateContent>
                <mc:Choice Requires="wps">
                  <w:drawing>
                    <wp:anchor distT="0" distB="0" distL="114300" distR="114300" simplePos="0" relativeHeight="251663360" behindDoc="0" locked="0" layoutInCell="1" allowOverlap="1" wp14:anchorId="35BAAAA6" wp14:editId="55316571">
                      <wp:simplePos x="0" y="0"/>
                      <wp:positionH relativeFrom="column">
                        <wp:posOffset>-218440</wp:posOffset>
                      </wp:positionH>
                      <wp:positionV relativeFrom="paragraph">
                        <wp:posOffset>95250</wp:posOffset>
                      </wp:positionV>
                      <wp:extent cx="289560" cy="45720"/>
                      <wp:effectExtent l="0" t="19050" r="34290" b="31115"/>
                      <wp:wrapNone/>
                      <wp:docPr id="28" name="Arrow: Right 28"/>
                      <wp:cNvGraphicFramePr/>
                      <a:graphic xmlns:a="http://schemas.openxmlformats.org/drawingml/2006/main">
                        <a:graphicData uri="http://schemas.microsoft.com/office/word/2010/wordprocessingShape">
                          <wps:wsp>
                            <wps:cNvSpPr/>
                            <wps:spPr>
                              <a:xfrm>
                                <a:off x="0" y="0"/>
                                <a:ext cx="289560" cy="45719"/>
                              </a:xfrm>
                              <a:prstGeom prst="rightArrow">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8" o:spid="_x0000_s1026" o:spt="13" type="#_x0000_t13" style="position:absolute;left:0pt;margin-left:-17.2pt;margin-top:7.5pt;height:3.6pt;width:22.8pt;z-index:251663360;v-text-anchor:middle;mso-width-relative:page;mso-height-relative:page;" fillcolor="#385723 [1609]" filled="t" stroked="t" coordsize="21600,21600" o:gfxdata="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5FbBNgAAAAIAQAADwAAAAAAAAABACAAAAAiAAAA&#10;ZHJzL2Rvd25yZXYueG1sUEsBAhQAFAAAAAgAh07iQKvtxnJ5AgAARAUAAA4AAAAAAAAAAQAgAAAA&#10;JwEAAGRycy9lMm9Eb2MueG1sUEsFBgAAAAAGAAYAWQEAABIGAAAAAA==&#10;" adj="19895,5400">
                      <v:fill on="t" focussize="0,0"/>
                      <v:stroke weight="1pt" color="#385723 [1609]" miterlimit="8" joinstyle="miter"/>
                      <v:imagedata o:title=""/>
                      <o:lock v:ext="edit" aspectratio="f"/>
                    </v:shape>
                  </w:pict>
                </mc:Fallback>
              </mc:AlternateContent>
            </w:r>
          </w:p>
          <w:p w14:paraId="6A1D392E"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x.</w:t>
            </w:r>
          </w:p>
          <w:p w14:paraId="7E27939E"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rPr>
              <w:t>Electricity</w:t>
            </w:r>
          </w:p>
          <w:p w14:paraId="4F57028B"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rPr>
              <w:t>O</w:t>
            </w:r>
            <w:r>
              <w:rPr>
                <w:rFonts w:ascii="Times New Roman" w:eastAsiaTheme="minorEastAsia" w:hAnsi="Times New Roman" w:cs="Times New Roman"/>
              </w:rPr>
              <w:t>il product</w:t>
            </w:r>
          </w:p>
          <w:p w14:paraId="580968EF" w14:textId="77777777" w:rsidR="00781442" w:rsidRDefault="00000000">
            <w:pPr>
              <w:pStyle w:val="ListParagraph"/>
              <w:ind w:left="0"/>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oke used mostly in blast furnaces</w:t>
            </w:r>
          </w:p>
        </w:tc>
      </w:tr>
    </w:tbl>
    <w:p w14:paraId="5F9C4585" w14:textId="77777777" w:rsidR="00781442" w:rsidRDefault="00781442">
      <w:pPr>
        <w:pStyle w:val="ListParagraph"/>
        <w:ind w:left="420"/>
        <w:rPr>
          <w:rFonts w:ascii="Times New Roman" w:eastAsiaTheme="minorEastAsia" w:hAnsi="Times New Roman" w:cs="Times New Roman"/>
        </w:rPr>
      </w:pPr>
    </w:p>
    <w:p w14:paraId="0923F6FB" w14:textId="77777777" w:rsidR="00781442" w:rsidRDefault="00000000">
      <w:pPr>
        <w:pStyle w:val="ListParagraph"/>
        <w:numPr>
          <w:ilvl w:val="0"/>
          <w:numId w:val="2"/>
        </w:numPr>
        <w:rPr>
          <w:rFonts w:ascii="Times New Roman" w:eastAsiaTheme="minorEastAsia" w:hAnsi="Times New Roman" w:cs="Times New Roman"/>
        </w:rPr>
      </w:pPr>
      <w:r>
        <w:rPr>
          <w:rFonts w:ascii="Times New Roman" w:hAnsi="Times New Roman" w:cs="Times New Roman"/>
          <w:bCs/>
        </w:rPr>
        <w:t>Demands for energy include exports and final energy consumption.</w:t>
      </w:r>
    </w:p>
    <w:p w14:paraId="43C6B1BB" w14:textId="77777777" w:rsidR="00781442" w:rsidRDefault="00000000">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Gross available energy = Primary production + Recovered &amp; Recycled products + Imports – Export + Stock changes</w:t>
      </w:r>
    </w:p>
    <w:p w14:paraId="389D35C4" w14:textId="77777777" w:rsidR="00781442" w:rsidRDefault="00000000">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Total final consumption (TFC) is the worldwide consumption of energy by end-users (whereas primary energy consumption (Eurostat</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or total energy supply (IEA) is total energy demand and thus also includes what the energy sector uses itself and transformation and distribution losses). Final consumption=Direct consumption + secondary energy product consumption= Primary energy consumption (Primary energy products)- loss in distribution.</w:t>
      </w:r>
    </w:p>
    <w:p w14:paraId="02246A16" w14:textId="77777777" w:rsidR="00781442" w:rsidRDefault="00781442">
      <w:pPr>
        <w:pStyle w:val="ListParagraph"/>
        <w:ind w:left="420"/>
        <w:rPr>
          <w:rFonts w:ascii="Times New Roman" w:eastAsiaTheme="minorEastAsia" w:hAnsi="Times New Roman" w:cs="Times New Roman"/>
        </w:rPr>
      </w:pPr>
    </w:p>
    <w:p w14:paraId="4A068537" w14:textId="77777777" w:rsidR="00781442" w:rsidRDefault="00781442">
      <w:pPr>
        <w:rPr>
          <w:rFonts w:eastAsiaTheme="minorEastAsia"/>
        </w:rPr>
      </w:pPr>
    </w:p>
    <w:p w14:paraId="773163CC" w14:textId="77777777" w:rsidR="00781442" w:rsidRDefault="00000000">
      <w:pPr>
        <w:spacing w:line="360" w:lineRule="auto"/>
        <w:rPr>
          <w:bCs/>
        </w:rPr>
      </w:pPr>
      <w:r>
        <w:rPr>
          <w:rFonts w:hint="eastAsia"/>
          <w:bCs/>
        </w:rPr>
        <w:t>I</w:t>
      </w:r>
      <w:r>
        <w:rPr>
          <w:bCs/>
        </w:rPr>
        <w:t>n this section, we care about the primary energy consumption which is determined by the demand of the households and plays an important role in maintaining the development of the economy.</w:t>
      </w:r>
    </w:p>
    <w:p w14:paraId="3CCE91A1" w14:textId="77777777" w:rsidR="00781442" w:rsidRDefault="00000000">
      <w:pPr>
        <w:spacing w:before="240" w:after="240"/>
        <w:rPr>
          <w:color w:val="003300"/>
          <w:szCs w:val="26"/>
        </w:rPr>
      </w:pPr>
      <w:r>
        <w:rPr>
          <w:color w:val="003300"/>
          <w:szCs w:val="26"/>
        </w:rPr>
        <w:t xml:space="preserve">2.1 </w:t>
      </w:r>
      <w:bookmarkStart w:id="12" w:name="_Hlk120878339"/>
      <w:r>
        <w:rPr>
          <w:color w:val="003300"/>
          <w:szCs w:val="26"/>
        </w:rPr>
        <w:t>Energy consumption before Energy Crisis</w:t>
      </w:r>
      <w:bookmarkEnd w:id="12"/>
    </w:p>
    <w:p w14:paraId="5BB5A587" w14:textId="77777777" w:rsidR="00781442" w:rsidRDefault="00000000">
      <w:pPr>
        <w:pStyle w:val="IBSG1"/>
        <w:jc w:val="left"/>
        <w:rPr>
          <w:rFonts w:cstheme="minorBidi"/>
        </w:rPr>
      </w:pPr>
      <w:r>
        <w:rPr>
          <w:rFonts w:cstheme="minorBidi"/>
        </w:rPr>
        <w:t xml:space="preserve">2.1.1 Primary and final energy consumption in Europe </w:t>
      </w:r>
    </w:p>
    <w:p w14:paraId="629C164A" w14:textId="77777777" w:rsidR="00781442" w:rsidRDefault="00000000">
      <w:pPr>
        <w:spacing w:before="240" w:after="240"/>
        <w:jc w:val="center"/>
        <w:rPr>
          <w:rFonts w:eastAsiaTheme="minorEastAsia"/>
        </w:rPr>
      </w:pPr>
      <w:r>
        <w:rPr>
          <w:i/>
          <w:iCs/>
          <w:color w:val="666666"/>
          <w:sz w:val="22"/>
          <w:szCs w:val="22"/>
        </w:rPr>
        <w:t>Figure:</w:t>
      </w:r>
      <w:r>
        <w:t xml:space="preserve"> </w:t>
      </w:r>
      <w:r>
        <w:rPr>
          <w:i/>
          <w:iCs/>
          <w:color w:val="666666"/>
          <w:sz w:val="22"/>
          <w:szCs w:val="22"/>
        </w:rPr>
        <w:t>Primary and final energy consumption in the European Union from 2005-2021</w:t>
      </w:r>
    </w:p>
    <w:p w14:paraId="19100474" w14:textId="77777777" w:rsidR="00781442" w:rsidRDefault="00000000">
      <w:pPr>
        <w:rPr>
          <w:rFonts w:eastAsiaTheme="minorEastAsia"/>
          <w:b/>
          <w:bCs/>
        </w:rPr>
      </w:pPr>
      <w:r>
        <w:rPr>
          <w:rFonts w:eastAsiaTheme="minorEastAsia"/>
          <w:b/>
          <w:bCs/>
          <w:noProof/>
        </w:rPr>
        <w:drawing>
          <wp:inline distT="0" distB="0" distL="0" distR="0" wp14:anchorId="630D704C" wp14:editId="25ADAE64">
            <wp:extent cx="5742940" cy="3456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42940" cy="3456940"/>
                    </a:xfrm>
                    <a:prstGeom prst="rect">
                      <a:avLst/>
                    </a:prstGeom>
                    <a:noFill/>
                    <a:ln>
                      <a:noFill/>
                    </a:ln>
                  </pic:spPr>
                </pic:pic>
              </a:graphicData>
            </a:graphic>
          </wp:inline>
        </w:drawing>
      </w:r>
    </w:p>
    <w:p w14:paraId="16879B61" w14:textId="77777777" w:rsidR="00781442" w:rsidRDefault="00000000">
      <w:pPr>
        <w:spacing w:before="240" w:after="240"/>
        <w:rPr>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European Environment Agency</w:t>
      </w:r>
    </w:p>
    <w:p w14:paraId="6B60856B" w14:textId="77777777" w:rsidR="00781442" w:rsidRDefault="00000000">
      <w:pPr>
        <w:spacing w:before="240" w:after="240"/>
        <w:rPr>
          <w:rFonts w:eastAsiaTheme="minorEastAsia"/>
          <w:i/>
          <w:iCs/>
          <w:color w:val="595959"/>
          <w:sz w:val="22"/>
          <w:szCs w:val="22"/>
          <w:shd w:val="clear" w:color="auto" w:fill="FFFFFF"/>
        </w:rPr>
      </w:pPr>
      <w:r>
        <w:rPr>
          <w:rFonts w:eastAsiaTheme="minorEastAsia" w:hint="eastAsia"/>
          <w:i/>
          <w:iCs/>
          <w:color w:val="595959"/>
          <w:sz w:val="22"/>
          <w:szCs w:val="22"/>
          <w:shd w:val="clear" w:color="auto" w:fill="FFFFFF"/>
        </w:rPr>
        <w:t>*</w:t>
      </w:r>
      <w:r>
        <w:t xml:space="preserve"> </w:t>
      </w:r>
      <w:r>
        <w:rPr>
          <w:rFonts w:eastAsiaTheme="minorEastAsia"/>
          <w:i/>
          <w:iCs/>
          <w:color w:val="595959"/>
          <w:sz w:val="22"/>
          <w:szCs w:val="22"/>
          <w:shd w:val="clear" w:color="auto" w:fill="FFFFFF"/>
        </w:rPr>
        <w:t>1 Mtoe=11630000 MWh</w:t>
      </w:r>
    </w:p>
    <w:p w14:paraId="70EB4803" w14:textId="77777777" w:rsidR="00781442" w:rsidRDefault="00000000">
      <w:pPr>
        <w:spacing w:line="360" w:lineRule="auto"/>
        <w:ind w:firstLine="720"/>
        <w:rPr>
          <w:bCs/>
        </w:rPr>
      </w:pPr>
      <w:r>
        <w:rPr>
          <w:bCs/>
        </w:rPr>
        <w:t>In 2020, the energy consumption in Europe decreased extraordinarily due to the Covid-19 Pandemic. The primary consumption increased about 5.7% but it is still below the pre-pandemic levels.</w:t>
      </w:r>
    </w:p>
    <w:p w14:paraId="0D369BE5" w14:textId="7346FD00" w:rsidR="00781442" w:rsidRDefault="00000000">
      <w:pPr>
        <w:spacing w:line="360" w:lineRule="auto"/>
        <w:ind w:firstLine="720"/>
        <w:rPr>
          <w:bCs/>
        </w:rPr>
      </w:pPr>
      <w:r>
        <w:rPr>
          <w:bCs/>
        </w:rPr>
        <w:t xml:space="preserve">We can observe that the decrease in pandemic period is similar to the drop pattern in the Global Financial Crisis in 2009. The energy consumption is stable in the long-term. Some turning points are worth noticing. For example, in 2018, the EU's primary energy </w:t>
      </w:r>
      <w:r>
        <w:rPr>
          <w:bCs/>
        </w:rPr>
        <w:lastRenderedPageBreak/>
        <w:t>consumption decreased by 0.9% compared with 2017, following three consecutive years of increasing consumption. This decrease was caused by various factors, in particular energy efficiency improvements, an increase in the share of energy consumed from hydro, wind and solar photovoltaic (PV) power, the economic recession and changing climate conditions.</w:t>
      </w:r>
    </w:p>
    <w:p w14:paraId="03075CF6" w14:textId="77777777" w:rsidR="00781442" w:rsidRDefault="00000000">
      <w:pPr>
        <w:rPr>
          <w:rFonts w:eastAsia="宋体" w:cstheme="minorBidi"/>
          <w:color w:val="1F3763"/>
          <w:kern w:val="2"/>
          <w:szCs w:val="32"/>
        </w:rPr>
      </w:pPr>
      <w:r>
        <w:rPr>
          <w:rFonts w:eastAsia="宋体" w:cstheme="minorBidi"/>
          <w:color w:val="1F3763"/>
          <w:kern w:val="2"/>
          <w:szCs w:val="32"/>
        </w:rPr>
        <w:t xml:space="preserve">2.1.2 </w:t>
      </w:r>
      <w:r>
        <w:rPr>
          <w:rFonts w:eastAsia="宋体" w:cstheme="minorBidi" w:hint="eastAsia"/>
          <w:color w:val="1F3763"/>
          <w:kern w:val="2"/>
          <w:szCs w:val="32"/>
        </w:rPr>
        <w:t>W</w:t>
      </w:r>
      <w:r>
        <w:rPr>
          <w:rFonts w:eastAsia="宋体" w:cstheme="minorBidi"/>
          <w:color w:val="1F3763"/>
          <w:kern w:val="2"/>
          <w:szCs w:val="32"/>
        </w:rPr>
        <w:t>hat kind of energy do people consume in Europe (primary consumption)?</w:t>
      </w:r>
    </w:p>
    <w:p w14:paraId="4C8608C2" w14:textId="77777777" w:rsidR="00781442" w:rsidRDefault="00000000">
      <w:pPr>
        <w:rPr>
          <w:rFonts w:eastAsiaTheme="minorEastAsia"/>
          <w:b/>
          <w:bCs/>
        </w:rPr>
      </w:pPr>
      <w:r>
        <w:rPr>
          <w:rFonts w:eastAsiaTheme="minorEastAsia" w:hint="eastAsia"/>
          <w:b/>
          <w:bCs/>
        </w:rPr>
        <w:t>K</w:t>
      </w:r>
      <w:r>
        <w:rPr>
          <w:rFonts w:eastAsiaTheme="minorEastAsia"/>
          <w:b/>
          <w:bCs/>
        </w:rPr>
        <w:t>ey takeaways:</w:t>
      </w:r>
    </w:p>
    <w:p w14:paraId="4D0AC794" w14:textId="77777777" w:rsidR="00781442" w:rsidRDefault="00000000">
      <w:pPr>
        <w:rPr>
          <w:bCs/>
        </w:rPr>
      </w:pPr>
      <w:r>
        <w:rPr>
          <w:bCs/>
        </w:rPr>
        <w:t xml:space="preserve">Petroleum products have the largest share in the EU energy mix. </w:t>
      </w:r>
    </w:p>
    <w:p w14:paraId="31976616" w14:textId="77777777" w:rsidR="00781442" w:rsidRDefault="00000000">
      <w:pPr>
        <w:rPr>
          <w:bCs/>
        </w:rPr>
      </w:pPr>
      <w:r>
        <w:rPr>
          <w:bCs/>
        </w:rPr>
        <w:t>Between 1990 and 2020 the amount and share of solid fossil fuels in final energy consumption dropped significantly.</w:t>
      </w:r>
    </w:p>
    <w:p w14:paraId="1834345C" w14:textId="77777777" w:rsidR="00781442" w:rsidRDefault="00000000">
      <w:pPr>
        <w:ind w:firstLine="720"/>
        <w:rPr>
          <w:rFonts w:eastAsiaTheme="minorEastAsia"/>
          <w:b/>
          <w:bCs/>
        </w:rPr>
      </w:pPr>
      <w:r>
        <w:rPr>
          <w:rFonts w:eastAsiaTheme="minorEastAsia"/>
          <w:b/>
          <w:bCs/>
        </w:rPr>
        <w:t>2.1.2.1 Key trends in 2005-2017</w:t>
      </w:r>
    </w:p>
    <w:p w14:paraId="25C96326" w14:textId="77777777" w:rsidR="00781442" w:rsidRDefault="00000000">
      <w:pPr>
        <w:spacing w:before="240" w:after="240"/>
        <w:jc w:val="center"/>
        <w:rPr>
          <w:rFonts w:eastAsiaTheme="minorEastAsia"/>
        </w:rPr>
      </w:pPr>
      <w:r>
        <w:rPr>
          <w:i/>
          <w:iCs/>
          <w:color w:val="666666"/>
          <w:sz w:val="22"/>
          <w:szCs w:val="22"/>
        </w:rPr>
        <w:t>Figure:</w:t>
      </w:r>
      <w:r>
        <w:t xml:space="preserve"> </w:t>
      </w:r>
      <w:r>
        <w:rPr>
          <w:i/>
          <w:iCs/>
          <w:color w:val="666666"/>
          <w:sz w:val="22"/>
          <w:szCs w:val="22"/>
        </w:rPr>
        <w:t>Primary energy consumption by fuel type in EU28 from 2005-2017</w:t>
      </w:r>
    </w:p>
    <w:p w14:paraId="39ED6559" w14:textId="77777777" w:rsidR="00781442" w:rsidRDefault="00000000">
      <w:pPr>
        <w:ind w:firstLine="720"/>
        <w:rPr>
          <w:rFonts w:eastAsiaTheme="minorEastAsia"/>
          <w:b/>
          <w:bCs/>
        </w:rPr>
      </w:pPr>
      <w:r>
        <w:rPr>
          <w:rFonts w:eastAsiaTheme="minorEastAsia"/>
          <w:b/>
          <w:bCs/>
          <w:noProof/>
        </w:rPr>
        <w:drawing>
          <wp:inline distT="0" distB="0" distL="0" distR="0" wp14:anchorId="504DA2E2" wp14:editId="4D6EA319">
            <wp:extent cx="5742940" cy="35540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42940" cy="3554095"/>
                    </a:xfrm>
                    <a:prstGeom prst="rect">
                      <a:avLst/>
                    </a:prstGeom>
                    <a:noFill/>
                  </pic:spPr>
                </pic:pic>
              </a:graphicData>
            </a:graphic>
          </wp:inline>
        </w:drawing>
      </w:r>
    </w:p>
    <w:p w14:paraId="6355D82E" w14:textId="77777777" w:rsidR="00781442" w:rsidRDefault="00000000">
      <w:pPr>
        <w:spacing w:before="240" w:after="240"/>
        <w:rPr>
          <w:rFonts w:eastAsiaTheme="minorEastAsia"/>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w:t>
      </w:r>
    </w:p>
    <w:p w14:paraId="6F53362C" w14:textId="0B61A0EB" w:rsidR="00781442" w:rsidRDefault="00000000">
      <w:pPr>
        <w:spacing w:line="360" w:lineRule="auto"/>
        <w:ind w:firstLine="720"/>
        <w:rPr>
          <w:bCs/>
        </w:rPr>
      </w:pPr>
      <w:r>
        <w:rPr>
          <w:bCs/>
        </w:rPr>
        <w:t>The share of coal and lignite in EU primary energy consumption decreased from 18.0% in 2005 to 14.4% in 2017. The use of coal has decreased partly because of the increase in electricity generation from renewable sources, national policies and energy market developments.</w:t>
      </w:r>
    </w:p>
    <w:p w14:paraId="6652318A" w14:textId="7DAFFAA0" w:rsidR="00781442" w:rsidRDefault="00000000">
      <w:pPr>
        <w:spacing w:line="360" w:lineRule="auto"/>
        <w:ind w:firstLine="720"/>
        <w:rPr>
          <w:bCs/>
        </w:rPr>
      </w:pPr>
      <w:r>
        <w:rPr>
          <w:bCs/>
        </w:rPr>
        <w:t xml:space="preserve">The share of natural gas in EU primary energy consumption was 25.0% in 2005 and 24.4% in 2017.The absolute consumption of natural gas first decreased from 2005 to 2014 and increased from 2014 to 2017. Various factors have affected operations of gas-fired power </w:t>
      </w:r>
      <w:r>
        <w:rPr>
          <w:bCs/>
        </w:rPr>
        <w:lastRenderedPageBreak/>
        <w:t>plants, which ran continuously (</w:t>
      </w:r>
      <w:proofErr w:type="gramStart"/>
      <w:r>
        <w:rPr>
          <w:bCs/>
        </w:rPr>
        <w:t>base-load</w:t>
      </w:r>
      <w:proofErr w:type="gramEnd"/>
      <w:r>
        <w:rPr>
          <w:bCs/>
        </w:rPr>
        <w:t>) in the past, but which now tend to operate more often during peak-load times, thereby reducing yearly operating hours. The use of natural gas is sensitive to the price of coal and other renewable energies.</w:t>
      </w:r>
    </w:p>
    <w:p w14:paraId="7A436933" w14:textId="77777777" w:rsidR="00781442" w:rsidRDefault="00000000">
      <w:pPr>
        <w:ind w:firstLine="720"/>
        <w:rPr>
          <w:rFonts w:eastAsiaTheme="minorEastAsia"/>
          <w:b/>
          <w:bCs/>
        </w:rPr>
      </w:pPr>
      <w:r>
        <w:rPr>
          <w:rFonts w:eastAsiaTheme="minorEastAsia"/>
          <w:b/>
          <w:bCs/>
        </w:rPr>
        <w:t>2.1.2.2 Primary consumption in EU27 by fuel type, 2019-2021</w:t>
      </w:r>
    </w:p>
    <w:p w14:paraId="0727C337" w14:textId="77777777" w:rsidR="00781442" w:rsidRDefault="00000000">
      <w:pPr>
        <w:spacing w:before="240" w:after="240"/>
        <w:jc w:val="center"/>
        <w:rPr>
          <w:rFonts w:eastAsiaTheme="minorEastAsia"/>
        </w:rPr>
      </w:pPr>
      <w:r>
        <w:rPr>
          <w:i/>
          <w:iCs/>
          <w:color w:val="666666"/>
          <w:sz w:val="22"/>
          <w:szCs w:val="22"/>
        </w:rPr>
        <w:t>Figure:</w:t>
      </w:r>
      <w:r>
        <w:t xml:space="preserve"> </w:t>
      </w:r>
      <w:r>
        <w:rPr>
          <w:i/>
          <w:iCs/>
          <w:color w:val="666666"/>
          <w:sz w:val="22"/>
          <w:szCs w:val="22"/>
        </w:rPr>
        <w:t>Primary energy consumption by fuel type in EU27 from 2019-2021</w:t>
      </w:r>
    </w:p>
    <w:p w14:paraId="1B78C7DC" w14:textId="77777777" w:rsidR="00781442" w:rsidRDefault="00781442">
      <w:pPr>
        <w:ind w:firstLine="720"/>
        <w:rPr>
          <w:rFonts w:eastAsiaTheme="minorEastAsia"/>
          <w:b/>
          <w:bCs/>
        </w:rPr>
      </w:pPr>
    </w:p>
    <w:p w14:paraId="03980337" w14:textId="77777777" w:rsidR="00781442" w:rsidRDefault="00781442">
      <w:pPr>
        <w:ind w:firstLine="720"/>
        <w:rPr>
          <w:rFonts w:eastAsiaTheme="minorEastAsia"/>
          <w:b/>
          <w:bCs/>
        </w:rPr>
      </w:pPr>
    </w:p>
    <w:p w14:paraId="56310C43" w14:textId="02214C2F" w:rsidR="00781442" w:rsidRDefault="00000000">
      <w:pPr>
        <w:ind w:firstLine="720"/>
        <w:rPr>
          <w:rFonts w:eastAsiaTheme="minorEastAsia"/>
        </w:rPr>
      </w:pPr>
      <w:r>
        <w:rPr>
          <w:rFonts w:eastAsiaTheme="minorEastAsia"/>
          <w:noProof/>
        </w:rPr>
        <w:drawing>
          <wp:inline distT="0" distB="0" distL="0" distR="0" wp14:anchorId="2873DE9C" wp14:editId="002FC910">
            <wp:extent cx="5742940" cy="3627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42940" cy="3627120"/>
                    </a:xfrm>
                    <a:prstGeom prst="rect">
                      <a:avLst/>
                    </a:prstGeom>
                    <a:noFill/>
                  </pic:spPr>
                </pic:pic>
              </a:graphicData>
            </a:graphic>
          </wp:inline>
        </w:drawing>
      </w:r>
    </w:p>
    <w:p w14:paraId="52744D96" w14:textId="2568408E" w:rsidR="00306784" w:rsidRPr="00306784" w:rsidRDefault="00306784" w:rsidP="00306784">
      <w:pPr>
        <w:spacing w:before="240" w:after="240"/>
        <w:rPr>
          <w:rFonts w:eastAsiaTheme="minorEastAsia"/>
          <w:i/>
          <w:iCs/>
          <w:color w:val="595959"/>
          <w:sz w:val="22"/>
          <w:szCs w:val="22"/>
          <w:shd w:val="clear" w:color="auto" w:fill="FFFFFF"/>
        </w:rPr>
      </w:pPr>
      <w:r>
        <w:rPr>
          <w:i/>
          <w:iCs/>
          <w:color w:val="595959"/>
          <w:sz w:val="22"/>
          <w:szCs w:val="22"/>
        </w:rPr>
        <w:t xml:space="preserve">Source: </w:t>
      </w:r>
      <w:proofErr w:type="spellStart"/>
      <w:r>
        <w:rPr>
          <w:i/>
          <w:iCs/>
          <w:color w:val="595959"/>
          <w:sz w:val="22"/>
          <w:szCs w:val="22"/>
          <w:shd w:val="clear" w:color="auto" w:fill="FFFFFF"/>
        </w:rPr>
        <w:t>Statistica</w:t>
      </w:r>
      <w:proofErr w:type="spellEnd"/>
    </w:p>
    <w:p w14:paraId="32B04E44" w14:textId="77777777" w:rsidR="00781442" w:rsidRDefault="00000000">
      <w:pPr>
        <w:spacing w:line="360" w:lineRule="auto"/>
        <w:ind w:firstLine="720"/>
        <w:rPr>
          <w:bCs/>
        </w:rPr>
      </w:pPr>
      <w:r>
        <w:rPr>
          <w:bCs/>
        </w:rPr>
        <w:t>Although the absolute total amount of primary energy consumption in EU changed from 2019-2021 but the share of different fuel type does not encounter dramatical change.</w:t>
      </w:r>
    </w:p>
    <w:p w14:paraId="30B75E12" w14:textId="77777777" w:rsidR="00781442" w:rsidRDefault="00781442">
      <w:pPr>
        <w:spacing w:line="360" w:lineRule="auto"/>
        <w:ind w:firstLine="720"/>
        <w:rPr>
          <w:bCs/>
        </w:rPr>
      </w:pPr>
    </w:p>
    <w:p w14:paraId="05A0AA71" w14:textId="77777777" w:rsidR="00781442" w:rsidRDefault="00781442">
      <w:pPr>
        <w:rPr>
          <w:rFonts w:eastAsiaTheme="minorEastAsia"/>
          <w:b/>
          <w:bCs/>
        </w:rPr>
      </w:pPr>
    </w:p>
    <w:p w14:paraId="7FB7529D" w14:textId="77777777" w:rsidR="00781442" w:rsidRDefault="00000000">
      <w:pPr>
        <w:rPr>
          <w:rFonts w:eastAsia="宋体" w:cstheme="minorBidi"/>
          <w:color w:val="1F3763"/>
          <w:kern w:val="2"/>
          <w:szCs w:val="32"/>
        </w:rPr>
      </w:pPr>
      <w:r>
        <w:rPr>
          <w:rFonts w:eastAsia="宋体" w:cstheme="minorBidi"/>
          <w:color w:val="1F3763"/>
          <w:kern w:val="2"/>
          <w:szCs w:val="32"/>
        </w:rPr>
        <w:t>2.1.3 Who are consuming energy in Europe?</w:t>
      </w:r>
    </w:p>
    <w:p w14:paraId="36E95FA0" w14:textId="77777777" w:rsidR="00781442" w:rsidRDefault="00000000">
      <w:pPr>
        <w:spacing w:before="240" w:after="240"/>
        <w:jc w:val="center"/>
        <w:rPr>
          <w:rFonts w:eastAsiaTheme="minorEastAsia"/>
          <w:i/>
          <w:iCs/>
          <w:color w:val="666666"/>
          <w:sz w:val="22"/>
          <w:szCs w:val="22"/>
        </w:rPr>
      </w:pPr>
      <w:r>
        <w:rPr>
          <w:i/>
          <w:iCs/>
          <w:color w:val="666666"/>
          <w:sz w:val="22"/>
          <w:szCs w:val="22"/>
        </w:rPr>
        <w:t>Figure: Final energy consumption in EU  1990-2020</w:t>
      </w:r>
    </w:p>
    <w:p w14:paraId="32064A14" w14:textId="77777777" w:rsidR="00781442" w:rsidRDefault="00781442">
      <w:pPr>
        <w:spacing w:before="240" w:after="240"/>
        <w:jc w:val="center"/>
        <w:rPr>
          <w:rFonts w:eastAsiaTheme="minorEastAsia"/>
          <w:b/>
          <w:bCs/>
        </w:rPr>
      </w:pPr>
    </w:p>
    <w:p w14:paraId="3654A9A6" w14:textId="77777777" w:rsidR="00781442" w:rsidRDefault="00000000">
      <w:pPr>
        <w:rPr>
          <w:rFonts w:eastAsiaTheme="minorEastAsia"/>
        </w:rPr>
      </w:pPr>
      <w:r>
        <w:rPr>
          <w:rFonts w:eastAsiaTheme="minorEastAsia"/>
          <w:noProof/>
        </w:rPr>
        <w:lastRenderedPageBreak/>
        <w:drawing>
          <wp:inline distT="0" distB="0" distL="0" distR="0" wp14:anchorId="44411BBE" wp14:editId="3B63F6BB">
            <wp:extent cx="5730875" cy="4157980"/>
            <wp:effectExtent l="19050" t="19050" r="2222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0875" cy="4157980"/>
                    </a:xfrm>
                    <a:prstGeom prst="rect">
                      <a:avLst/>
                    </a:prstGeom>
                    <a:noFill/>
                    <a:ln>
                      <a:solidFill>
                        <a:schemeClr val="bg2"/>
                      </a:solidFill>
                    </a:ln>
                  </pic:spPr>
                </pic:pic>
              </a:graphicData>
            </a:graphic>
          </wp:inline>
        </w:drawing>
      </w:r>
    </w:p>
    <w:p w14:paraId="68FD0A9C" w14:textId="77777777" w:rsidR="00781442" w:rsidRDefault="00000000">
      <w:pPr>
        <w:spacing w:before="240" w:after="240"/>
        <w:rPr>
          <w:rFonts w:eastAsiaTheme="minorEastAsia"/>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w:t>
      </w:r>
    </w:p>
    <w:p w14:paraId="4E8D038C" w14:textId="166158AE" w:rsidR="00781442" w:rsidRDefault="00000000">
      <w:pPr>
        <w:spacing w:line="360" w:lineRule="auto"/>
        <w:ind w:firstLine="720"/>
        <w:rPr>
          <w:bCs/>
        </w:rPr>
      </w:pPr>
      <w:r>
        <w:rPr>
          <w:rFonts w:hint="eastAsia"/>
          <w:bCs/>
        </w:rPr>
        <w:t>T</w:t>
      </w:r>
      <w:r>
        <w:rPr>
          <w:bCs/>
        </w:rPr>
        <w:t xml:space="preserve">he figure above shows us a rough picture of energy consumption by sector. In fact, different energy sector also consumes different sources of energy. It also differs geographically, because energy prices differ </w:t>
      </w:r>
      <w:r>
        <w:rPr>
          <w:rFonts w:hint="eastAsia"/>
          <w:bCs/>
        </w:rPr>
        <w:t>in</w:t>
      </w:r>
      <w:r>
        <w:rPr>
          <w:bCs/>
        </w:rPr>
        <w:t xml:space="preserve"> </w:t>
      </w:r>
      <w:r>
        <w:rPr>
          <w:rFonts w:hint="eastAsia"/>
          <w:bCs/>
        </w:rPr>
        <w:t xml:space="preserve">different </w:t>
      </w:r>
      <w:r>
        <w:rPr>
          <w:bCs/>
        </w:rPr>
        <w:t>countries.</w:t>
      </w:r>
      <w:r>
        <w:rPr>
          <w:rFonts w:hint="eastAsia"/>
          <w:bCs/>
        </w:rPr>
        <w:t xml:space="preserve"> </w:t>
      </w:r>
      <w:r>
        <w:rPr>
          <w:bCs/>
        </w:rPr>
        <w:t>For example, in the second half of 2021, Natural gas prices for household consumers, including taxes and levies, were highest in Sweden (EUR 19 per 100 kWh), Denmark (EUR 12 per 100 kWh), the Netherlands and Spain (both EUR 11 per 100 kWh), and lowest in Hungary (EUR 3 per 100 kWh), Croatia, Lithuania, Slovakia and Latvia (EUR 4 per 100 kWh each). The share of taxes and levies in gas price was highest in the Netherlands (58%) and lowest in Greece (6%). Natural gas prices for non-household consumers (excluding VAT and other recoverable taxes and levies) in the second semester of 2021 were highest in Finland (EUR 10 per 100 kWh), Sweden and Demark (both EUR 8 per 100 kWh), and lowest in Czechia, Slovakia, Belgium, Portugal and Spain (EUR 3 per 100 kWh each).</w:t>
      </w:r>
    </w:p>
    <w:p w14:paraId="12CDFBE3" w14:textId="77777777" w:rsidR="00781442" w:rsidRDefault="00781442">
      <w:pPr>
        <w:rPr>
          <w:rFonts w:eastAsiaTheme="minorEastAsia"/>
        </w:rPr>
      </w:pPr>
    </w:p>
    <w:p w14:paraId="0344E7C5" w14:textId="77777777" w:rsidR="00781442" w:rsidRDefault="00000000">
      <w:pPr>
        <w:rPr>
          <w:color w:val="003300"/>
          <w:szCs w:val="26"/>
        </w:rPr>
      </w:pPr>
      <w:bookmarkStart w:id="13" w:name="_Hlk120878573"/>
      <w:r>
        <w:rPr>
          <w:color w:val="003300"/>
          <w:szCs w:val="26"/>
        </w:rPr>
        <w:t>2.2 Natural Gas price surge and demand analysis</w:t>
      </w:r>
    </w:p>
    <w:bookmarkEnd w:id="13"/>
    <w:p w14:paraId="057C1BCE" w14:textId="77777777" w:rsidR="00781442" w:rsidRDefault="00000000">
      <w:pPr>
        <w:rPr>
          <w:bCs/>
        </w:rPr>
      </w:pPr>
      <w:r>
        <w:rPr>
          <w:bCs/>
        </w:rPr>
        <w:t xml:space="preserve">In the first half of 2022, we observed a </w:t>
      </w:r>
      <w:r>
        <w:rPr>
          <w:rFonts w:hint="eastAsia"/>
          <w:bCs/>
        </w:rPr>
        <w:t>dramatic</w:t>
      </w:r>
      <w:r>
        <w:rPr>
          <w:bCs/>
        </w:rPr>
        <w:t xml:space="preserve"> price surge in natural gas.</w:t>
      </w:r>
    </w:p>
    <w:p w14:paraId="054359E6" w14:textId="77777777" w:rsidR="00781442" w:rsidRDefault="00000000">
      <w:pPr>
        <w:spacing w:before="240" w:after="240"/>
        <w:jc w:val="center"/>
        <w:rPr>
          <w:rFonts w:eastAsiaTheme="minorEastAsia"/>
          <w:i/>
          <w:iCs/>
          <w:color w:val="666666"/>
          <w:sz w:val="22"/>
          <w:szCs w:val="22"/>
        </w:rPr>
      </w:pPr>
      <w:r>
        <w:rPr>
          <w:i/>
          <w:iCs/>
          <w:color w:val="666666"/>
          <w:sz w:val="22"/>
          <w:szCs w:val="22"/>
        </w:rPr>
        <w:lastRenderedPageBreak/>
        <w:t xml:space="preserve">Figure: Development of natural gas prices for non-household consumers, EU, 2008-2022 </w:t>
      </w:r>
      <w:r>
        <w:rPr>
          <w:i/>
          <w:iCs/>
          <w:color w:val="666666"/>
          <w:sz w:val="22"/>
          <w:szCs w:val="22"/>
        </w:rPr>
        <w:br/>
        <w:t>(€ per kWh)</w:t>
      </w:r>
    </w:p>
    <w:p w14:paraId="03DC8F89" w14:textId="77777777" w:rsidR="00781442" w:rsidRDefault="00781442">
      <w:pPr>
        <w:rPr>
          <w:rFonts w:eastAsiaTheme="minorEastAsia"/>
        </w:rPr>
      </w:pPr>
    </w:p>
    <w:p w14:paraId="3F7B2DD3" w14:textId="77777777" w:rsidR="00781442" w:rsidRDefault="00000000">
      <w:pPr>
        <w:rPr>
          <w:rFonts w:eastAsiaTheme="minorEastAsia"/>
        </w:rPr>
      </w:pPr>
      <w:r>
        <w:rPr>
          <w:rFonts w:eastAsiaTheme="minorEastAsia"/>
          <w:noProof/>
        </w:rPr>
        <w:drawing>
          <wp:inline distT="0" distB="0" distL="0" distR="0" wp14:anchorId="662DF514" wp14:editId="0C1FE353">
            <wp:extent cx="5742940" cy="34626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42940" cy="3462655"/>
                    </a:xfrm>
                    <a:prstGeom prst="rect">
                      <a:avLst/>
                    </a:prstGeom>
                    <a:noFill/>
                  </pic:spPr>
                </pic:pic>
              </a:graphicData>
            </a:graphic>
          </wp:inline>
        </w:drawing>
      </w:r>
    </w:p>
    <w:p w14:paraId="7399CD48" w14:textId="77777777" w:rsidR="00781442" w:rsidRDefault="00000000">
      <w:pPr>
        <w:spacing w:before="240" w:after="240"/>
        <w:rPr>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w:t>
      </w:r>
    </w:p>
    <w:p w14:paraId="6E654BAC" w14:textId="77777777" w:rsidR="00781442" w:rsidRDefault="00000000">
      <w:pPr>
        <w:spacing w:line="360" w:lineRule="auto"/>
        <w:ind w:firstLine="720"/>
        <w:rPr>
          <w:bCs/>
        </w:rPr>
      </w:pPr>
      <w:r>
        <w:rPr>
          <w:bCs/>
        </w:rPr>
        <w:t>Natural gas currently represents around a quarter of the EU's overall energy consumption. About 26% of that gas is used in the power generation sector (including in combined heat and power plants), and around 23% in industry. Most of the rest is used in the residential and services sectors, mainly for heat in buildings.</w:t>
      </w:r>
    </w:p>
    <w:p w14:paraId="3F1503E4" w14:textId="77777777" w:rsidR="00781442" w:rsidRDefault="00781442">
      <w:pPr>
        <w:rPr>
          <w:rFonts w:eastAsiaTheme="minorEastAsia"/>
        </w:rPr>
      </w:pPr>
    </w:p>
    <w:p w14:paraId="244305CA" w14:textId="77777777" w:rsidR="00781442" w:rsidRDefault="00000000">
      <w:pPr>
        <w:spacing w:before="240" w:after="240"/>
        <w:jc w:val="center"/>
        <w:rPr>
          <w:rFonts w:eastAsiaTheme="minorEastAsia"/>
          <w:i/>
          <w:iCs/>
          <w:color w:val="666666"/>
          <w:sz w:val="22"/>
          <w:szCs w:val="22"/>
        </w:rPr>
      </w:pPr>
      <w:bookmarkStart w:id="14" w:name="_Hlk119270775"/>
      <w:r>
        <w:rPr>
          <w:i/>
          <w:iCs/>
          <w:color w:val="666666"/>
          <w:sz w:val="22"/>
          <w:szCs w:val="22"/>
        </w:rPr>
        <w:t>Figure: EU Gas demand share of total, 2019</w:t>
      </w:r>
    </w:p>
    <w:bookmarkEnd w:id="14"/>
    <w:p w14:paraId="3A41E68F" w14:textId="77777777" w:rsidR="00781442" w:rsidRDefault="00781442">
      <w:pPr>
        <w:rPr>
          <w:rFonts w:eastAsiaTheme="minorEastAsia"/>
        </w:rPr>
      </w:pPr>
    </w:p>
    <w:p w14:paraId="0D36BD11" w14:textId="77777777" w:rsidR="00781442" w:rsidRDefault="00000000">
      <w:pPr>
        <w:jc w:val="center"/>
        <w:rPr>
          <w:rFonts w:eastAsiaTheme="minorEastAsia"/>
        </w:rPr>
      </w:pPr>
      <w:r>
        <w:rPr>
          <w:rFonts w:eastAsiaTheme="minorEastAsia"/>
          <w:noProof/>
        </w:rPr>
        <w:lastRenderedPageBreak/>
        <w:drawing>
          <wp:inline distT="0" distB="0" distL="0" distR="0" wp14:anchorId="3E609F93" wp14:editId="7756E137">
            <wp:extent cx="3009900" cy="2263140"/>
            <wp:effectExtent l="19050" t="19050" r="19050" b="2286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pic:cNvPicPr>
                  </pic:nvPicPr>
                  <pic:blipFill>
                    <a:blip r:embed="rId20"/>
                    <a:stretch>
                      <a:fillRect/>
                    </a:stretch>
                  </pic:blipFill>
                  <pic:spPr>
                    <a:xfrm>
                      <a:off x="0" y="0"/>
                      <a:ext cx="3010161" cy="2263336"/>
                    </a:xfrm>
                    <a:prstGeom prst="rect">
                      <a:avLst/>
                    </a:prstGeom>
                    <a:ln>
                      <a:solidFill>
                        <a:schemeClr val="bg2"/>
                      </a:solidFill>
                    </a:ln>
                  </pic:spPr>
                </pic:pic>
              </a:graphicData>
            </a:graphic>
          </wp:inline>
        </w:drawing>
      </w:r>
    </w:p>
    <w:p w14:paraId="07FFE2BC" w14:textId="77777777" w:rsidR="00781442" w:rsidRDefault="00000000">
      <w:pPr>
        <w:spacing w:before="240" w:after="240"/>
        <w:rPr>
          <w:rFonts w:eastAsiaTheme="minorEastAsia"/>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 and Rhodium Group</w:t>
      </w:r>
    </w:p>
    <w:p w14:paraId="7EAA0A8E" w14:textId="77777777" w:rsidR="00781442" w:rsidRDefault="00000000">
      <w:pPr>
        <w:rPr>
          <w:rFonts w:eastAsiaTheme="minorEastAsia"/>
        </w:rPr>
      </w:pPr>
      <w:r>
        <w:rPr>
          <w:rFonts w:eastAsiaTheme="minorEastAsia"/>
        </w:rPr>
        <w:t>We narrow down our analysis to three sectors which respond to the price change of natural gas.</w:t>
      </w:r>
    </w:p>
    <w:p w14:paraId="239FB9A1" w14:textId="77777777" w:rsidR="00781442" w:rsidRDefault="00781442">
      <w:pPr>
        <w:rPr>
          <w:rFonts w:eastAsiaTheme="minorEastAsia"/>
        </w:rPr>
      </w:pPr>
    </w:p>
    <w:p w14:paraId="41A129EF" w14:textId="77777777" w:rsidR="00781442" w:rsidRDefault="00000000">
      <w:pPr>
        <w:rPr>
          <w:rFonts w:eastAsia="宋体" w:cstheme="minorBidi"/>
          <w:color w:val="1F3763"/>
          <w:kern w:val="2"/>
          <w:szCs w:val="32"/>
        </w:rPr>
      </w:pPr>
      <w:r>
        <w:rPr>
          <w:rFonts w:eastAsia="宋体" w:cstheme="minorBidi"/>
          <w:color w:val="1F3763"/>
          <w:kern w:val="2"/>
          <w:szCs w:val="32"/>
        </w:rPr>
        <w:t>2.2.1 Natural gas demand descriptive analysis by sector</w:t>
      </w:r>
    </w:p>
    <w:p w14:paraId="5ED2847F" w14:textId="77777777" w:rsidR="00781442" w:rsidRDefault="00000000">
      <w:pPr>
        <w:spacing w:line="360" w:lineRule="auto"/>
        <w:ind w:firstLine="720"/>
        <w:rPr>
          <w:bCs/>
        </w:rPr>
      </w:pPr>
      <w:r>
        <w:rPr>
          <w:bCs/>
        </w:rPr>
        <w:t>The residential sector accounts for most of EU gas demand (40%), followed by industry and gas use for power generation. Industry consumption has declined by 20% since 2000, whereas in the same period gas use for power generation has risen by 15%. These trends are due to the EU’s economic transition from industry to energy services and structural changes in the energy-intensive industry.</w:t>
      </w:r>
    </w:p>
    <w:p w14:paraId="263A2BB6" w14:textId="77777777" w:rsidR="00781442" w:rsidRDefault="00781442">
      <w:pPr>
        <w:spacing w:line="360" w:lineRule="auto"/>
        <w:rPr>
          <w:bCs/>
        </w:rPr>
      </w:pPr>
    </w:p>
    <w:p w14:paraId="20ABA482" w14:textId="77777777" w:rsidR="00781442" w:rsidRDefault="00000000">
      <w:pPr>
        <w:spacing w:line="360" w:lineRule="auto"/>
        <w:rPr>
          <w:bCs/>
          <w:u w:val="single"/>
        </w:rPr>
      </w:pPr>
      <w:r>
        <w:rPr>
          <w:bCs/>
          <w:u w:val="single"/>
        </w:rPr>
        <w:t>Industrial Sector</w:t>
      </w:r>
    </w:p>
    <w:p w14:paraId="73D2DC53" w14:textId="77777777" w:rsidR="00781442" w:rsidRDefault="00000000">
      <w:pPr>
        <w:spacing w:line="360" w:lineRule="auto"/>
        <w:ind w:firstLine="720"/>
        <w:rPr>
          <w:bCs/>
        </w:rPr>
      </w:pPr>
      <w:r>
        <w:rPr>
          <w:rFonts w:hint="eastAsia"/>
          <w:bCs/>
        </w:rPr>
        <w:t>W</w:t>
      </w:r>
      <w:r>
        <w:rPr>
          <w:bCs/>
        </w:rPr>
        <w:t>e assume that it is more sensitive to the natural gas price change and macroeconomic environment.</w:t>
      </w:r>
    </w:p>
    <w:p w14:paraId="7B5B58D4" w14:textId="77777777" w:rsidR="00781442" w:rsidRDefault="00000000">
      <w:pPr>
        <w:spacing w:line="360" w:lineRule="auto"/>
        <w:rPr>
          <w:bCs/>
          <w:u w:val="single"/>
        </w:rPr>
      </w:pPr>
      <w:r>
        <w:rPr>
          <w:bCs/>
          <w:u w:val="single"/>
        </w:rPr>
        <w:t>Household and Commercial Sector</w:t>
      </w:r>
    </w:p>
    <w:p w14:paraId="7A6BC6CE" w14:textId="77777777" w:rsidR="00781442" w:rsidRDefault="00000000">
      <w:pPr>
        <w:spacing w:line="360" w:lineRule="auto"/>
        <w:ind w:firstLine="720"/>
        <w:rPr>
          <w:bCs/>
        </w:rPr>
      </w:pPr>
      <w:r>
        <w:rPr>
          <w:rFonts w:hint="eastAsia"/>
          <w:bCs/>
        </w:rPr>
        <w:t>W</w:t>
      </w:r>
      <w:r>
        <w:rPr>
          <w:bCs/>
        </w:rPr>
        <w:t>e assume that it is more sensitive to temperatures, natural gas prices and energy regulations.</w:t>
      </w:r>
    </w:p>
    <w:p w14:paraId="13B6CE8A" w14:textId="77777777" w:rsidR="00781442" w:rsidRDefault="00000000">
      <w:pPr>
        <w:spacing w:line="360" w:lineRule="auto"/>
        <w:rPr>
          <w:bCs/>
          <w:u w:val="single"/>
        </w:rPr>
      </w:pPr>
      <w:r>
        <w:rPr>
          <w:rFonts w:hint="eastAsia"/>
          <w:bCs/>
          <w:u w:val="single"/>
        </w:rPr>
        <w:t>E</w:t>
      </w:r>
      <w:r>
        <w:rPr>
          <w:bCs/>
          <w:u w:val="single"/>
        </w:rPr>
        <w:t>lectricity Production Sector</w:t>
      </w:r>
    </w:p>
    <w:p w14:paraId="671E47CA" w14:textId="77777777" w:rsidR="00781442" w:rsidRDefault="00000000">
      <w:pPr>
        <w:spacing w:line="360" w:lineRule="auto"/>
        <w:ind w:firstLine="720"/>
        <w:rPr>
          <w:bCs/>
        </w:rPr>
      </w:pPr>
      <w:r>
        <w:rPr>
          <w:rFonts w:hint="eastAsia"/>
          <w:bCs/>
        </w:rPr>
        <w:t>W</w:t>
      </w:r>
      <w:r>
        <w:rPr>
          <w:bCs/>
        </w:rPr>
        <w:t>e assume that it is more sensitive to electricity demand. Natural gas is a substitution of fossil fuels and other renewable energy used to produce electricity.</w:t>
      </w:r>
    </w:p>
    <w:p w14:paraId="0FB5116A" w14:textId="77777777" w:rsidR="00781442" w:rsidRDefault="00781442">
      <w:pPr>
        <w:rPr>
          <w:rFonts w:eastAsiaTheme="minorEastAsia"/>
        </w:rPr>
      </w:pPr>
    </w:p>
    <w:p w14:paraId="3069BABE" w14:textId="77777777" w:rsidR="00781442" w:rsidRDefault="00000000">
      <w:pPr>
        <w:rPr>
          <w:rFonts w:eastAsia="宋体" w:cstheme="minorBidi"/>
          <w:color w:val="1F3763"/>
          <w:kern w:val="2"/>
          <w:szCs w:val="32"/>
        </w:rPr>
      </w:pPr>
      <w:r>
        <w:rPr>
          <w:rFonts w:eastAsia="宋体" w:cstheme="minorBidi" w:hint="eastAsia"/>
          <w:color w:val="1F3763"/>
          <w:kern w:val="2"/>
          <w:szCs w:val="32"/>
        </w:rPr>
        <w:t>2</w:t>
      </w:r>
      <w:r>
        <w:rPr>
          <w:rFonts w:eastAsia="宋体" w:cstheme="minorBidi"/>
          <w:color w:val="1F3763"/>
          <w:kern w:val="2"/>
          <w:szCs w:val="32"/>
        </w:rPr>
        <w:t>.2.2 Natural gas demand volume analysis</w:t>
      </w:r>
    </w:p>
    <w:p w14:paraId="632DDD71" w14:textId="77777777" w:rsidR="00781442" w:rsidRDefault="00000000">
      <w:pPr>
        <w:spacing w:before="240" w:after="240"/>
        <w:rPr>
          <w:rFonts w:eastAsiaTheme="minorEastAsia"/>
          <w:i/>
          <w:iCs/>
          <w:color w:val="666666"/>
          <w:sz w:val="22"/>
          <w:szCs w:val="22"/>
        </w:rPr>
      </w:pPr>
      <w:r>
        <w:rPr>
          <w:i/>
          <w:iCs/>
          <w:color w:val="666666"/>
          <w:sz w:val="22"/>
          <w:szCs w:val="22"/>
        </w:rPr>
        <w:t xml:space="preserve">Figure: Natural Gas Consumption in EU monthly 2017-2022 </w:t>
      </w:r>
    </w:p>
    <w:p w14:paraId="719530C2" w14:textId="77777777" w:rsidR="00781442" w:rsidRDefault="00781442">
      <w:pPr>
        <w:rPr>
          <w:rFonts w:eastAsiaTheme="minorEastAsia"/>
        </w:rPr>
      </w:pPr>
    </w:p>
    <w:p w14:paraId="037C7439" w14:textId="77777777" w:rsidR="00781442" w:rsidRDefault="00000000">
      <w:pPr>
        <w:rPr>
          <w:rFonts w:eastAsiaTheme="minorEastAsia"/>
        </w:rPr>
      </w:pPr>
      <w:r>
        <w:rPr>
          <w:rFonts w:eastAsiaTheme="minorEastAsia"/>
          <w:noProof/>
        </w:rPr>
        <w:drawing>
          <wp:inline distT="0" distB="0" distL="0" distR="0" wp14:anchorId="131D1F12" wp14:editId="5F3DB620">
            <wp:extent cx="5742940" cy="3736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42940" cy="3736975"/>
                    </a:xfrm>
                    <a:prstGeom prst="rect">
                      <a:avLst/>
                    </a:prstGeom>
                    <a:noFill/>
                  </pic:spPr>
                </pic:pic>
              </a:graphicData>
            </a:graphic>
          </wp:inline>
        </w:drawing>
      </w:r>
    </w:p>
    <w:p w14:paraId="588357FE" w14:textId="77777777" w:rsidR="00781442" w:rsidRDefault="00000000">
      <w:pPr>
        <w:spacing w:before="240" w:after="240"/>
        <w:rPr>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w:t>
      </w:r>
    </w:p>
    <w:p w14:paraId="41D38856" w14:textId="77777777" w:rsidR="00781442" w:rsidRDefault="00781442">
      <w:pPr>
        <w:rPr>
          <w:rFonts w:eastAsiaTheme="minorEastAsia"/>
        </w:rPr>
      </w:pPr>
    </w:p>
    <w:p w14:paraId="6B2215A5" w14:textId="77777777" w:rsidR="00781442" w:rsidRDefault="00781442">
      <w:pPr>
        <w:rPr>
          <w:rFonts w:eastAsiaTheme="minorEastAsia"/>
        </w:rPr>
      </w:pPr>
    </w:p>
    <w:p w14:paraId="15A542F2" w14:textId="77777777" w:rsidR="00781442" w:rsidRDefault="00000000">
      <w:pPr>
        <w:rPr>
          <w:rFonts w:eastAsiaTheme="minorEastAsia"/>
        </w:rPr>
      </w:pPr>
      <w:r>
        <w:rPr>
          <w:rFonts w:eastAsiaTheme="minorEastAsia" w:hint="eastAsia"/>
        </w:rPr>
        <w:t>W</w:t>
      </w:r>
      <w:r>
        <w:rPr>
          <w:rFonts w:eastAsiaTheme="minorEastAsia"/>
        </w:rPr>
        <w:t xml:space="preserve">e then run linear regression on the </w:t>
      </w:r>
      <w:proofErr w:type="spellStart"/>
      <w:r>
        <w:rPr>
          <w:rFonts w:eastAsiaTheme="minorEastAsia"/>
        </w:rPr>
        <w:t>volumn</w:t>
      </w:r>
      <w:proofErr w:type="spellEnd"/>
      <w:r>
        <w:rPr>
          <w:rFonts w:eastAsiaTheme="minorEastAsia"/>
        </w:rPr>
        <w:t xml:space="preserve"> demand of natural gas in the past five years.</w:t>
      </w:r>
    </w:p>
    <w:p w14:paraId="0005F5E4" w14:textId="77777777" w:rsidR="00781442" w:rsidRDefault="00000000">
      <w:pPr>
        <w:spacing w:before="240" w:after="240"/>
        <w:jc w:val="center"/>
        <w:rPr>
          <w:i/>
          <w:iCs/>
          <w:color w:val="666666"/>
          <w:sz w:val="22"/>
          <w:szCs w:val="22"/>
        </w:rPr>
      </w:pPr>
      <w:r>
        <w:rPr>
          <w:i/>
          <w:iCs/>
          <w:color w:val="666666"/>
          <w:sz w:val="22"/>
          <w:szCs w:val="22"/>
        </w:rPr>
        <w:t>Figure:</w:t>
      </w:r>
      <w:r>
        <w:t xml:space="preserve"> </w:t>
      </w:r>
      <w:r>
        <w:rPr>
          <w:i/>
          <w:iCs/>
          <w:color w:val="666666"/>
          <w:sz w:val="22"/>
          <w:szCs w:val="22"/>
        </w:rPr>
        <w:t>Linear Regression test for 2021</w:t>
      </w:r>
    </w:p>
    <w:p w14:paraId="7FB6D33D" w14:textId="77777777" w:rsidR="00781442" w:rsidRDefault="00000000">
      <w:pPr>
        <w:spacing w:before="240" w:after="240"/>
        <w:jc w:val="center"/>
        <w:rPr>
          <w:rFonts w:eastAsiaTheme="minorEastAsia"/>
        </w:rPr>
      </w:pPr>
      <w:r>
        <w:rPr>
          <w:rFonts w:eastAsiaTheme="minorEastAsia"/>
          <w:noProof/>
        </w:rPr>
        <w:lastRenderedPageBreak/>
        <w:drawing>
          <wp:inline distT="0" distB="0" distL="0" distR="0" wp14:anchorId="5D80D97E" wp14:editId="332497E2">
            <wp:extent cx="5532755" cy="531876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22"/>
                    <a:stretch>
                      <a:fillRect/>
                    </a:stretch>
                  </pic:blipFill>
                  <pic:spPr>
                    <a:xfrm>
                      <a:off x="0" y="0"/>
                      <a:ext cx="5537857" cy="5323428"/>
                    </a:xfrm>
                    <a:prstGeom prst="rect">
                      <a:avLst/>
                    </a:prstGeom>
                  </pic:spPr>
                </pic:pic>
              </a:graphicData>
            </a:graphic>
          </wp:inline>
        </w:drawing>
      </w:r>
    </w:p>
    <w:p w14:paraId="662FEC94" w14:textId="77777777" w:rsidR="00781442" w:rsidRDefault="00000000">
      <w:pPr>
        <w:spacing w:before="240" w:after="240"/>
        <w:rPr>
          <w:rFonts w:eastAsiaTheme="minorEastAsia"/>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w:t>
      </w:r>
    </w:p>
    <w:p w14:paraId="5793DF8D" w14:textId="77777777" w:rsidR="00781442" w:rsidRDefault="00000000">
      <w:pPr>
        <w:spacing w:line="360" w:lineRule="auto"/>
        <w:rPr>
          <w:bCs/>
        </w:rPr>
      </w:pPr>
      <w:r>
        <w:rPr>
          <w:rFonts w:hint="eastAsia"/>
          <w:bCs/>
        </w:rPr>
        <w:t>W</w:t>
      </w:r>
      <w:r>
        <w:rPr>
          <w:bCs/>
        </w:rPr>
        <w:t>e observe that the volume demand of natural gas is highly seasonal. The demand for natural gas in 2022 has similar pattern as that of 2021 but with lower volume demand. The time sequence allows us to factor in the price’s impact to the demand in 2022. The demand for natural gas in 2022 is highly correlated with that of 2020. However, we don’t not observe price surge in natural gas in 2020. We might conclude that the price surge plays a similar role in decreasing the volume of natural gas demand as pandemic lockdown.</w:t>
      </w:r>
    </w:p>
    <w:p w14:paraId="47D30142" w14:textId="77777777" w:rsidR="00781442" w:rsidRDefault="00781442">
      <w:pPr>
        <w:rPr>
          <w:rFonts w:eastAsiaTheme="minorEastAsia"/>
        </w:rPr>
      </w:pPr>
    </w:p>
    <w:p w14:paraId="04E429E1" w14:textId="77777777" w:rsidR="00781442" w:rsidRDefault="00000000">
      <w:pPr>
        <w:ind w:firstLine="720"/>
        <w:rPr>
          <w:rFonts w:eastAsiaTheme="minorEastAsia"/>
          <w:b/>
          <w:bCs/>
        </w:rPr>
      </w:pPr>
      <w:r>
        <w:rPr>
          <w:rFonts w:eastAsiaTheme="minorEastAsia"/>
          <w:b/>
          <w:bCs/>
        </w:rPr>
        <w:t>2.2.2.1 The relation between natural gas demand volume and other factors</w:t>
      </w:r>
    </w:p>
    <w:p w14:paraId="40275B9A" w14:textId="77777777" w:rsidR="00781442" w:rsidRDefault="00781442">
      <w:pPr>
        <w:rPr>
          <w:rFonts w:eastAsiaTheme="minorEastAsia"/>
          <w:u w:val="single"/>
        </w:rPr>
      </w:pPr>
    </w:p>
    <w:p w14:paraId="40F20BFF" w14:textId="77777777" w:rsidR="00781442" w:rsidRDefault="00000000">
      <w:pPr>
        <w:rPr>
          <w:rFonts w:eastAsiaTheme="minorEastAsia"/>
          <w:u w:val="single"/>
        </w:rPr>
      </w:pPr>
      <w:r>
        <w:rPr>
          <w:rFonts w:eastAsiaTheme="minorEastAsia"/>
          <w:u w:val="single"/>
        </w:rPr>
        <w:t>The descriptive relation between natural gas demand and natural gas price</w:t>
      </w:r>
    </w:p>
    <w:p w14:paraId="20C30271" w14:textId="77777777" w:rsidR="00781442" w:rsidRDefault="00000000">
      <w:pPr>
        <w:spacing w:before="240" w:after="240"/>
        <w:rPr>
          <w:rFonts w:eastAsiaTheme="minorEastAsia"/>
          <w:i/>
          <w:iCs/>
          <w:color w:val="666666"/>
          <w:sz w:val="22"/>
          <w:szCs w:val="22"/>
        </w:rPr>
      </w:pPr>
      <w:r>
        <w:rPr>
          <w:i/>
          <w:iCs/>
          <w:color w:val="666666"/>
          <w:sz w:val="22"/>
          <w:szCs w:val="22"/>
        </w:rPr>
        <w:t>Figure:</w:t>
      </w:r>
      <w:r>
        <w:t xml:space="preserve"> </w:t>
      </w:r>
      <w:r>
        <w:rPr>
          <w:i/>
          <w:iCs/>
          <w:color w:val="666666"/>
          <w:sz w:val="22"/>
          <w:szCs w:val="22"/>
        </w:rPr>
        <w:t>Natural Gas Consumption and TTF Natural Gas Spot Price</w:t>
      </w:r>
      <w:r>
        <w:rPr>
          <w:rFonts w:eastAsiaTheme="minorEastAsia" w:hint="eastAsia"/>
          <w:i/>
          <w:iCs/>
          <w:color w:val="666666"/>
          <w:sz w:val="22"/>
          <w:szCs w:val="22"/>
        </w:rPr>
        <w:t xml:space="preserve"> </w:t>
      </w:r>
      <w:r>
        <w:rPr>
          <w:rFonts w:eastAsiaTheme="minorEastAsia"/>
          <w:i/>
          <w:iCs/>
          <w:color w:val="666666"/>
          <w:sz w:val="22"/>
          <w:szCs w:val="22"/>
        </w:rPr>
        <w:t>from 2017 to 2022</w:t>
      </w:r>
    </w:p>
    <w:p w14:paraId="7441637E" w14:textId="77777777" w:rsidR="00781442" w:rsidRDefault="00781442">
      <w:pPr>
        <w:rPr>
          <w:rFonts w:eastAsiaTheme="minorEastAsia"/>
          <w:u w:val="single"/>
        </w:rPr>
      </w:pPr>
    </w:p>
    <w:p w14:paraId="0B92CCB1" w14:textId="77777777" w:rsidR="00781442" w:rsidRDefault="00000000">
      <w:pPr>
        <w:jc w:val="center"/>
        <w:rPr>
          <w:rFonts w:eastAsiaTheme="minorEastAsia"/>
        </w:rPr>
      </w:pPr>
      <w:r>
        <w:rPr>
          <w:rFonts w:eastAsiaTheme="minorEastAsia"/>
          <w:noProof/>
        </w:rPr>
        <w:drawing>
          <wp:inline distT="0" distB="0" distL="0" distR="0" wp14:anchorId="1DE37C2A" wp14:editId="3B1F208A">
            <wp:extent cx="4584700" cy="2755900"/>
            <wp:effectExtent l="0" t="0" r="6350" b="635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3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84700" cy="2755900"/>
                    </a:xfrm>
                    <a:prstGeom prst="rect">
                      <a:avLst/>
                    </a:prstGeom>
                    <a:noFill/>
                  </pic:spPr>
                </pic:pic>
              </a:graphicData>
            </a:graphic>
          </wp:inline>
        </w:drawing>
      </w:r>
    </w:p>
    <w:p w14:paraId="19C355C7" w14:textId="77777777" w:rsidR="00781442" w:rsidRDefault="00000000">
      <w:pPr>
        <w:spacing w:before="240" w:after="240"/>
        <w:rPr>
          <w:rFonts w:eastAsiaTheme="minorEastAsia"/>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Eurostat</w:t>
      </w:r>
      <w:r>
        <w:rPr>
          <w:rFonts w:eastAsiaTheme="minorEastAsia" w:hint="eastAsia"/>
          <w:i/>
          <w:iCs/>
          <w:color w:val="595959"/>
          <w:sz w:val="22"/>
          <w:szCs w:val="22"/>
          <w:shd w:val="clear" w:color="auto" w:fill="FFFFFF"/>
        </w:rPr>
        <w:t>,</w:t>
      </w:r>
      <w:r>
        <w:rPr>
          <w:rFonts w:eastAsiaTheme="minorEastAsia"/>
          <w:i/>
          <w:iCs/>
          <w:color w:val="595959"/>
          <w:sz w:val="22"/>
          <w:szCs w:val="22"/>
          <w:shd w:val="clear" w:color="auto" w:fill="FFFFFF"/>
        </w:rPr>
        <w:t xml:space="preserve"> FactSet </w:t>
      </w:r>
    </w:p>
    <w:p w14:paraId="75BE84F6" w14:textId="77777777" w:rsidR="00781442" w:rsidRDefault="00781442">
      <w:pPr>
        <w:rPr>
          <w:rFonts w:eastAsiaTheme="minorEastAsia"/>
        </w:rPr>
      </w:pPr>
    </w:p>
    <w:p w14:paraId="28FFD11F" w14:textId="77777777" w:rsidR="00781442" w:rsidRDefault="00000000">
      <w:pPr>
        <w:spacing w:line="360" w:lineRule="auto"/>
        <w:rPr>
          <w:bCs/>
        </w:rPr>
      </w:pPr>
      <w:r>
        <w:rPr>
          <w:bCs/>
        </w:rPr>
        <w:t xml:space="preserve">Price change has a slight effect on natural gas demand. We then calculate the elasticity of the natural gas demand in January and July </w:t>
      </w:r>
      <w:proofErr w:type="spellStart"/>
      <w:r>
        <w:rPr>
          <w:bCs/>
        </w:rPr>
        <w:t>seperately</w:t>
      </w:r>
      <w:proofErr w:type="spellEnd"/>
      <w:r>
        <w:rPr>
          <w:bCs/>
        </w:rPr>
        <w:t>.</w:t>
      </w:r>
    </w:p>
    <w:p w14:paraId="7906608F" w14:textId="77777777" w:rsidR="00781442" w:rsidRDefault="00781442">
      <w:pPr>
        <w:spacing w:line="360" w:lineRule="auto"/>
        <w:ind w:firstLine="720"/>
        <w:rPr>
          <w:bCs/>
        </w:rPr>
      </w:pPr>
    </w:p>
    <w:p w14:paraId="04B3470A" w14:textId="77777777" w:rsidR="00781442" w:rsidRDefault="00000000">
      <w:pPr>
        <w:rPr>
          <w:rFonts w:eastAsiaTheme="minorEastAsia"/>
          <w:u w:val="single"/>
        </w:rPr>
      </w:pPr>
      <w:r>
        <w:rPr>
          <w:rFonts w:eastAsiaTheme="minorEastAsia"/>
          <w:u w:val="single"/>
        </w:rPr>
        <w:t>E</w:t>
      </w:r>
      <w:r>
        <w:rPr>
          <w:rFonts w:eastAsiaTheme="minorEastAsia" w:hint="eastAsia"/>
          <w:u w:val="single"/>
        </w:rPr>
        <w:t>lasticity</w:t>
      </w:r>
      <w:r>
        <w:rPr>
          <w:rFonts w:eastAsiaTheme="minorEastAsia"/>
          <w:u w:val="single"/>
        </w:rPr>
        <w:t xml:space="preserve"> analysis</w:t>
      </w:r>
    </w:p>
    <w:tbl>
      <w:tblPr>
        <w:tblStyle w:val="TableGrid"/>
        <w:tblW w:w="9209" w:type="dxa"/>
        <w:tblLook w:val="04A0" w:firstRow="1" w:lastRow="0" w:firstColumn="1" w:lastColumn="0" w:noHBand="0" w:noVBand="1"/>
      </w:tblPr>
      <w:tblGrid>
        <w:gridCol w:w="1471"/>
        <w:gridCol w:w="1239"/>
        <w:gridCol w:w="1604"/>
        <w:gridCol w:w="1243"/>
        <w:gridCol w:w="1260"/>
        <w:gridCol w:w="1176"/>
        <w:gridCol w:w="1687"/>
      </w:tblGrid>
      <w:tr w:rsidR="00781442" w14:paraId="4F96B018" w14:textId="77777777">
        <w:trPr>
          <w:trHeight w:val="276"/>
        </w:trPr>
        <w:tc>
          <w:tcPr>
            <w:tcW w:w="1310" w:type="dxa"/>
            <w:noWrap/>
          </w:tcPr>
          <w:p w14:paraId="078F7741" w14:textId="547CBB49" w:rsidR="00781442" w:rsidRDefault="00000000">
            <w:pPr>
              <w:rPr>
                <w:rFonts w:eastAsiaTheme="minorEastAsia"/>
                <w:b/>
                <w:bCs/>
              </w:rPr>
            </w:pPr>
            <w:r>
              <w:rPr>
                <w:i/>
                <w:iCs/>
                <w:color w:val="666666"/>
                <w:sz w:val="22"/>
                <w:szCs w:val="22"/>
              </w:rPr>
              <w:t>Table:</w:t>
            </w:r>
            <w:r>
              <w:t xml:space="preserve"> </w:t>
            </w:r>
            <w:r>
              <w:rPr>
                <w:i/>
                <w:iCs/>
                <w:color w:val="666666"/>
                <w:sz w:val="22"/>
                <w:szCs w:val="22"/>
              </w:rPr>
              <w:t xml:space="preserve">Natural Gas demand elasticity </w:t>
            </w:r>
            <w:proofErr w:type="spellStart"/>
            <w:r>
              <w:rPr>
                <w:i/>
                <w:iCs/>
                <w:color w:val="666666"/>
                <w:sz w:val="22"/>
                <w:szCs w:val="22"/>
              </w:rPr>
              <w:t>January</w:t>
            </w:r>
            <w:r>
              <w:rPr>
                <w:rFonts w:eastAsiaTheme="minorEastAsia" w:hint="eastAsia"/>
                <w:b/>
                <w:bCs/>
              </w:rPr>
              <w:t>Time</w:t>
            </w:r>
            <w:proofErr w:type="spellEnd"/>
          </w:p>
        </w:tc>
        <w:tc>
          <w:tcPr>
            <w:tcW w:w="1239" w:type="dxa"/>
            <w:noWrap/>
          </w:tcPr>
          <w:p w14:paraId="25DEA13A" w14:textId="77777777" w:rsidR="00781442" w:rsidRDefault="00000000">
            <w:pPr>
              <w:rPr>
                <w:rFonts w:eastAsiaTheme="minorEastAsia"/>
                <w:b/>
                <w:bCs/>
              </w:rPr>
            </w:pPr>
            <w:r>
              <w:rPr>
                <w:rFonts w:eastAsiaTheme="minorEastAsia" w:hint="eastAsia"/>
                <w:b/>
                <w:bCs/>
              </w:rPr>
              <w:t>TTF Natural Gas Spot Price</w:t>
            </w:r>
          </w:p>
        </w:tc>
        <w:tc>
          <w:tcPr>
            <w:tcW w:w="1481" w:type="dxa"/>
            <w:noWrap/>
          </w:tcPr>
          <w:p w14:paraId="68DBF2C7" w14:textId="77777777" w:rsidR="00781442" w:rsidRDefault="00000000">
            <w:pPr>
              <w:rPr>
                <w:rFonts w:eastAsiaTheme="minorEastAsia"/>
                <w:b/>
                <w:bCs/>
              </w:rPr>
            </w:pPr>
            <w:r>
              <w:rPr>
                <w:rFonts w:eastAsiaTheme="minorEastAsia" w:hint="eastAsia"/>
                <w:b/>
                <w:bCs/>
              </w:rPr>
              <w:t>Natural Gas Consumption</w:t>
            </w:r>
          </w:p>
        </w:tc>
        <w:tc>
          <w:tcPr>
            <w:tcW w:w="1129" w:type="dxa"/>
            <w:noWrap/>
          </w:tcPr>
          <w:p w14:paraId="58FDABC9" w14:textId="77777777" w:rsidR="00781442" w:rsidRDefault="00000000">
            <w:pPr>
              <w:rPr>
                <w:rFonts w:eastAsiaTheme="minorEastAsia"/>
                <w:b/>
                <w:bCs/>
              </w:rPr>
            </w:pPr>
            <w:r>
              <w:rPr>
                <w:rFonts w:eastAsiaTheme="minorEastAsia" w:hint="eastAsia"/>
                <w:b/>
                <w:bCs/>
              </w:rPr>
              <w:t>%Change in Price</w:t>
            </w:r>
          </w:p>
        </w:tc>
        <w:tc>
          <w:tcPr>
            <w:tcW w:w="1260" w:type="dxa"/>
            <w:noWrap/>
          </w:tcPr>
          <w:p w14:paraId="16B422A7" w14:textId="77777777" w:rsidR="00781442" w:rsidRDefault="00000000">
            <w:pPr>
              <w:rPr>
                <w:rFonts w:eastAsiaTheme="minorEastAsia"/>
                <w:b/>
                <w:bCs/>
              </w:rPr>
            </w:pPr>
            <w:r>
              <w:rPr>
                <w:rFonts w:eastAsiaTheme="minorEastAsia" w:hint="eastAsia"/>
                <w:b/>
                <w:bCs/>
              </w:rPr>
              <w:t>%Change in Quantity</w:t>
            </w:r>
          </w:p>
        </w:tc>
        <w:tc>
          <w:tcPr>
            <w:tcW w:w="1103" w:type="dxa"/>
            <w:noWrap/>
          </w:tcPr>
          <w:p w14:paraId="17A211F9" w14:textId="77777777" w:rsidR="00781442" w:rsidRDefault="00000000">
            <w:pPr>
              <w:rPr>
                <w:rFonts w:eastAsiaTheme="minorEastAsia"/>
                <w:b/>
                <w:bCs/>
              </w:rPr>
            </w:pPr>
            <w:r>
              <w:rPr>
                <w:rFonts w:eastAsiaTheme="minorEastAsia" w:hint="eastAsia"/>
                <w:b/>
                <w:bCs/>
              </w:rPr>
              <w:t>Elasticity</w:t>
            </w:r>
          </w:p>
        </w:tc>
        <w:tc>
          <w:tcPr>
            <w:tcW w:w="1687" w:type="dxa"/>
            <w:noWrap/>
          </w:tcPr>
          <w:p w14:paraId="3F9844DD" w14:textId="77777777" w:rsidR="00781442" w:rsidRDefault="00000000">
            <w:pPr>
              <w:rPr>
                <w:rFonts w:eastAsiaTheme="minorEastAsia"/>
                <w:b/>
                <w:bCs/>
              </w:rPr>
            </w:pPr>
            <w:r>
              <w:rPr>
                <w:rFonts w:eastAsiaTheme="minorEastAsia" w:hint="eastAsia"/>
                <w:b/>
                <w:bCs/>
              </w:rPr>
              <w:t>Interpretation</w:t>
            </w:r>
          </w:p>
        </w:tc>
      </w:tr>
      <w:tr w:rsidR="00781442" w14:paraId="66046F34" w14:textId="77777777">
        <w:trPr>
          <w:trHeight w:val="276"/>
        </w:trPr>
        <w:tc>
          <w:tcPr>
            <w:tcW w:w="1310" w:type="dxa"/>
            <w:noWrap/>
          </w:tcPr>
          <w:p w14:paraId="62EE7271" w14:textId="77777777" w:rsidR="00781442" w:rsidRDefault="00000000">
            <w:pPr>
              <w:rPr>
                <w:rFonts w:eastAsiaTheme="minorEastAsia"/>
              </w:rPr>
            </w:pPr>
            <w:r>
              <w:rPr>
                <w:rFonts w:eastAsiaTheme="minorEastAsia" w:hint="eastAsia"/>
              </w:rPr>
              <w:t>2021/01</w:t>
            </w:r>
          </w:p>
        </w:tc>
        <w:tc>
          <w:tcPr>
            <w:tcW w:w="1239" w:type="dxa"/>
            <w:noWrap/>
          </w:tcPr>
          <w:p w14:paraId="70A93E34" w14:textId="77777777" w:rsidR="00781442" w:rsidRDefault="00000000">
            <w:pPr>
              <w:rPr>
                <w:rFonts w:eastAsiaTheme="minorEastAsia"/>
              </w:rPr>
            </w:pPr>
            <w:r>
              <w:rPr>
                <w:rFonts w:eastAsiaTheme="minorEastAsia" w:hint="eastAsia"/>
              </w:rPr>
              <w:t>11.85984</w:t>
            </w:r>
          </w:p>
        </w:tc>
        <w:tc>
          <w:tcPr>
            <w:tcW w:w="1481" w:type="dxa"/>
            <w:noWrap/>
          </w:tcPr>
          <w:p w14:paraId="27C432F9" w14:textId="77777777" w:rsidR="00781442" w:rsidRDefault="00000000">
            <w:pPr>
              <w:rPr>
                <w:rFonts w:eastAsiaTheme="minorEastAsia"/>
              </w:rPr>
            </w:pPr>
            <w:r>
              <w:rPr>
                <w:rFonts w:eastAsiaTheme="minorEastAsia" w:hint="eastAsia"/>
              </w:rPr>
              <w:t>54016.16</w:t>
            </w:r>
          </w:p>
        </w:tc>
        <w:tc>
          <w:tcPr>
            <w:tcW w:w="1129" w:type="dxa"/>
            <w:noWrap/>
          </w:tcPr>
          <w:p w14:paraId="2CE44B75" w14:textId="77777777" w:rsidR="00781442" w:rsidRDefault="00000000">
            <w:pPr>
              <w:rPr>
                <w:rFonts w:eastAsiaTheme="minorEastAsia"/>
              </w:rPr>
            </w:pPr>
            <w:r>
              <w:rPr>
                <w:rFonts w:eastAsiaTheme="minorEastAsia" w:hint="eastAsia"/>
              </w:rPr>
              <w:t>NA</w:t>
            </w:r>
          </w:p>
        </w:tc>
        <w:tc>
          <w:tcPr>
            <w:tcW w:w="1260" w:type="dxa"/>
            <w:noWrap/>
          </w:tcPr>
          <w:p w14:paraId="4D2F888B" w14:textId="77777777" w:rsidR="00781442" w:rsidRDefault="00000000">
            <w:pPr>
              <w:rPr>
                <w:rFonts w:eastAsiaTheme="minorEastAsia"/>
              </w:rPr>
            </w:pPr>
            <w:r>
              <w:rPr>
                <w:rFonts w:eastAsiaTheme="minorEastAsia" w:hint="eastAsia"/>
              </w:rPr>
              <w:t>NA</w:t>
            </w:r>
          </w:p>
        </w:tc>
        <w:tc>
          <w:tcPr>
            <w:tcW w:w="1103" w:type="dxa"/>
            <w:noWrap/>
          </w:tcPr>
          <w:p w14:paraId="33960973" w14:textId="77777777" w:rsidR="00781442" w:rsidRDefault="00000000">
            <w:pPr>
              <w:rPr>
                <w:rFonts w:eastAsiaTheme="minorEastAsia"/>
              </w:rPr>
            </w:pPr>
            <w:r>
              <w:rPr>
                <w:rFonts w:eastAsiaTheme="minorEastAsia" w:hint="eastAsia"/>
              </w:rPr>
              <w:t>NA</w:t>
            </w:r>
          </w:p>
        </w:tc>
        <w:tc>
          <w:tcPr>
            <w:tcW w:w="1687" w:type="dxa"/>
            <w:noWrap/>
          </w:tcPr>
          <w:p w14:paraId="1DF54929" w14:textId="77777777" w:rsidR="00781442" w:rsidRDefault="00000000">
            <w:pPr>
              <w:rPr>
                <w:rFonts w:eastAsiaTheme="minorEastAsia"/>
              </w:rPr>
            </w:pPr>
            <w:r>
              <w:rPr>
                <w:rFonts w:eastAsiaTheme="minorEastAsia" w:hint="eastAsia"/>
              </w:rPr>
              <w:t>NA</w:t>
            </w:r>
          </w:p>
        </w:tc>
      </w:tr>
      <w:tr w:rsidR="00781442" w14:paraId="62F6490D" w14:textId="77777777">
        <w:trPr>
          <w:trHeight w:val="276"/>
        </w:trPr>
        <w:tc>
          <w:tcPr>
            <w:tcW w:w="1310" w:type="dxa"/>
            <w:noWrap/>
          </w:tcPr>
          <w:p w14:paraId="532AF867" w14:textId="77777777" w:rsidR="00781442" w:rsidRDefault="00000000">
            <w:pPr>
              <w:rPr>
                <w:rFonts w:eastAsiaTheme="minorEastAsia"/>
              </w:rPr>
            </w:pPr>
            <w:r>
              <w:rPr>
                <w:rFonts w:eastAsiaTheme="minorEastAsia" w:hint="eastAsia"/>
              </w:rPr>
              <w:t>2020/01</w:t>
            </w:r>
          </w:p>
        </w:tc>
        <w:tc>
          <w:tcPr>
            <w:tcW w:w="1239" w:type="dxa"/>
            <w:noWrap/>
          </w:tcPr>
          <w:p w14:paraId="32887171" w14:textId="77777777" w:rsidR="00781442" w:rsidRDefault="00000000">
            <w:pPr>
              <w:rPr>
                <w:rFonts w:eastAsiaTheme="minorEastAsia"/>
              </w:rPr>
            </w:pPr>
            <w:r>
              <w:rPr>
                <w:rFonts w:eastAsiaTheme="minorEastAsia" w:hint="eastAsia"/>
              </w:rPr>
              <w:t>13.67913</w:t>
            </w:r>
          </w:p>
        </w:tc>
        <w:tc>
          <w:tcPr>
            <w:tcW w:w="1481" w:type="dxa"/>
            <w:noWrap/>
          </w:tcPr>
          <w:p w14:paraId="3774D6B7" w14:textId="77777777" w:rsidR="00781442" w:rsidRDefault="00000000">
            <w:pPr>
              <w:rPr>
                <w:rFonts w:eastAsiaTheme="minorEastAsia"/>
              </w:rPr>
            </w:pPr>
            <w:r>
              <w:rPr>
                <w:rFonts w:eastAsiaTheme="minorEastAsia" w:hint="eastAsia"/>
              </w:rPr>
              <w:t>50648.96</w:t>
            </w:r>
          </w:p>
        </w:tc>
        <w:tc>
          <w:tcPr>
            <w:tcW w:w="1129" w:type="dxa"/>
            <w:noWrap/>
          </w:tcPr>
          <w:p w14:paraId="185DFC15" w14:textId="77777777" w:rsidR="00781442" w:rsidRDefault="00000000">
            <w:pPr>
              <w:rPr>
                <w:rFonts w:eastAsiaTheme="minorEastAsia"/>
              </w:rPr>
            </w:pPr>
            <w:r>
              <w:rPr>
                <w:rFonts w:eastAsiaTheme="minorEastAsia" w:hint="eastAsia"/>
              </w:rPr>
              <w:t>14.25%</w:t>
            </w:r>
          </w:p>
        </w:tc>
        <w:tc>
          <w:tcPr>
            <w:tcW w:w="1260" w:type="dxa"/>
            <w:noWrap/>
          </w:tcPr>
          <w:p w14:paraId="689C5DAF" w14:textId="77777777" w:rsidR="00781442" w:rsidRDefault="00000000">
            <w:pPr>
              <w:rPr>
                <w:rFonts w:eastAsiaTheme="minorEastAsia"/>
              </w:rPr>
            </w:pPr>
            <w:r>
              <w:rPr>
                <w:rFonts w:eastAsiaTheme="minorEastAsia" w:hint="eastAsia"/>
              </w:rPr>
              <w:t>-6.43%</w:t>
            </w:r>
          </w:p>
        </w:tc>
        <w:tc>
          <w:tcPr>
            <w:tcW w:w="1103" w:type="dxa"/>
            <w:noWrap/>
          </w:tcPr>
          <w:p w14:paraId="51C2FB48" w14:textId="77777777" w:rsidR="00781442" w:rsidRDefault="00000000">
            <w:pPr>
              <w:rPr>
                <w:rFonts w:eastAsiaTheme="minorEastAsia"/>
              </w:rPr>
            </w:pPr>
            <w:r>
              <w:rPr>
                <w:rFonts w:eastAsiaTheme="minorEastAsia" w:hint="eastAsia"/>
              </w:rPr>
              <w:t>0.45</w:t>
            </w:r>
          </w:p>
        </w:tc>
        <w:tc>
          <w:tcPr>
            <w:tcW w:w="1687" w:type="dxa"/>
            <w:noWrap/>
          </w:tcPr>
          <w:p w14:paraId="402EEAE6" w14:textId="77777777" w:rsidR="00781442" w:rsidRDefault="00000000">
            <w:pPr>
              <w:rPr>
                <w:rFonts w:eastAsiaTheme="minorEastAsia"/>
              </w:rPr>
            </w:pPr>
            <w:r>
              <w:rPr>
                <w:rFonts w:eastAsiaTheme="minorEastAsia" w:hint="eastAsia"/>
              </w:rPr>
              <w:t>inelastic</w:t>
            </w:r>
          </w:p>
        </w:tc>
      </w:tr>
      <w:tr w:rsidR="00781442" w14:paraId="185B8EFF" w14:textId="77777777">
        <w:trPr>
          <w:trHeight w:val="276"/>
        </w:trPr>
        <w:tc>
          <w:tcPr>
            <w:tcW w:w="1310" w:type="dxa"/>
            <w:noWrap/>
          </w:tcPr>
          <w:p w14:paraId="1D5D6D36" w14:textId="77777777" w:rsidR="00781442" w:rsidRDefault="00000000">
            <w:pPr>
              <w:rPr>
                <w:rFonts w:eastAsiaTheme="minorEastAsia"/>
              </w:rPr>
            </w:pPr>
            <w:r>
              <w:rPr>
                <w:rFonts w:eastAsiaTheme="minorEastAsia" w:hint="eastAsia"/>
              </w:rPr>
              <w:t>2018/01</w:t>
            </w:r>
          </w:p>
        </w:tc>
        <w:tc>
          <w:tcPr>
            <w:tcW w:w="1239" w:type="dxa"/>
            <w:noWrap/>
          </w:tcPr>
          <w:p w14:paraId="24338344" w14:textId="77777777" w:rsidR="00781442" w:rsidRDefault="00000000">
            <w:pPr>
              <w:rPr>
                <w:rFonts w:eastAsiaTheme="minorEastAsia"/>
              </w:rPr>
            </w:pPr>
            <w:r>
              <w:rPr>
                <w:rFonts w:eastAsiaTheme="minorEastAsia" w:hint="eastAsia"/>
              </w:rPr>
              <w:t>16.74486</w:t>
            </w:r>
          </w:p>
        </w:tc>
        <w:tc>
          <w:tcPr>
            <w:tcW w:w="1481" w:type="dxa"/>
            <w:noWrap/>
          </w:tcPr>
          <w:p w14:paraId="673F8897" w14:textId="77777777" w:rsidR="00781442" w:rsidRDefault="00000000">
            <w:pPr>
              <w:rPr>
                <w:rFonts w:eastAsiaTheme="minorEastAsia"/>
              </w:rPr>
            </w:pPr>
            <w:r>
              <w:rPr>
                <w:rFonts w:eastAsiaTheme="minorEastAsia" w:hint="eastAsia"/>
              </w:rPr>
              <w:t>46036.8</w:t>
            </w:r>
          </w:p>
        </w:tc>
        <w:tc>
          <w:tcPr>
            <w:tcW w:w="1129" w:type="dxa"/>
            <w:noWrap/>
          </w:tcPr>
          <w:p w14:paraId="0B67EE3D" w14:textId="77777777" w:rsidR="00781442" w:rsidRDefault="00000000">
            <w:pPr>
              <w:rPr>
                <w:rFonts w:eastAsiaTheme="minorEastAsia"/>
              </w:rPr>
            </w:pPr>
            <w:r>
              <w:rPr>
                <w:rFonts w:eastAsiaTheme="minorEastAsia" w:hint="eastAsia"/>
              </w:rPr>
              <w:t>20.15%</w:t>
            </w:r>
          </w:p>
        </w:tc>
        <w:tc>
          <w:tcPr>
            <w:tcW w:w="1260" w:type="dxa"/>
            <w:noWrap/>
          </w:tcPr>
          <w:p w14:paraId="2D2B446C" w14:textId="77777777" w:rsidR="00781442" w:rsidRDefault="00000000">
            <w:pPr>
              <w:rPr>
                <w:rFonts w:eastAsiaTheme="minorEastAsia"/>
              </w:rPr>
            </w:pPr>
            <w:r>
              <w:rPr>
                <w:rFonts w:eastAsiaTheme="minorEastAsia" w:hint="eastAsia"/>
              </w:rPr>
              <w:t>-9.54%</w:t>
            </w:r>
          </w:p>
        </w:tc>
        <w:tc>
          <w:tcPr>
            <w:tcW w:w="1103" w:type="dxa"/>
            <w:noWrap/>
          </w:tcPr>
          <w:p w14:paraId="6FECA7CB" w14:textId="77777777" w:rsidR="00781442" w:rsidRDefault="00000000">
            <w:pPr>
              <w:rPr>
                <w:rFonts w:eastAsiaTheme="minorEastAsia"/>
              </w:rPr>
            </w:pPr>
            <w:r>
              <w:rPr>
                <w:rFonts w:eastAsiaTheme="minorEastAsia" w:hint="eastAsia"/>
              </w:rPr>
              <w:t>0.47</w:t>
            </w:r>
          </w:p>
        </w:tc>
        <w:tc>
          <w:tcPr>
            <w:tcW w:w="1687" w:type="dxa"/>
            <w:noWrap/>
          </w:tcPr>
          <w:p w14:paraId="64EDF84D" w14:textId="77777777" w:rsidR="00781442" w:rsidRDefault="00000000">
            <w:pPr>
              <w:rPr>
                <w:rFonts w:eastAsiaTheme="minorEastAsia"/>
              </w:rPr>
            </w:pPr>
            <w:r>
              <w:rPr>
                <w:rFonts w:eastAsiaTheme="minorEastAsia" w:hint="eastAsia"/>
              </w:rPr>
              <w:t>inelastic</w:t>
            </w:r>
          </w:p>
        </w:tc>
      </w:tr>
      <w:tr w:rsidR="00781442" w14:paraId="0843CE5B" w14:textId="77777777">
        <w:trPr>
          <w:trHeight w:val="276"/>
        </w:trPr>
        <w:tc>
          <w:tcPr>
            <w:tcW w:w="1310" w:type="dxa"/>
            <w:noWrap/>
          </w:tcPr>
          <w:p w14:paraId="0B898B21" w14:textId="77777777" w:rsidR="00781442" w:rsidRDefault="00000000">
            <w:pPr>
              <w:rPr>
                <w:rFonts w:eastAsiaTheme="minorEastAsia"/>
              </w:rPr>
            </w:pPr>
            <w:r>
              <w:rPr>
                <w:rFonts w:eastAsiaTheme="minorEastAsia" w:hint="eastAsia"/>
              </w:rPr>
              <w:t>2017/01</w:t>
            </w:r>
          </w:p>
        </w:tc>
        <w:tc>
          <w:tcPr>
            <w:tcW w:w="1239" w:type="dxa"/>
            <w:noWrap/>
          </w:tcPr>
          <w:p w14:paraId="36AB3732" w14:textId="77777777" w:rsidR="00781442" w:rsidRDefault="00000000">
            <w:pPr>
              <w:rPr>
                <w:rFonts w:eastAsiaTheme="minorEastAsia"/>
              </w:rPr>
            </w:pPr>
            <w:r>
              <w:rPr>
                <w:rFonts w:eastAsiaTheme="minorEastAsia" w:hint="eastAsia"/>
              </w:rPr>
              <w:t>18.92266</w:t>
            </w:r>
          </w:p>
        </w:tc>
        <w:tc>
          <w:tcPr>
            <w:tcW w:w="1481" w:type="dxa"/>
            <w:noWrap/>
          </w:tcPr>
          <w:p w14:paraId="61715A92" w14:textId="77777777" w:rsidR="00781442" w:rsidRDefault="00000000">
            <w:pPr>
              <w:rPr>
                <w:rFonts w:eastAsiaTheme="minorEastAsia"/>
              </w:rPr>
            </w:pPr>
            <w:r>
              <w:rPr>
                <w:rFonts w:eastAsiaTheme="minorEastAsia" w:hint="eastAsia"/>
              </w:rPr>
              <w:t>57628.4</w:t>
            </w:r>
          </w:p>
        </w:tc>
        <w:tc>
          <w:tcPr>
            <w:tcW w:w="1129" w:type="dxa"/>
            <w:noWrap/>
          </w:tcPr>
          <w:p w14:paraId="54AC71F9" w14:textId="77777777" w:rsidR="00781442" w:rsidRDefault="00000000">
            <w:pPr>
              <w:rPr>
                <w:rFonts w:eastAsiaTheme="minorEastAsia"/>
              </w:rPr>
            </w:pPr>
            <w:r>
              <w:rPr>
                <w:rFonts w:eastAsiaTheme="minorEastAsia" w:hint="eastAsia"/>
              </w:rPr>
              <w:t>12.21%</w:t>
            </w:r>
          </w:p>
        </w:tc>
        <w:tc>
          <w:tcPr>
            <w:tcW w:w="1260" w:type="dxa"/>
            <w:noWrap/>
          </w:tcPr>
          <w:p w14:paraId="769D3C9D" w14:textId="77777777" w:rsidR="00781442" w:rsidRDefault="00000000">
            <w:pPr>
              <w:rPr>
                <w:rFonts w:eastAsiaTheme="minorEastAsia"/>
              </w:rPr>
            </w:pPr>
            <w:r>
              <w:rPr>
                <w:rFonts w:eastAsiaTheme="minorEastAsia" w:hint="eastAsia"/>
              </w:rPr>
              <w:t>22.36%</w:t>
            </w:r>
          </w:p>
        </w:tc>
        <w:tc>
          <w:tcPr>
            <w:tcW w:w="1103" w:type="dxa"/>
            <w:noWrap/>
          </w:tcPr>
          <w:p w14:paraId="092B471A" w14:textId="77777777" w:rsidR="00781442" w:rsidRDefault="00000000">
            <w:pPr>
              <w:rPr>
                <w:rFonts w:eastAsiaTheme="minorEastAsia"/>
              </w:rPr>
            </w:pPr>
            <w:r>
              <w:rPr>
                <w:rFonts w:eastAsiaTheme="minorEastAsia" w:hint="eastAsia"/>
              </w:rPr>
              <w:t>1.83</w:t>
            </w:r>
          </w:p>
        </w:tc>
        <w:tc>
          <w:tcPr>
            <w:tcW w:w="1687" w:type="dxa"/>
            <w:noWrap/>
          </w:tcPr>
          <w:p w14:paraId="5C5371DB" w14:textId="77777777" w:rsidR="00781442" w:rsidRDefault="00000000">
            <w:pPr>
              <w:rPr>
                <w:rFonts w:eastAsiaTheme="minorEastAsia"/>
              </w:rPr>
            </w:pPr>
            <w:r>
              <w:rPr>
                <w:rFonts w:eastAsiaTheme="minorEastAsia" w:hint="eastAsia"/>
              </w:rPr>
              <w:t>elastic</w:t>
            </w:r>
          </w:p>
        </w:tc>
      </w:tr>
      <w:tr w:rsidR="00781442" w14:paraId="1C00CF6A" w14:textId="77777777">
        <w:trPr>
          <w:trHeight w:val="276"/>
        </w:trPr>
        <w:tc>
          <w:tcPr>
            <w:tcW w:w="1310" w:type="dxa"/>
            <w:noWrap/>
          </w:tcPr>
          <w:p w14:paraId="2C502CD6" w14:textId="77777777" w:rsidR="00781442" w:rsidRDefault="00000000">
            <w:pPr>
              <w:rPr>
                <w:rFonts w:eastAsiaTheme="minorEastAsia"/>
              </w:rPr>
            </w:pPr>
            <w:r>
              <w:rPr>
                <w:rFonts w:eastAsiaTheme="minorEastAsia" w:hint="eastAsia"/>
              </w:rPr>
              <w:t>2019/01</w:t>
            </w:r>
          </w:p>
        </w:tc>
        <w:tc>
          <w:tcPr>
            <w:tcW w:w="1239" w:type="dxa"/>
            <w:noWrap/>
          </w:tcPr>
          <w:p w14:paraId="1AD4D4ED" w14:textId="77777777" w:rsidR="00781442" w:rsidRDefault="00000000">
            <w:pPr>
              <w:rPr>
                <w:rFonts w:eastAsiaTheme="minorEastAsia"/>
              </w:rPr>
            </w:pPr>
            <w:r>
              <w:rPr>
                <w:rFonts w:eastAsiaTheme="minorEastAsia" w:hint="eastAsia"/>
              </w:rPr>
              <w:t>21.18137</w:t>
            </w:r>
          </w:p>
        </w:tc>
        <w:tc>
          <w:tcPr>
            <w:tcW w:w="1481" w:type="dxa"/>
            <w:noWrap/>
          </w:tcPr>
          <w:p w14:paraId="71F95100" w14:textId="77777777" w:rsidR="00781442" w:rsidRDefault="00000000">
            <w:pPr>
              <w:rPr>
                <w:rFonts w:eastAsiaTheme="minorEastAsia"/>
              </w:rPr>
            </w:pPr>
            <w:r>
              <w:rPr>
                <w:rFonts w:eastAsiaTheme="minorEastAsia" w:hint="eastAsia"/>
              </w:rPr>
              <w:t>55296.08</w:t>
            </w:r>
          </w:p>
        </w:tc>
        <w:tc>
          <w:tcPr>
            <w:tcW w:w="1129" w:type="dxa"/>
            <w:noWrap/>
          </w:tcPr>
          <w:p w14:paraId="04A56317" w14:textId="77777777" w:rsidR="00781442" w:rsidRDefault="00000000">
            <w:pPr>
              <w:rPr>
                <w:rFonts w:eastAsiaTheme="minorEastAsia"/>
              </w:rPr>
            </w:pPr>
            <w:r>
              <w:rPr>
                <w:rFonts w:eastAsiaTheme="minorEastAsia" w:hint="eastAsia"/>
              </w:rPr>
              <w:t>11.26%</w:t>
            </w:r>
          </w:p>
        </w:tc>
        <w:tc>
          <w:tcPr>
            <w:tcW w:w="1260" w:type="dxa"/>
            <w:noWrap/>
          </w:tcPr>
          <w:p w14:paraId="57D72705" w14:textId="77777777" w:rsidR="00781442" w:rsidRDefault="00000000">
            <w:pPr>
              <w:rPr>
                <w:rFonts w:eastAsiaTheme="minorEastAsia"/>
              </w:rPr>
            </w:pPr>
            <w:r>
              <w:rPr>
                <w:rFonts w:eastAsiaTheme="minorEastAsia" w:hint="eastAsia"/>
              </w:rPr>
              <w:t>-4.13%</w:t>
            </w:r>
          </w:p>
        </w:tc>
        <w:tc>
          <w:tcPr>
            <w:tcW w:w="1103" w:type="dxa"/>
            <w:noWrap/>
          </w:tcPr>
          <w:p w14:paraId="7400D776" w14:textId="77777777" w:rsidR="00781442" w:rsidRDefault="00000000">
            <w:pPr>
              <w:rPr>
                <w:rFonts w:eastAsiaTheme="minorEastAsia"/>
              </w:rPr>
            </w:pPr>
            <w:r>
              <w:rPr>
                <w:rFonts w:eastAsiaTheme="minorEastAsia" w:hint="eastAsia"/>
              </w:rPr>
              <w:t>0.37</w:t>
            </w:r>
          </w:p>
        </w:tc>
        <w:tc>
          <w:tcPr>
            <w:tcW w:w="1687" w:type="dxa"/>
            <w:noWrap/>
          </w:tcPr>
          <w:p w14:paraId="5F56B23E" w14:textId="77777777" w:rsidR="00781442" w:rsidRDefault="00000000">
            <w:pPr>
              <w:rPr>
                <w:rFonts w:eastAsiaTheme="minorEastAsia"/>
              </w:rPr>
            </w:pPr>
            <w:r>
              <w:rPr>
                <w:rFonts w:eastAsiaTheme="minorEastAsia" w:hint="eastAsia"/>
              </w:rPr>
              <w:t>inelastic</w:t>
            </w:r>
          </w:p>
        </w:tc>
      </w:tr>
      <w:tr w:rsidR="00781442" w14:paraId="0F149616" w14:textId="77777777">
        <w:trPr>
          <w:trHeight w:val="276"/>
        </w:trPr>
        <w:tc>
          <w:tcPr>
            <w:tcW w:w="1310" w:type="dxa"/>
            <w:noWrap/>
          </w:tcPr>
          <w:p w14:paraId="6621D5A5" w14:textId="77777777" w:rsidR="00781442" w:rsidRDefault="00000000">
            <w:pPr>
              <w:rPr>
                <w:rFonts w:eastAsiaTheme="minorEastAsia"/>
              </w:rPr>
            </w:pPr>
            <w:r>
              <w:rPr>
                <w:rFonts w:eastAsiaTheme="minorEastAsia" w:hint="eastAsia"/>
              </w:rPr>
              <w:t>2022/01</w:t>
            </w:r>
          </w:p>
        </w:tc>
        <w:tc>
          <w:tcPr>
            <w:tcW w:w="1239" w:type="dxa"/>
            <w:noWrap/>
          </w:tcPr>
          <w:p w14:paraId="3B0E075D" w14:textId="77777777" w:rsidR="00781442" w:rsidRDefault="00000000">
            <w:pPr>
              <w:rPr>
                <w:rFonts w:eastAsiaTheme="minorEastAsia"/>
              </w:rPr>
            </w:pPr>
            <w:r>
              <w:rPr>
                <w:rFonts w:eastAsiaTheme="minorEastAsia" w:hint="eastAsia"/>
              </w:rPr>
              <w:t>72.84721</w:t>
            </w:r>
          </w:p>
        </w:tc>
        <w:tc>
          <w:tcPr>
            <w:tcW w:w="1481" w:type="dxa"/>
            <w:noWrap/>
          </w:tcPr>
          <w:p w14:paraId="243D4E42" w14:textId="77777777" w:rsidR="00781442" w:rsidRDefault="00000000">
            <w:pPr>
              <w:rPr>
                <w:rFonts w:eastAsiaTheme="minorEastAsia"/>
              </w:rPr>
            </w:pPr>
            <w:r>
              <w:rPr>
                <w:rFonts w:eastAsiaTheme="minorEastAsia" w:hint="eastAsia"/>
              </w:rPr>
              <w:t>50319.22</w:t>
            </w:r>
          </w:p>
        </w:tc>
        <w:tc>
          <w:tcPr>
            <w:tcW w:w="1129" w:type="dxa"/>
            <w:noWrap/>
          </w:tcPr>
          <w:p w14:paraId="5EEFFACA" w14:textId="77777777" w:rsidR="00781442" w:rsidRDefault="00000000">
            <w:pPr>
              <w:rPr>
                <w:rFonts w:eastAsiaTheme="minorEastAsia"/>
              </w:rPr>
            </w:pPr>
            <w:r>
              <w:rPr>
                <w:rFonts w:eastAsiaTheme="minorEastAsia" w:hint="eastAsia"/>
              </w:rPr>
              <w:t>109.89%</w:t>
            </w:r>
          </w:p>
        </w:tc>
        <w:tc>
          <w:tcPr>
            <w:tcW w:w="1260" w:type="dxa"/>
            <w:noWrap/>
          </w:tcPr>
          <w:p w14:paraId="3774F5CB" w14:textId="77777777" w:rsidR="00781442" w:rsidRDefault="00000000">
            <w:pPr>
              <w:rPr>
                <w:rFonts w:eastAsiaTheme="minorEastAsia"/>
              </w:rPr>
            </w:pPr>
            <w:r>
              <w:rPr>
                <w:rFonts w:eastAsiaTheme="minorEastAsia" w:hint="eastAsia"/>
              </w:rPr>
              <w:t>-9.42%</w:t>
            </w:r>
          </w:p>
        </w:tc>
        <w:tc>
          <w:tcPr>
            <w:tcW w:w="1103" w:type="dxa"/>
            <w:noWrap/>
          </w:tcPr>
          <w:p w14:paraId="1D06417E" w14:textId="77777777" w:rsidR="00781442" w:rsidRDefault="00000000">
            <w:pPr>
              <w:rPr>
                <w:rFonts w:eastAsiaTheme="minorEastAsia"/>
              </w:rPr>
            </w:pPr>
            <w:r>
              <w:rPr>
                <w:rFonts w:eastAsiaTheme="minorEastAsia" w:hint="eastAsia"/>
              </w:rPr>
              <w:t>0.09</w:t>
            </w:r>
          </w:p>
        </w:tc>
        <w:tc>
          <w:tcPr>
            <w:tcW w:w="1687" w:type="dxa"/>
            <w:noWrap/>
          </w:tcPr>
          <w:p w14:paraId="140B42F6" w14:textId="77777777" w:rsidR="00781442" w:rsidRDefault="00000000">
            <w:pPr>
              <w:rPr>
                <w:rFonts w:eastAsiaTheme="minorEastAsia"/>
              </w:rPr>
            </w:pPr>
            <w:r>
              <w:rPr>
                <w:rFonts w:eastAsiaTheme="minorEastAsia" w:hint="eastAsia"/>
              </w:rPr>
              <w:t>inelastic</w:t>
            </w:r>
          </w:p>
        </w:tc>
      </w:tr>
    </w:tbl>
    <w:p w14:paraId="23CE7EBE" w14:textId="77777777" w:rsidR="00781442" w:rsidRDefault="00781442">
      <w:pPr>
        <w:rPr>
          <w:rFonts w:eastAsiaTheme="minorEastAsia"/>
          <w:u w:val="single"/>
        </w:rPr>
      </w:pPr>
    </w:p>
    <w:tbl>
      <w:tblPr>
        <w:tblStyle w:val="TableGrid"/>
        <w:tblW w:w="9351" w:type="dxa"/>
        <w:tblLook w:val="04A0" w:firstRow="1" w:lastRow="0" w:firstColumn="1" w:lastColumn="0" w:noHBand="0" w:noVBand="1"/>
      </w:tblPr>
      <w:tblGrid>
        <w:gridCol w:w="1271"/>
        <w:gridCol w:w="1276"/>
        <w:gridCol w:w="1604"/>
        <w:gridCol w:w="1243"/>
        <w:gridCol w:w="1309"/>
        <w:gridCol w:w="1176"/>
        <w:gridCol w:w="1712"/>
      </w:tblGrid>
      <w:tr w:rsidR="00781442" w14:paraId="5D5FDBFF" w14:textId="77777777">
        <w:trPr>
          <w:trHeight w:val="276"/>
        </w:trPr>
        <w:tc>
          <w:tcPr>
            <w:tcW w:w="1271" w:type="dxa"/>
            <w:noWrap/>
          </w:tcPr>
          <w:p w14:paraId="1D34C265" w14:textId="6E621171" w:rsidR="00781442" w:rsidRDefault="00000000">
            <w:pPr>
              <w:rPr>
                <w:rFonts w:eastAsiaTheme="minorEastAsia"/>
                <w:b/>
                <w:bCs/>
              </w:rPr>
            </w:pPr>
            <w:r>
              <w:rPr>
                <w:i/>
                <w:iCs/>
                <w:color w:val="666666"/>
                <w:sz w:val="22"/>
                <w:szCs w:val="22"/>
              </w:rPr>
              <w:t>Table:</w:t>
            </w:r>
            <w:r>
              <w:t xml:space="preserve"> </w:t>
            </w:r>
            <w:r>
              <w:rPr>
                <w:i/>
                <w:iCs/>
                <w:color w:val="666666"/>
                <w:sz w:val="22"/>
                <w:szCs w:val="22"/>
              </w:rPr>
              <w:t xml:space="preserve">Natural Gas demand elasticity </w:t>
            </w:r>
            <w:proofErr w:type="spellStart"/>
            <w:r>
              <w:rPr>
                <w:i/>
                <w:iCs/>
                <w:color w:val="666666"/>
                <w:sz w:val="22"/>
                <w:szCs w:val="22"/>
              </w:rPr>
              <w:t>July</w:t>
            </w:r>
            <w:r>
              <w:rPr>
                <w:rFonts w:eastAsiaTheme="minorEastAsia" w:hint="eastAsia"/>
                <w:b/>
                <w:bCs/>
              </w:rPr>
              <w:t>Time</w:t>
            </w:r>
            <w:proofErr w:type="spellEnd"/>
          </w:p>
        </w:tc>
        <w:tc>
          <w:tcPr>
            <w:tcW w:w="1276" w:type="dxa"/>
            <w:noWrap/>
          </w:tcPr>
          <w:p w14:paraId="0C1252F1" w14:textId="77777777" w:rsidR="00781442" w:rsidRDefault="00000000">
            <w:pPr>
              <w:rPr>
                <w:rFonts w:eastAsiaTheme="minorEastAsia"/>
                <w:b/>
                <w:bCs/>
              </w:rPr>
            </w:pPr>
            <w:r>
              <w:rPr>
                <w:rFonts w:eastAsiaTheme="minorEastAsia" w:hint="eastAsia"/>
                <w:b/>
                <w:bCs/>
              </w:rPr>
              <w:t>TTF Natural Gas Spot Price</w:t>
            </w:r>
          </w:p>
        </w:tc>
        <w:tc>
          <w:tcPr>
            <w:tcW w:w="1510" w:type="dxa"/>
            <w:noWrap/>
          </w:tcPr>
          <w:p w14:paraId="3604AE82" w14:textId="77777777" w:rsidR="00781442" w:rsidRDefault="00000000">
            <w:pPr>
              <w:rPr>
                <w:rFonts w:eastAsiaTheme="minorEastAsia"/>
                <w:b/>
                <w:bCs/>
              </w:rPr>
            </w:pPr>
            <w:r>
              <w:rPr>
                <w:rFonts w:eastAsiaTheme="minorEastAsia" w:hint="eastAsia"/>
                <w:b/>
                <w:bCs/>
              </w:rPr>
              <w:t>Natural Gas Consumption</w:t>
            </w:r>
          </w:p>
        </w:tc>
        <w:tc>
          <w:tcPr>
            <w:tcW w:w="1150" w:type="dxa"/>
            <w:noWrap/>
          </w:tcPr>
          <w:p w14:paraId="6CA78B96" w14:textId="77777777" w:rsidR="00781442" w:rsidRDefault="00000000">
            <w:pPr>
              <w:rPr>
                <w:rFonts w:eastAsiaTheme="minorEastAsia"/>
                <w:b/>
                <w:bCs/>
              </w:rPr>
            </w:pPr>
            <w:r>
              <w:rPr>
                <w:rFonts w:eastAsiaTheme="minorEastAsia" w:hint="eastAsia"/>
                <w:b/>
                <w:bCs/>
              </w:rPr>
              <w:t>%Change in Price</w:t>
            </w:r>
          </w:p>
        </w:tc>
        <w:tc>
          <w:tcPr>
            <w:tcW w:w="1309" w:type="dxa"/>
            <w:noWrap/>
          </w:tcPr>
          <w:p w14:paraId="72A2FBF1" w14:textId="77777777" w:rsidR="00781442" w:rsidRDefault="00000000">
            <w:pPr>
              <w:rPr>
                <w:rFonts w:eastAsiaTheme="minorEastAsia"/>
                <w:b/>
                <w:bCs/>
              </w:rPr>
            </w:pPr>
            <w:r>
              <w:rPr>
                <w:rFonts w:eastAsiaTheme="minorEastAsia" w:hint="eastAsia"/>
                <w:b/>
                <w:bCs/>
              </w:rPr>
              <w:t>%Change in Quantity</w:t>
            </w:r>
          </w:p>
        </w:tc>
        <w:tc>
          <w:tcPr>
            <w:tcW w:w="1123" w:type="dxa"/>
            <w:noWrap/>
          </w:tcPr>
          <w:p w14:paraId="71A82F87" w14:textId="77777777" w:rsidR="00781442" w:rsidRDefault="00000000">
            <w:pPr>
              <w:rPr>
                <w:rFonts w:eastAsiaTheme="minorEastAsia"/>
                <w:b/>
                <w:bCs/>
              </w:rPr>
            </w:pPr>
            <w:r>
              <w:rPr>
                <w:rFonts w:eastAsiaTheme="minorEastAsia" w:hint="eastAsia"/>
                <w:b/>
                <w:bCs/>
              </w:rPr>
              <w:t>Elasticity</w:t>
            </w:r>
          </w:p>
        </w:tc>
        <w:tc>
          <w:tcPr>
            <w:tcW w:w="1712" w:type="dxa"/>
            <w:noWrap/>
          </w:tcPr>
          <w:p w14:paraId="5C344C4C" w14:textId="77777777" w:rsidR="00781442" w:rsidRDefault="00000000">
            <w:pPr>
              <w:rPr>
                <w:rFonts w:eastAsiaTheme="minorEastAsia"/>
                <w:b/>
                <w:bCs/>
              </w:rPr>
            </w:pPr>
            <w:r>
              <w:rPr>
                <w:rFonts w:eastAsiaTheme="minorEastAsia" w:hint="eastAsia"/>
                <w:b/>
                <w:bCs/>
              </w:rPr>
              <w:t>Interpretation</w:t>
            </w:r>
          </w:p>
        </w:tc>
      </w:tr>
      <w:tr w:rsidR="00781442" w14:paraId="491D12E0" w14:textId="77777777">
        <w:trPr>
          <w:trHeight w:val="276"/>
        </w:trPr>
        <w:tc>
          <w:tcPr>
            <w:tcW w:w="1271" w:type="dxa"/>
            <w:noWrap/>
          </w:tcPr>
          <w:p w14:paraId="41879E0D" w14:textId="77777777" w:rsidR="00781442" w:rsidRDefault="00000000">
            <w:pPr>
              <w:rPr>
                <w:rFonts w:eastAsiaTheme="minorEastAsia"/>
              </w:rPr>
            </w:pPr>
            <w:r>
              <w:rPr>
                <w:rFonts w:eastAsiaTheme="minorEastAsia" w:hint="eastAsia"/>
              </w:rPr>
              <w:t>2020/07</w:t>
            </w:r>
          </w:p>
        </w:tc>
        <w:tc>
          <w:tcPr>
            <w:tcW w:w="1276" w:type="dxa"/>
            <w:noWrap/>
          </w:tcPr>
          <w:p w14:paraId="0AC73F74" w14:textId="77777777" w:rsidR="00781442" w:rsidRDefault="00000000">
            <w:pPr>
              <w:rPr>
                <w:rFonts w:eastAsiaTheme="minorEastAsia"/>
              </w:rPr>
            </w:pPr>
            <w:r>
              <w:rPr>
                <w:rFonts w:eastAsiaTheme="minorEastAsia" w:hint="eastAsia"/>
              </w:rPr>
              <w:t>4.187866</w:t>
            </w:r>
          </w:p>
        </w:tc>
        <w:tc>
          <w:tcPr>
            <w:tcW w:w="1510" w:type="dxa"/>
            <w:noWrap/>
          </w:tcPr>
          <w:p w14:paraId="18D9F9BE" w14:textId="77777777" w:rsidR="00781442" w:rsidRDefault="00000000">
            <w:pPr>
              <w:rPr>
                <w:rFonts w:eastAsiaTheme="minorEastAsia"/>
              </w:rPr>
            </w:pPr>
            <w:r>
              <w:rPr>
                <w:rFonts w:eastAsiaTheme="minorEastAsia" w:hint="eastAsia"/>
              </w:rPr>
              <w:t>24244.1</w:t>
            </w:r>
          </w:p>
        </w:tc>
        <w:tc>
          <w:tcPr>
            <w:tcW w:w="1150" w:type="dxa"/>
            <w:noWrap/>
          </w:tcPr>
          <w:p w14:paraId="7D4EB521" w14:textId="77777777" w:rsidR="00781442" w:rsidRDefault="00781442">
            <w:pPr>
              <w:rPr>
                <w:rFonts w:eastAsiaTheme="minorEastAsia"/>
              </w:rPr>
            </w:pPr>
          </w:p>
        </w:tc>
        <w:tc>
          <w:tcPr>
            <w:tcW w:w="1309" w:type="dxa"/>
            <w:noWrap/>
          </w:tcPr>
          <w:p w14:paraId="4F879B4A" w14:textId="77777777" w:rsidR="00781442" w:rsidRDefault="00781442">
            <w:pPr>
              <w:rPr>
                <w:rFonts w:eastAsiaTheme="minorEastAsia"/>
              </w:rPr>
            </w:pPr>
          </w:p>
        </w:tc>
        <w:tc>
          <w:tcPr>
            <w:tcW w:w="1123" w:type="dxa"/>
            <w:noWrap/>
          </w:tcPr>
          <w:p w14:paraId="205D39BB" w14:textId="77777777" w:rsidR="00781442" w:rsidRDefault="00781442">
            <w:pPr>
              <w:rPr>
                <w:rFonts w:eastAsiaTheme="minorEastAsia"/>
              </w:rPr>
            </w:pPr>
          </w:p>
        </w:tc>
        <w:tc>
          <w:tcPr>
            <w:tcW w:w="1712" w:type="dxa"/>
            <w:noWrap/>
          </w:tcPr>
          <w:p w14:paraId="337C783A" w14:textId="77777777" w:rsidR="00781442" w:rsidRDefault="00781442">
            <w:pPr>
              <w:rPr>
                <w:rFonts w:eastAsiaTheme="minorEastAsia"/>
              </w:rPr>
            </w:pPr>
          </w:p>
        </w:tc>
      </w:tr>
      <w:tr w:rsidR="00781442" w14:paraId="4A2A1B9C" w14:textId="77777777">
        <w:trPr>
          <w:trHeight w:val="276"/>
        </w:trPr>
        <w:tc>
          <w:tcPr>
            <w:tcW w:w="1271" w:type="dxa"/>
            <w:noWrap/>
          </w:tcPr>
          <w:p w14:paraId="7B69F1FD" w14:textId="77777777" w:rsidR="00781442" w:rsidRDefault="00000000">
            <w:pPr>
              <w:rPr>
                <w:rFonts w:eastAsiaTheme="minorEastAsia"/>
              </w:rPr>
            </w:pPr>
            <w:r>
              <w:rPr>
                <w:rFonts w:eastAsiaTheme="minorEastAsia" w:hint="eastAsia"/>
              </w:rPr>
              <w:t>2019/07</w:t>
            </w:r>
          </w:p>
        </w:tc>
        <w:tc>
          <w:tcPr>
            <w:tcW w:w="1276" w:type="dxa"/>
            <w:noWrap/>
          </w:tcPr>
          <w:p w14:paraId="2A757637" w14:textId="77777777" w:rsidR="00781442" w:rsidRDefault="00000000">
            <w:pPr>
              <w:rPr>
                <w:rFonts w:eastAsiaTheme="minorEastAsia"/>
              </w:rPr>
            </w:pPr>
            <w:r>
              <w:rPr>
                <w:rFonts w:eastAsiaTheme="minorEastAsia" w:hint="eastAsia"/>
              </w:rPr>
              <w:t>10.18496</w:t>
            </w:r>
          </w:p>
        </w:tc>
        <w:tc>
          <w:tcPr>
            <w:tcW w:w="1510" w:type="dxa"/>
            <w:noWrap/>
          </w:tcPr>
          <w:p w14:paraId="7744E6D5" w14:textId="77777777" w:rsidR="00781442" w:rsidRDefault="00000000">
            <w:pPr>
              <w:rPr>
                <w:rFonts w:eastAsiaTheme="minorEastAsia"/>
              </w:rPr>
            </w:pPr>
            <w:r>
              <w:rPr>
                <w:rFonts w:eastAsiaTheme="minorEastAsia" w:hint="eastAsia"/>
              </w:rPr>
              <w:t>24848.33</w:t>
            </w:r>
          </w:p>
        </w:tc>
        <w:tc>
          <w:tcPr>
            <w:tcW w:w="1150" w:type="dxa"/>
            <w:noWrap/>
          </w:tcPr>
          <w:p w14:paraId="295864D4" w14:textId="77777777" w:rsidR="00781442" w:rsidRDefault="00000000">
            <w:pPr>
              <w:rPr>
                <w:rFonts w:eastAsiaTheme="minorEastAsia"/>
              </w:rPr>
            </w:pPr>
            <w:r>
              <w:rPr>
                <w:rFonts w:eastAsiaTheme="minorEastAsia" w:hint="eastAsia"/>
              </w:rPr>
              <w:t>83.45%</w:t>
            </w:r>
          </w:p>
        </w:tc>
        <w:tc>
          <w:tcPr>
            <w:tcW w:w="1309" w:type="dxa"/>
            <w:noWrap/>
          </w:tcPr>
          <w:p w14:paraId="3F20DEC6" w14:textId="77777777" w:rsidR="00781442" w:rsidRDefault="00000000">
            <w:pPr>
              <w:rPr>
                <w:rFonts w:eastAsiaTheme="minorEastAsia"/>
              </w:rPr>
            </w:pPr>
            <w:r>
              <w:rPr>
                <w:rFonts w:eastAsiaTheme="minorEastAsia" w:hint="eastAsia"/>
              </w:rPr>
              <w:t>2.46%</w:t>
            </w:r>
          </w:p>
        </w:tc>
        <w:tc>
          <w:tcPr>
            <w:tcW w:w="1123" w:type="dxa"/>
            <w:noWrap/>
          </w:tcPr>
          <w:p w14:paraId="6B0F2FE3" w14:textId="77777777" w:rsidR="00781442" w:rsidRDefault="00000000">
            <w:pPr>
              <w:rPr>
                <w:rFonts w:eastAsiaTheme="minorEastAsia"/>
              </w:rPr>
            </w:pPr>
            <w:r>
              <w:rPr>
                <w:rFonts w:eastAsiaTheme="minorEastAsia" w:hint="eastAsia"/>
              </w:rPr>
              <w:t>0.03</w:t>
            </w:r>
          </w:p>
        </w:tc>
        <w:tc>
          <w:tcPr>
            <w:tcW w:w="1712" w:type="dxa"/>
            <w:noWrap/>
          </w:tcPr>
          <w:p w14:paraId="40AD0F20" w14:textId="77777777" w:rsidR="00781442" w:rsidRDefault="00000000">
            <w:pPr>
              <w:rPr>
                <w:rFonts w:eastAsiaTheme="minorEastAsia"/>
              </w:rPr>
            </w:pPr>
            <w:r>
              <w:rPr>
                <w:rFonts w:eastAsiaTheme="minorEastAsia" w:hint="eastAsia"/>
              </w:rPr>
              <w:t>inelastic</w:t>
            </w:r>
          </w:p>
        </w:tc>
      </w:tr>
      <w:tr w:rsidR="00781442" w14:paraId="041192FB" w14:textId="77777777">
        <w:trPr>
          <w:trHeight w:val="276"/>
        </w:trPr>
        <w:tc>
          <w:tcPr>
            <w:tcW w:w="1271" w:type="dxa"/>
            <w:noWrap/>
          </w:tcPr>
          <w:p w14:paraId="4C721978" w14:textId="77777777" w:rsidR="00781442" w:rsidRDefault="00000000">
            <w:pPr>
              <w:rPr>
                <w:rFonts w:eastAsiaTheme="minorEastAsia"/>
              </w:rPr>
            </w:pPr>
            <w:r>
              <w:rPr>
                <w:rFonts w:eastAsiaTheme="minorEastAsia" w:hint="eastAsia"/>
              </w:rPr>
              <w:t>2017/07</w:t>
            </w:r>
          </w:p>
        </w:tc>
        <w:tc>
          <w:tcPr>
            <w:tcW w:w="1276" w:type="dxa"/>
            <w:noWrap/>
          </w:tcPr>
          <w:p w14:paraId="5047FCB7" w14:textId="77777777" w:rsidR="00781442" w:rsidRDefault="00000000">
            <w:pPr>
              <w:rPr>
                <w:rFonts w:eastAsiaTheme="minorEastAsia"/>
              </w:rPr>
            </w:pPr>
            <w:r>
              <w:rPr>
                <w:rFonts w:eastAsiaTheme="minorEastAsia" w:hint="eastAsia"/>
              </w:rPr>
              <w:t>13.19869</w:t>
            </w:r>
          </w:p>
        </w:tc>
        <w:tc>
          <w:tcPr>
            <w:tcW w:w="1510" w:type="dxa"/>
            <w:noWrap/>
          </w:tcPr>
          <w:p w14:paraId="74B6D670" w14:textId="77777777" w:rsidR="00781442" w:rsidRDefault="00000000">
            <w:pPr>
              <w:rPr>
                <w:rFonts w:eastAsiaTheme="minorEastAsia"/>
              </w:rPr>
            </w:pPr>
            <w:r>
              <w:rPr>
                <w:rFonts w:eastAsiaTheme="minorEastAsia" w:hint="eastAsia"/>
              </w:rPr>
              <w:t>23263</w:t>
            </w:r>
          </w:p>
        </w:tc>
        <w:tc>
          <w:tcPr>
            <w:tcW w:w="1150" w:type="dxa"/>
            <w:noWrap/>
          </w:tcPr>
          <w:p w14:paraId="254D7E5A" w14:textId="77777777" w:rsidR="00781442" w:rsidRDefault="00000000">
            <w:pPr>
              <w:rPr>
                <w:rFonts w:eastAsiaTheme="minorEastAsia"/>
              </w:rPr>
            </w:pPr>
            <w:r>
              <w:rPr>
                <w:rFonts w:eastAsiaTheme="minorEastAsia" w:hint="eastAsia"/>
              </w:rPr>
              <w:t>25.78%</w:t>
            </w:r>
          </w:p>
        </w:tc>
        <w:tc>
          <w:tcPr>
            <w:tcW w:w="1309" w:type="dxa"/>
            <w:noWrap/>
          </w:tcPr>
          <w:p w14:paraId="28F4F952" w14:textId="77777777" w:rsidR="00781442" w:rsidRDefault="00000000">
            <w:pPr>
              <w:rPr>
                <w:rFonts w:eastAsiaTheme="minorEastAsia"/>
              </w:rPr>
            </w:pPr>
            <w:r>
              <w:rPr>
                <w:rFonts w:eastAsiaTheme="minorEastAsia" w:hint="eastAsia"/>
              </w:rPr>
              <w:t>-6.59%</w:t>
            </w:r>
          </w:p>
        </w:tc>
        <w:tc>
          <w:tcPr>
            <w:tcW w:w="1123" w:type="dxa"/>
            <w:noWrap/>
          </w:tcPr>
          <w:p w14:paraId="590D8239" w14:textId="77777777" w:rsidR="00781442" w:rsidRDefault="00000000">
            <w:pPr>
              <w:rPr>
                <w:rFonts w:eastAsiaTheme="minorEastAsia"/>
              </w:rPr>
            </w:pPr>
            <w:r>
              <w:rPr>
                <w:rFonts w:eastAsiaTheme="minorEastAsia" w:hint="eastAsia"/>
              </w:rPr>
              <w:t>0.26</w:t>
            </w:r>
          </w:p>
        </w:tc>
        <w:tc>
          <w:tcPr>
            <w:tcW w:w="1712" w:type="dxa"/>
            <w:noWrap/>
          </w:tcPr>
          <w:p w14:paraId="7649B0D3" w14:textId="77777777" w:rsidR="00781442" w:rsidRDefault="00000000">
            <w:pPr>
              <w:rPr>
                <w:rFonts w:eastAsiaTheme="minorEastAsia"/>
              </w:rPr>
            </w:pPr>
            <w:r>
              <w:rPr>
                <w:rFonts w:eastAsiaTheme="minorEastAsia" w:hint="eastAsia"/>
              </w:rPr>
              <w:t>inelastic</w:t>
            </w:r>
          </w:p>
        </w:tc>
      </w:tr>
      <w:tr w:rsidR="00781442" w14:paraId="4ED61CE2" w14:textId="77777777">
        <w:trPr>
          <w:trHeight w:val="276"/>
        </w:trPr>
        <w:tc>
          <w:tcPr>
            <w:tcW w:w="1271" w:type="dxa"/>
            <w:noWrap/>
          </w:tcPr>
          <w:p w14:paraId="31405245" w14:textId="77777777" w:rsidR="00781442" w:rsidRDefault="00000000">
            <w:pPr>
              <w:rPr>
                <w:rFonts w:eastAsiaTheme="minorEastAsia"/>
              </w:rPr>
            </w:pPr>
            <w:r>
              <w:rPr>
                <w:rFonts w:eastAsiaTheme="minorEastAsia" w:hint="eastAsia"/>
              </w:rPr>
              <w:t>2018/07</w:t>
            </w:r>
          </w:p>
        </w:tc>
        <w:tc>
          <w:tcPr>
            <w:tcW w:w="1276" w:type="dxa"/>
            <w:noWrap/>
          </w:tcPr>
          <w:p w14:paraId="0BA0E58E" w14:textId="77777777" w:rsidR="00781442" w:rsidRDefault="00000000">
            <w:pPr>
              <w:rPr>
                <w:rFonts w:eastAsiaTheme="minorEastAsia"/>
              </w:rPr>
            </w:pPr>
            <w:r>
              <w:rPr>
                <w:rFonts w:eastAsiaTheme="minorEastAsia" w:hint="eastAsia"/>
              </w:rPr>
              <w:t>18.85779</w:t>
            </w:r>
          </w:p>
        </w:tc>
        <w:tc>
          <w:tcPr>
            <w:tcW w:w="1510" w:type="dxa"/>
            <w:noWrap/>
          </w:tcPr>
          <w:p w14:paraId="36932CD0" w14:textId="77777777" w:rsidR="00781442" w:rsidRDefault="00000000">
            <w:pPr>
              <w:rPr>
                <w:rFonts w:eastAsiaTheme="minorEastAsia"/>
              </w:rPr>
            </w:pPr>
            <w:r>
              <w:rPr>
                <w:rFonts w:eastAsiaTheme="minorEastAsia" w:hint="eastAsia"/>
              </w:rPr>
              <w:t>21445.3</w:t>
            </w:r>
          </w:p>
        </w:tc>
        <w:tc>
          <w:tcPr>
            <w:tcW w:w="1150" w:type="dxa"/>
            <w:noWrap/>
          </w:tcPr>
          <w:p w14:paraId="472AF231" w14:textId="77777777" w:rsidR="00781442" w:rsidRDefault="00000000">
            <w:pPr>
              <w:rPr>
                <w:rFonts w:eastAsiaTheme="minorEastAsia"/>
              </w:rPr>
            </w:pPr>
            <w:r>
              <w:rPr>
                <w:rFonts w:eastAsiaTheme="minorEastAsia" w:hint="eastAsia"/>
              </w:rPr>
              <w:t>35.31%</w:t>
            </w:r>
          </w:p>
        </w:tc>
        <w:tc>
          <w:tcPr>
            <w:tcW w:w="1309" w:type="dxa"/>
            <w:noWrap/>
          </w:tcPr>
          <w:p w14:paraId="559A1858" w14:textId="77777777" w:rsidR="00781442" w:rsidRDefault="00000000">
            <w:pPr>
              <w:rPr>
                <w:rFonts w:eastAsiaTheme="minorEastAsia"/>
              </w:rPr>
            </w:pPr>
            <w:r>
              <w:rPr>
                <w:rFonts w:eastAsiaTheme="minorEastAsia" w:hint="eastAsia"/>
              </w:rPr>
              <w:t>-8.13%</w:t>
            </w:r>
          </w:p>
        </w:tc>
        <w:tc>
          <w:tcPr>
            <w:tcW w:w="1123" w:type="dxa"/>
            <w:noWrap/>
          </w:tcPr>
          <w:p w14:paraId="13A4B9F1" w14:textId="77777777" w:rsidR="00781442" w:rsidRDefault="00000000">
            <w:pPr>
              <w:rPr>
                <w:rFonts w:eastAsiaTheme="minorEastAsia"/>
              </w:rPr>
            </w:pPr>
            <w:r>
              <w:rPr>
                <w:rFonts w:eastAsiaTheme="minorEastAsia" w:hint="eastAsia"/>
              </w:rPr>
              <w:t>0.23</w:t>
            </w:r>
          </w:p>
        </w:tc>
        <w:tc>
          <w:tcPr>
            <w:tcW w:w="1712" w:type="dxa"/>
            <w:noWrap/>
          </w:tcPr>
          <w:p w14:paraId="317E2174" w14:textId="77777777" w:rsidR="00781442" w:rsidRDefault="00000000">
            <w:pPr>
              <w:rPr>
                <w:rFonts w:eastAsiaTheme="minorEastAsia"/>
              </w:rPr>
            </w:pPr>
            <w:r>
              <w:rPr>
                <w:rFonts w:eastAsiaTheme="minorEastAsia" w:hint="eastAsia"/>
              </w:rPr>
              <w:t>inelastic</w:t>
            </w:r>
          </w:p>
        </w:tc>
      </w:tr>
      <w:tr w:rsidR="00781442" w14:paraId="4706C418" w14:textId="77777777">
        <w:trPr>
          <w:trHeight w:val="276"/>
        </w:trPr>
        <w:tc>
          <w:tcPr>
            <w:tcW w:w="1271" w:type="dxa"/>
            <w:noWrap/>
          </w:tcPr>
          <w:p w14:paraId="071ED75B" w14:textId="77777777" w:rsidR="00781442" w:rsidRDefault="00000000">
            <w:pPr>
              <w:rPr>
                <w:rFonts w:eastAsiaTheme="minorEastAsia"/>
              </w:rPr>
            </w:pPr>
            <w:r>
              <w:rPr>
                <w:rFonts w:eastAsiaTheme="minorEastAsia" w:hint="eastAsia"/>
              </w:rPr>
              <w:lastRenderedPageBreak/>
              <w:t>2021/07</w:t>
            </w:r>
          </w:p>
        </w:tc>
        <w:tc>
          <w:tcPr>
            <w:tcW w:w="1276" w:type="dxa"/>
            <w:noWrap/>
          </w:tcPr>
          <w:p w14:paraId="45387BF3" w14:textId="77777777" w:rsidR="00781442" w:rsidRDefault="00000000">
            <w:pPr>
              <w:rPr>
                <w:rFonts w:eastAsiaTheme="minorEastAsia"/>
              </w:rPr>
            </w:pPr>
            <w:r>
              <w:rPr>
                <w:rFonts w:eastAsiaTheme="minorEastAsia" w:hint="eastAsia"/>
              </w:rPr>
              <w:t>19.16279</w:t>
            </w:r>
          </w:p>
        </w:tc>
        <w:tc>
          <w:tcPr>
            <w:tcW w:w="1510" w:type="dxa"/>
            <w:noWrap/>
          </w:tcPr>
          <w:p w14:paraId="22F7F478" w14:textId="77777777" w:rsidR="00781442" w:rsidRDefault="00000000">
            <w:pPr>
              <w:rPr>
                <w:rFonts w:eastAsiaTheme="minorEastAsia"/>
              </w:rPr>
            </w:pPr>
            <w:r>
              <w:rPr>
                <w:rFonts w:eastAsiaTheme="minorEastAsia" w:hint="eastAsia"/>
              </w:rPr>
              <w:t>21612.11</w:t>
            </w:r>
          </w:p>
        </w:tc>
        <w:tc>
          <w:tcPr>
            <w:tcW w:w="1150" w:type="dxa"/>
            <w:noWrap/>
          </w:tcPr>
          <w:p w14:paraId="1D6A553F" w14:textId="77777777" w:rsidR="00781442" w:rsidRDefault="00000000">
            <w:pPr>
              <w:rPr>
                <w:rFonts w:eastAsiaTheme="minorEastAsia"/>
              </w:rPr>
            </w:pPr>
            <w:r>
              <w:rPr>
                <w:rFonts w:eastAsiaTheme="minorEastAsia" w:hint="eastAsia"/>
              </w:rPr>
              <w:t>1.60%</w:t>
            </w:r>
          </w:p>
        </w:tc>
        <w:tc>
          <w:tcPr>
            <w:tcW w:w="1309" w:type="dxa"/>
            <w:noWrap/>
          </w:tcPr>
          <w:p w14:paraId="13550777" w14:textId="77777777" w:rsidR="00781442" w:rsidRDefault="00000000">
            <w:pPr>
              <w:rPr>
                <w:rFonts w:eastAsiaTheme="minorEastAsia"/>
              </w:rPr>
            </w:pPr>
            <w:r>
              <w:rPr>
                <w:rFonts w:eastAsiaTheme="minorEastAsia" w:hint="eastAsia"/>
              </w:rPr>
              <w:t>0.77%</w:t>
            </w:r>
          </w:p>
        </w:tc>
        <w:tc>
          <w:tcPr>
            <w:tcW w:w="1123" w:type="dxa"/>
            <w:noWrap/>
          </w:tcPr>
          <w:p w14:paraId="400C0ED6" w14:textId="77777777" w:rsidR="00781442" w:rsidRDefault="00000000">
            <w:pPr>
              <w:rPr>
                <w:rFonts w:eastAsiaTheme="minorEastAsia"/>
              </w:rPr>
            </w:pPr>
            <w:r>
              <w:rPr>
                <w:rFonts w:eastAsiaTheme="minorEastAsia" w:hint="eastAsia"/>
              </w:rPr>
              <w:t>0.48</w:t>
            </w:r>
          </w:p>
        </w:tc>
        <w:tc>
          <w:tcPr>
            <w:tcW w:w="1712" w:type="dxa"/>
            <w:noWrap/>
          </w:tcPr>
          <w:p w14:paraId="29A200D5" w14:textId="77777777" w:rsidR="00781442" w:rsidRDefault="00000000">
            <w:pPr>
              <w:rPr>
                <w:rFonts w:eastAsiaTheme="minorEastAsia"/>
              </w:rPr>
            </w:pPr>
            <w:r>
              <w:rPr>
                <w:rFonts w:eastAsiaTheme="minorEastAsia" w:hint="eastAsia"/>
              </w:rPr>
              <w:t>inelastic</w:t>
            </w:r>
          </w:p>
        </w:tc>
      </w:tr>
      <w:tr w:rsidR="00781442" w14:paraId="2900FFB8" w14:textId="77777777">
        <w:trPr>
          <w:trHeight w:val="276"/>
        </w:trPr>
        <w:tc>
          <w:tcPr>
            <w:tcW w:w="1271" w:type="dxa"/>
            <w:noWrap/>
          </w:tcPr>
          <w:p w14:paraId="699DA8F4" w14:textId="77777777" w:rsidR="00781442" w:rsidRDefault="00000000">
            <w:pPr>
              <w:rPr>
                <w:rFonts w:eastAsiaTheme="minorEastAsia"/>
              </w:rPr>
            </w:pPr>
            <w:r>
              <w:rPr>
                <w:rFonts w:eastAsiaTheme="minorEastAsia" w:hint="eastAsia"/>
              </w:rPr>
              <w:t>2022/07</w:t>
            </w:r>
          </w:p>
        </w:tc>
        <w:tc>
          <w:tcPr>
            <w:tcW w:w="1276" w:type="dxa"/>
            <w:noWrap/>
          </w:tcPr>
          <w:p w14:paraId="6067897B" w14:textId="77777777" w:rsidR="00781442" w:rsidRDefault="00000000">
            <w:pPr>
              <w:rPr>
                <w:rFonts w:eastAsiaTheme="minorEastAsia"/>
              </w:rPr>
            </w:pPr>
            <w:r>
              <w:rPr>
                <w:rFonts w:eastAsiaTheme="minorEastAsia" w:hint="eastAsia"/>
              </w:rPr>
              <w:t>94.02672</w:t>
            </w:r>
          </w:p>
        </w:tc>
        <w:tc>
          <w:tcPr>
            <w:tcW w:w="1510" w:type="dxa"/>
            <w:noWrap/>
          </w:tcPr>
          <w:p w14:paraId="7F1222A6" w14:textId="77777777" w:rsidR="00781442" w:rsidRDefault="00000000">
            <w:pPr>
              <w:rPr>
                <w:rFonts w:eastAsiaTheme="minorEastAsia"/>
              </w:rPr>
            </w:pPr>
            <w:r>
              <w:rPr>
                <w:rFonts w:eastAsiaTheme="minorEastAsia" w:hint="eastAsia"/>
              </w:rPr>
              <w:t>20476.39</w:t>
            </w:r>
          </w:p>
        </w:tc>
        <w:tc>
          <w:tcPr>
            <w:tcW w:w="1150" w:type="dxa"/>
            <w:noWrap/>
          </w:tcPr>
          <w:p w14:paraId="75C83AE1" w14:textId="77777777" w:rsidR="00781442" w:rsidRDefault="00000000">
            <w:pPr>
              <w:rPr>
                <w:rFonts w:eastAsiaTheme="minorEastAsia"/>
              </w:rPr>
            </w:pPr>
            <w:r>
              <w:rPr>
                <w:rFonts w:eastAsiaTheme="minorEastAsia" w:hint="eastAsia"/>
              </w:rPr>
              <w:t>132.28%</w:t>
            </w:r>
          </w:p>
        </w:tc>
        <w:tc>
          <w:tcPr>
            <w:tcW w:w="1309" w:type="dxa"/>
            <w:noWrap/>
          </w:tcPr>
          <w:p w14:paraId="1D87BE41" w14:textId="77777777" w:rsidR="00781442" w:rsidRDefault="00000000">
            <w:pPr>
              <w:rPr>
                <w:rFonts w:eastAsiaTheme="minorEastAsia"/>
              </w:rPr>
            </w:pPr>
            <w:r>
              <w:rPr>
                <w:rFonts w:eastAsiaTheme="minorEastAsia" w:hint="eastAsia"/>
              </w:rPr>
              <w:t>-5.40%</w:t>
            </w:r>
          </w:p>
        </w:tc>
        <w:tc>
          <w:tcPr>
            <w:tcW w:w="1123" w:type="dxa"/>
            <w:noWrap/>
          </w:tcPr>
          <w:p w14:paraId="7B9A8878" w14:textId="77777777" w:rsidR="00781442" w:rsidRDefault="00000000">
            <w:pPr>
              <w:rPr>
                <w:rFonts w:eastAsiaTheme="minorEastAsia"/>
              </w:rPr>
            </w:pPr>
            <w:r>
              <w:rPr>
                <w:rFonts w:eastAsiaTheme="minorEastAsia" w:hint="eastAsia"/>
              </w:rPr>
              <w:t>0.04</w:t>
            </w:r>
          </w:p>
        </w:tc>
        <w:tc>
          <w:tcPr>
            <w:tcW w:w="1712" w:type="dxa"/>
            <w:noWrap/>
          </w:tcPr>
          <w:p w14:paraId="72726105" w14:textId="77777777" w:rsidR="00781442" w:rsidRDefault="00000000">
            <w:pPr>
              <w:rPr>
                <w:rFonts w:eastAsiaTheme="minorEastAsia"/>
              </w:rPr>
            </w:pPr>
            <w:r>
              <w:rPr>
                <w:rFonts w:eastAsiaTheme="minorEastAsia" w:hint="eastAsia"/>
              </w:rPr>
              <w:t>inelastic</w:t>
            </w:r>
          </w:p>
        </w:tc>
      </w:tr>
    </w:tbl>
    <w:p w14:paraId="265EF5E9" w14:textId="77777777" w:rsidR="00781442" w:rsidRDefault="00781442">
      <w:pPr>
        <w:rPr>
          <w:rFonts w:eastAsiaTheme="minorEastAsia"/>
        </w:rPr>
      </w:pPr>
    </w:p>
    <w:p w14:paraId="240CAABC" w14:textId="77777777" w:rsidR="00781442" w:rsidRDefault="00000000">
      <w:pPr>
        <w:spacing w:line="360" w:lineRule="auto"/>
        <w:rPr>
          <w:bCs/>
        </w:rPr>
      </w:pPr>
      <w:r>
        <w:rPr>
          <w:rFonts w:hint="eastAsia"/>
          <w:bCs/>
        </w:rPr>
        <w:t>W</w:t>
      </w:r>
      <w:r>
        <w:rPr>
          <w:bCs/>
        </w:rPr>
        <w:t>e can conclude that the demand for natural gas is inelastic.</w:t>
      </w:r>
    </w:p>
    <w:p w14:paraId="14FEC5E4" w14:textId="77777777" w:rsidR="00781442" w:rsidRDefault="00781442">
      <w:pPr>
        <w:spacing w:line="360" w:lineRule="auto"/>
        <w:ind w:firstLine="720"/>
        <w:rPr>
          <w:bCs/>
        </w:rPr>
      </w:pPr>
    </w:p>
    <w:p w14:paraId="0CFA7C45" w14:textId="77777777" w:rsidR="00781442" w:rsidRDefault="00000000">
      <w:pPr>
        <w:spacing w:line="360" w:lineRule="auto"/>
        <w:rPr>
          <w:bCs/>
        </w:rPr>
      </w:pPr>
      <w:r>
        <w:rPr>
          <w:bCs/>
        </w:rPr>
        <w:t>Other Factors:</w:t>
      </w:r>
    </w:p>
    <w:p w14:paraId="007E1EA3" w14:textId="77777777" w:rsidR="00781442" w:rsidRDefault="00000000">
      <w:pPr>
        <w:spacing w:line="360" w:lineRule="auto"/>
        <w:ind w:firstLine="720"/>
        <w:rPr>
          <w:bCs/>
        </w:rPr>
      </w:pPr>
      <w:r>
        <w:rPr>
          <w:rFonts w:hint="eastAsia"/>
          <w:bCs/>
        </w:rPr>
        <w:t>A</w:t>
      </w:r>
      <w:r>
        <w:rPr>
          <w:bCs/>
        </w:rPr>
        <w:t>s mentioned above, we observe a similar pattern of natural gas consumption in 2020 and 2022 while there is no dramatic price surge in 2020. We may conclude that the demand for natural gas is solid in the short-term. The price surge in natural gas is mainly a result of supply shortages.</w:t>
      </w:r>
    </w:p>
    <w:p w14:paraId="016A1634" w14:textId="77777777" w:rsidR="00781442" w:rsidRDefault="00000000">
      <w:pPr>
        <w:spacing w:line="360" w:lineRule="auto"/>
        <w:ind w:firstLine="720"/>
        <w:rPr>
          <w:bCs/>
        </w:rPr>
      </w:pPr>
      <w:r>
        <w:rPr>
          <w:rFonts w:hint="eastAsia"/>
          <w:bCs/>
        </w:rPr>
        <w:t>H</w:t>
      </w:r>
      <w:r>
        <w:rPr>
          <w:bCs/>
        </w:rPr>
        <w:t>owever, we do believe that in the long-term the demand for energy will be structurally changed after European Energy crisis. The Policy will be the main guidance in predicting the long-term demand for natural gas.</w:t>
      </w:r>
    </w:p>
    <w:p w14:paraId="5DE28B34" w14:textId="77777777" w:rsidR="00781442" w:rsidRDefault="00000000">
      <w:pPr>
        <w:spacing w:before="240" w:after="240"/>
        <w:jc w:val="center"/>
        <w:rPr>
          <w:rFonts w:eastAsiaTheme="minorEastAsia"/>
          <w:i/>
          <w:iCs/>
          <w:color w:val="666666"/>
          <w:sz w:val="22"/>
          <w:szCs w:val="22"/>
        </w:rPr>
      </w:pPr>
      <w:r>
        <w:rPr>
          <w:i/>
          <w:iCs/>
          <w:color w:val="666666"/>
          <w:sz w:val="22"/>
          <w:szCs w:val="22"/>
        </w:rPr>
        <w:t xml:space="preserve">Table: </w:t>
      </w:r>
      <w:proofErr w:type="spellStart"/>
      <w:proofErr w:type="gramStart"/>
      <w:r>
        <w:rPr>
          <w:i/>
          <w:iCs/>
          <w:color w:val="666666"/>
          <w:sz w:val="22"/>
          <w:szCs w:val="22"/>
        </w:rPr>
        <w:t>REPowerEU</w:t>
      </w:r>
      <w:proofErr w:type="spellEnd"/>
      <w:r>
        <w:rPr>
          <w:i/>
          <w:iCs/>
          <w:color w:val="666666"/>
          <w:sz w:val="22"/>
          <w:szCs w:val="22"/>
        </w:rPr>
        <w:t xml:space="preserve">  Plan</w:t>
      </w:r>
      <w:proofErr w:type="gramEnd"/>
    </w:p>
    <w:tbl>
      <w:tblPr>
        <w:tblStyle w:val="TableGrid"/>
        <w:tblW w:w="0" w:type="auto"/>
        <w:tblLook w:val="04A0" w:firstRow="1" w:lastRow="0" w:firstColumn="1" w:lastColumn="0" w:noHBand="0" w:noVBand="1"/>
      </w:tblPr>
      <w:tblGrid>
        <w:gridCol w:w="3539"/>
        <w:gridCol w:w="5477"/>
      </w:tblGrid>
      <w:tr w:rsidR="00781442" w14:paraId="2F0A9771" w14:textId="77777777">
        <w:tc>
          <w:tcPr>
            <w:tcW w:w="3539" w:type="dxa"/>
          </w:tcPr>
          <w:p w14:paraId="570325B6" w14:textId="77777777" w:rsidR="00781442" w:rsidRDefault="00000000">
            <w:pPr>
              <w:rPr>
                <w:rFonts w:eastAsiaTheme="minorEastAsia"/>
              </w:rPr>
            </w:pPr>
            <w:r>
              <w:rPr>
                <w:rFonts w:eastAsiaTheme="minorEastAsia" w:hint="eastAsia"/>
              </w:rPr>
              <w:t>P</w:t>
            </w:r>
            <w:r>
              <w:rPr>
                <w:rFonts w:eastAsiaTheme="minorEastAsia"/>
              </w:rPr>
              <w:t>illar</w:t>
            </w:r>
          </w:p>
        </w:tc>
        <w:tc>
          <w:tcPr>
            <w:tcW w:w="5477" w:type="dxa"/>
          </w:tcPr>
          <w:p w14:paraId="2ECAA437" w14:textId="77777777" w:rsidR="00781442" w:rsidRDefault="00000000">
            <w:pPr>
              <w:rPr>
                <w:rFonts w:eastAsiaTheme="minorEastAsia"/>
              </w:rPr>
            </w:pPr>
            <w:r>
              <w:rPr>
                <w:rFonts w:eastAsiaTheme="minorEastAsia"/>
              </w:rPr>
              <w:t xml:space="preserve">Specific </w:t>
            </w:r>
            <w:r>
              <w:rPr>
                <w:rFonts w:eastAsiaTheme="minorEastAsia" w:hint="eastAsia"/>
              </w:rPr>
              <w:t>M</w:t>
            </w:r>
            <w:r>
              <w:rPr>
                <w:rFonts w:eastAsiaTheme="minorEastAsia"/>
              </w:rPr>
              <w:t>easures</w:t>
            </w:r>
          </w:p>
        </w:tc>
      </w:tr>
      <w:tr w:rsidR="00781442" w14:paraId="5B873EC6" w14:textId="77777777">
        <w:tc>
          <w:tcPr>
            <w:tcW w:w="3539" w:type="dxa"/>
          </w:tcPr>
          <w:p w14:paraId="44608C23" w14:textId="77777777" w:rsidR="00781442" w:rsidRDefault="00000000">
            <w:pPr>
              <w:rPr>
                <w:rFonts w:eastAsiaTheme="minorEastAsia"/>
              </w:rPr>
            </w:pPr>
            <w:r>
              <w:t>Reducing energy consumption</w:t>
            </w:r>
          </w:p>
        </w:tc>
        <w:tc>
          <w:tcPr>
            <w:tcW w:w="5477" w:type="dxa"/>
          </w:tcPr>
          <w:p w14:paraId="46ECFC7F" w14:textId="43440A32" w:rsidR="00781442" w:rsidRDefault="00000000">
            <w:r>
              <w:t>In the near-term, the Commission envisages a 5% reduction in gas and oil consumption from a new ‘Playing My Part’ public information campaign, aimed at households.</w:t>
            </w:r>
          </w:p>
          <w:p w14:paraId="0C9F6F8D" w14:textId="2447FA9B" w:rsidR="00781442" w:rsidRDefault="00000000">
            <w:pPr>
              <w:rPr>
                <w:rFonts w:eastAsiaTheme="minorEastAsia"/>
              </w:rPr>
            </w:pPr>
            <w:r>
              <w:t>Over the medium term, regulatory measures to improve the energy efficiency of buildings and to enhance product sustainability are expected to lead to further savings. Concretely, the EC proposes to increase the planned energy demand reduction by 2030 (relative to 2020) in the energy efficiency directive from 9 to 13%</w:t>
            </w:r>
          </w:p>
        </w:tc>
      </w:tr>
      <w:tr w:rsidR="00781442" w14:paraId="4C0ABA5B" w14:textId="77777777">
        <w:tc>
          <w:tcPr>
            <w:tcW w:w="3539" w:type="dxa"/>
          </w:tcPr>
          <w:p w14:paraId="6E8027DD" w14:textId="77777777" w:rsidR="00781442" w:rsidRDefault="00000000">
            <w:pPr>
              <w:rPr>
                <w:rFonts w:eastAsiaTheme="minorEastAsia"/>
              </w:rPr>
            </w:pPr>
            <w:r>
              <w:t>Diversifying supplies</w:t>
            </w:r>
          </w:p>
        </w:tc>
        <w:tc>
          <w:tcPr>
            <w:tcW w:w="5477" w:type="dxa"/>
          </w:tcPr>
          <w:p w14:paraId="458645BE" w14:textId="77777777" w:rsidR="00781442" w:rsidRDefault="00000000">
            <w:r>
              <w:t>A new EU Energy Platform has been established to support voluntary joint purchases of gas, LNG, and hydrogen. Operationally, the platform primarily supports information sharing between members states.</w:t>
            </w:r>
          </w:p>
          <w:p w14:paraId="4B2E589F" w14:textId="77777777" w:rsidR="00781442" w:rsidRDefault="00000000">
            <w:pPr>
              <w:rPr>
                <w:rFonts w:eastAsiaTheme="minorEastAsia"/>
              </w:rPr>
            </w:pPr>
            <w:r>
              <w:t>The EC is considering a voluntary ‘joint purchasing mechanism’ to negotiate gas import contracts on behalf of multiple countries.</w:t>
            </w:r>
          </w:p>
        </w:tc>
      </w:tr>
      <w:tr w:rsidR="00781442" w14:paraId="0EE064BE" w14:textId="77777777">
        <w:tc>
          <w:tcPr>
            <w:tcW w:w="3539" w:type="dxa"/>
          </w:tcPr>
          <w:p w14:paraId="529C12CB" w14:textId="77777777" w:rsidR="00781442" w:rsidRDefault="00000000">
            <w:pPr>
              <w:rPr>
                <w:rFonts w:eastAsiaTheme="minorEastAsia"/>
              </w:rPr>
            </w:pPr>
            <w:r>
              <w:t>Accelerating the green transition</w:t>
            </w:r>
          </w:p>
        </w:tc>
        <w:tc>
          <w:tcPr>
            <w:tcW w:w="5477" w:type="dxa"/>
          </w:tcPr>
          <w:p w14:paraId="4889D880" w14:textId="77777777" w:rsidR="00781442" w:rsidRDefault="00000000">
            <w:r>
              <w:t>Solar is a key pillar of the more ambitious renewable roll-out, with the EC aiming to double installed capacity by 2025 from today and again by 2030. Likewise, wind energy rollout is to be accelerated by significantly streamlining permitting.</w:t>
            </w:r>
          </w:p>
          <w:p w14:paraId="6B438FC6" w14:textId="77777777" w:rsidR="00781442" w:rsidRDefault="00000000">
            <w:r>
              <w:lastRenderedPageBreak/>
              <w:t>Accelerate the heat pump rollout, with an accompanying push to increase domestic European production networks.</w:t>
            </w:r>
          </w:p>
          <w:p w14:paraId="19EF80A4" w14:textId="77777777" w:rsidR="00781442" w:rsidRDefault="00000000">
            <w:r>
              <w:t>An ambitious target for green hydrogen production and imports of a total of 20 million tons by 2030 was set. This will require investments in the order of 25-50 billion Euros. Detailed infrastructure needs will be mapped by March 2023.</w:t>
            </w:r>
          </w:p>
          <w:p w14:paraId="1426C1A9" w14:textId="77777777" w:rsidR="00781442" w:rsidRDefault="00000000">
            <w:r>
              <w:t>Biomethane gas production is planned to ramp up to 35BCM, at a cost of 37 billion Euros by 2030.</w:t>
            </w:r>
          </w:p>
          <w:p w14:paraId="2DE03F12" w14:textId="77777777" w:rsidR="00781442" w:rsidRDefault="00000000">
            <w:pPr>
              <w:rPr>
                <w:rFonts w:eastAsiaTheme="minorEastAsia"/>
              </w:rPr>
            </w:pPr>
            <w:r>
              <w:t>National permitting procedures are to be significantly facilitated in line with guidance provided by the EC,</w:t>
            </w:r>
          </w:p>
        </w:tc>
      </w:tr>
      <w:tr w:rsidR="00781442" w14:paraId="2123312B" w14:textId="77777777">
        <w:tc>
          <w:tcPr>
            <w:tcW w:w="3539" w:type="dxa"/>
          </w:tcPr>
          <w:p w14:paraId="51858046" w14:textId="77777777" w:rsidR="00781442" w:rsidRDefault="00000000">
            <w:pPr>
              <w:rPr>
                <w:rFonts w:eastAsiaTheme="minorEastAsia"/>
              </w:rPr>
            </w:pPr>
            <w:r>
              <w:t>Improved connectivity within Europe</w:t>
            </w:r>
          </w:p>
        </w:tc>
        <w:tc>
          <w:tcPr>
            <w:tcW w:w="5477" w:type="dxa"/>
          </w:tcPr>
          <w:p w14:paraId="0996E090" w14:textId="77777777" w:rsidR="00781442" w:rsidRDefault="00000000">
            <w:r>
              <w:t>Ongoing infrastructure improvements (e.g., the gas interconnector between Poland and Lithuania and the Baltic pipeline between Denmark and Poland) will add transmission capacity in 2022. Recently acquired floating LNG terminals in Germany and Finland will ease infrastructure bottlenecks during 2023.</w:t>
            </w:r>
          </w:p>
          <w:p w14:paraId="7C31B3B3" w14:textId="77777777" w:rsidR="00781442" w:rsidRDefault="00000000">
            <w:r>
              <w:t>Additional priority projects at a cost of €10bn were identified (</w:t>
            </w:r>
            <w:proofErr w:type="gramStart"/>
            <w:r>
              <w:t>e.g.</w:t>
            </w:r>
            <w:proofErr w:type="gramEnd"/>
            <w:r>
              <w:t xml:space="preserve"> capacity for flows from France and Belgium into Germany) which would remove internal infrastructure bottlenecks over the next few years.</w:t>
            </w:r>
          </w:p>
          <w:p w14:paraId="19C7CD7F" w14:textId="77777777" w:rsidR="00781442" w:rsidRDefault="00000000">
            <w:pPr>
              <w:rPr>
                <w:rFonts w:eastAsiaTheme="minorEastAsia"/>
              </w:rPr>
            </w:pPr>
            <w:r>
              <w:t>Investment is also planned in the electrical power grid (€39bn), consistent with a greater reliance on renewable power generation</w:t>
            </w:r>
          </w:p>
        </w:tc>
      </w:tr>
      <w:tr w:rsidR="00781442" w14:paraId="1EA88157" w14:textId="77777777">
        <w:tc>
          <w:tcPr>
            <w:tcW w:w="3539" w:type="dxa"/>
          </w:tcPr>
          <w:p w14:paraId="5E2202A8" w14:textId="77777777" w:rsidR="00781442" w:rsidRDefault="00000000">
            <w:pPr>
              <w:rPr>
                <w:rFonts w:eastAsiaTheme="minorEastAsia"/>
              </w:rPr>
            </w:pPr>
            <w:r>
              <w:t>Emergency preparedness</w:t>
            </w:r>
          </w:p>
        </w:tc>
        <w:tc>
          <w:tcPr>
            <w:tcW w:w="5477" w:type="dxa"/>
          </w:tcPr>
          <w:p w14:paraId="59CCBE2C" w14:textId="7865C8FF" w:rsidR="00781442" w:rsidRDefault="00000000">
            <w:pPr>
              <w:rPr>
                <w:rFonts w:eastAsiaTheme="minorEastAsia"/>
              </w:rPr>
            </w:pPr>
            <w:r>
              <w:t xml:space="preserve">To prepare for a possible disruption </w:t>
            </w:r>
            <w:proofErr w:type="spellStart"/>
            <w:r>
              <w:t>scenarios,the</w:t>
            </w:r>
            <w:proofErr w:type="spellEnd"/>
            <w:r>
              <w:t xml:space="preserve"> following steps are proposed: (</w:t>
            </w:r>
            <w:proofErr w:type="spellStart"/>
            <w:r>
              <w:t>i</w:t>
            </w:r>
            <w:proofErr w:type="spellEnd"/>
            <w:r>
              <w:t>) swift adoption of the proposed storage regulation (mandating minimum 80% storage levels by October 1), (ii) short-term energy savings efforts, (iii) member states update contingency plans; (iv) Convince transmission systems operators (TSOs) to fast-track technical measures which can increase the reverse flow capacities from west to east by next winter and (v) conclude outstanding bilateral solidarity agreements</w:t>
            </w:r>
          </w:p>
        </w:tc>
      </w:tr>
    </w:tbl>
    <w:p w14:paraId="4176BAE6" w14:textId="77777777" w:rsidR="00781442" w:rsidRDefault="00000000">
      <w:pPr>
        <w:spacing w:before="240" w:after="240"/>
        <w:rPr>
          <w:rFonts w:eastAsiaTheme="minorEastAsia"/>
          <w:i/>
          <w:iCs/>
          <w:color w:val="595959"/>
          <w:sz w:val="22"/>
          <w:szCs w:val="22"/>
          <w:shd w:val="clear" w:color="auto" w:fill="FFFFFF"/>
        </w:rPr>
      </w:pPr>
      <w:r>
        <w:rPr>
          <w:i/>
          <w:iCs/>
          <w:color w:val="595959"/>
          <w:sz w:val="22"/>
          <w:szCs w:val="22"/>
        </w:rPr>
        <w:t xml:space="preserve">Source: </w:t>
      </w:r>
      <w:r>
        <w:rPr>
          <w:i/>
          <w:iCs/>
          <w:color w:val="595959"/>
          <w:sz w:val="22"/>
          <w:szCs w:val="22"/>
          <w:shd w:val="clear" w:color="auto" w:fill="FFFFFF"/>
        </w:rPr>
        <w:t>IMF</w:t>
      </w:r>
    </w:p>
    <w:p w14:paraId="02ECF0A9" w14:textId="77777777" w:rsidR="00781442" w:rsidRDefault="00781442">
      <w:pPr>
        <w:spacing w:line="360" w:lineRule="auto"/>
        <w:rPr>
          <w:rFonts w:eastAsiaTheme="minorEastAsia"/>
          <w:bCs/>
        </w:rPr>
      </w:pPr>
      <w:bookmarkStart w:id="15" w:name="_Toc117700790"/>
    </w:p>
    <w:p w14:paraId="56D93479" w14:textId="77777777" w:rsidR="00781442" w:rsidRDefault="00000000">
      <w:pPr>
        <w:pStyle w:val="Heading1"/>
        <w:spacing w:line="360" w:lineRule="auto"/>
        <w:rPr>
          <w:szCs w:val="36"/>
        </w:rPr>
      </w:pPr>
      <w:r>
        <w:rPr>
          <w:rFonts w:ascii="Times New Roman" w:hAnsi="Times New Roman" w:cs="Times New Roman"/>
          <w:szCs w:val="36"/>
        </w:rPr>
        <w:t>3. Case Study: Germany</w:t>
      </w:r>
    </w:p>
    <w:p w14:paraId="65BEDED3" w14:textId="77777777" w:rsidR="00781442" w:rsidRDefault="00000000">
      <w:pPr>
        <w:spacing w:line="360" w:lineRule="auto"/>
        <w:ind w:firstLine="720"/>
        <w:rPr>
          <w:bCs/>
        </w:rPr>
      </w:pPr>
      <w:r>
        <w:rPr>
          <w:bCs/>
        </w:rPr>
        <w:t>The logic behind the "cancellation" of carbon neutrality plans in Britain, Denmark and the UK? Take Germany, for example.</w:t>
      </w:r>
    </w:p>
    <w:p w14:paraId="66771F77" w14:textId="77777777" w:rsidR="00781442" w:rsidRDefault="00000000">
      <w:pPr>
        <w:spacing w:line="360" w:lineRule="auto"/>
        <w:ind w:firstLine="720"/>
        <w:rPr>
          <w:bCs/>
        </w:rPr>
      </w:pPr>
      <w:r>
        <w:rPr>
          <w:bCs/>
        </w:rPr>
        <w:lastRenderedPageBreak/>
        <w:t>The German parliamentary Committee on Climate Protection and Energy abandoned the "greenhouse gas emission neutrality by 2035" target and replaced it with "once the coal phase-out is completed and greenhouse gas neutrality in the electricity supply is achieved, the further expansion of renewable energy will be market-driven".</w:t>
      </w:r>
    </w:p>
    <w:p w14:paraId="1B0D56B4" w14:textId="77777777" w:rsidR="00781442" w:rsidRDefault="00781442">
      <w:pPr>
        <w:spacing w:line="360" w:lineRule="auto"/>
        <w:ind w:firstLine="720"/>
        <w:rPr>
          <w:bCs/>
        </w:rPr>
      </w:pPr>
    </w:p>
    <w:p w14:paraId="69C3EC5A" w14:textId="77777777" w:rsidR="00781442" w:rsidRDefault="00000000">
      <w:pPr>
        <w:spacing w:line="360" w:lineRule="auto"/>
        <w:rPr>
          <w:color w:val="003300"/>
          <w:szCs w:val="26"/>
        </w:rPr>
      </w:pPr>
      <w:r>
        <w:rPr>
          <w:color w:val="003300"/>
          <w:szCs w:val="26"/>
        </w:rPr>
        <w:t>3.1.</w:t>
      </w:r>
      <w:r>
        <w:rPr>
          <w:color w:val="003300"/>
          <w:szCs w:val="26"/>
        </w:rPr>
        <w:tab/>
        <w:t xml:space="preserve">Supply side: </w:t>
      </w:r>
    </w:p>
    <w:p w14:paraId="1C4F39C3" w14:textId="77777777" w:rsidR="00781442" w:rsidRDefault="00000000">
      <w:pPr>
        <w:spacing w:line="360" w:lineRule="auto"/>
        <w:ind w:firstLine="720"/>
        <w:rPr>
          <w:bCs/>
        </w:rPr>
      </w:pPr>
      <w:r>
        <w:rPr>
          <w:bCs/>
        </w:rPr>
        <w:t>a)         Electricity supply is short; Energy alternatives are urgently needed; Russia cut of Natural gas supply due to Russo-Ukrainian War</w:t>
      </w:r>
    </w:p>
    <w:p w14:paraId="2667AFC7" w14:textId="77777777" w:rsidR="00781442" w:rsidRDefault="00000000">
      <w:pPr>
        <w:spacing w:line="360" w:lineRule="auto"/>
        <w:ind w:firstLine="720"/>
        <w:rPr>
          <w:bCs/>
        </w:rPr>
      </w:pPr>
      <w:r>
        <w:rPr>
          <w:bCs/>
        </w:rPr>
        <w:t xml:space="preserve">In recent years, EU has gradually shrunk its natural gas production, while increasing import of Russian gas. Until the conflict broke out, Gazprom accounted for 40% of the EU's gas consumption. Germany, the most dependent on Gazprom among EU members had </w:t>
      </w:r>
      <w:proofErr w:type="gramStart"/>
      <w:r>
        <w:rPr>
          <w:bCs/>
        </w:rPr>
        <w:t>took</w:t>
      </w:r>
      <w:proofErr w:type="gramEnd"/>
      <w:r>
        <w:rPr>
          <w:bCs/>
        </w:rPr>
        <w:t xml:space="preserve"> the hardest hit, with 55%-60% of its Natural gas supplied by Gazprom.</w:t>
      </w:r>
    </w:p>
    <w:p w14:paraId="72CF3923" w14:textId="77777777" w:rsidR="00781442" w:rsidRDefault="00000000">
      <w:pPr>
        <w:spacing w:line="360" w:lineRule="auto"/>
        <w:ind w:firstLine="720"/>
        <w:rPr>
          <w:bCs/>
        </w:rPr>
      </w:pPr>
      <w:r>
        <w:rPr>
          <w:bCs/>
        </w:rPr>
        <w:t>We will mainly discuss Germany, as Germany is the largest Gazprom importing member of EU and was the most influenced.</w:t>
      </w:r>
    </w:p>
    <w:p w14:paraId="12CFD75F" w14:textId="77777777" w:rsidR="00781442" w:rsidRDefault="00000000">
      <w:pPr>
        <w:spacing w:line="360" w:lineRule="auto"/>
        <w:ind w:firstLine="720"/>
        <w:rPr>
          <w:bCs/>
        </w:rPr>
      </w:pPr>
      <w:r>
        <w:rPr>
          <w:bCs/>
        </w:rPr>
        <w:t xml:space="preserve">In total, Germany's power balance had been tight in 2022, with monthly energy output barely covering the consumption. The soaring cost of fossil fuel, the disadvantaging climate change causing limited energy generated by renewable energy like wind, directly applying pressure on electricity production. With the damage to Nord Stream 1, Gazprom's imports </w:t>
      </w:r>
      <w:proofErr w:type="gramStart"/>
      <w:r>
        <w:rPr>
          <w:bCs/>
        </w:rPr>
        <w:t>is</w:t>
      </w:r>
      <w:proofErr w:type="gramEnd"/>
      <w:r>
        <w:rPr>
          <w:bCs/>
        </w:rPr>
        <w:t xml:space="preserve"> not within the foreseeable future.</w:t>
      </w:r>
    </w:p>
    <w:p w14:paraId="4A862177" w14:textId="77777777" w:rsidR="00781442" w:rsidRDefault="00000000">
      <w:pPr>
        <w:spacing w:line="360" w:lineRule="auto"/>
        <w:rPr>
          <w:bCs/>
        </w:rPr>
      </w:pPr>
      <w:r>
        <w:rPr>
          <w:bCs/>
        </w:rPr>
        <w:t xml:space="preserve">  </w:t>
      </w:r>
      <w:r>
        <w:rPr>
          <w:bCs/>
        </w:rPr>
        <w:tab/>
      </w:r>
      <w:r>
        <w:rPr>
          <w:bCs/>
        </w:rPr>
        <w:tab/>
        <w:t>ii.        Gazprom is the source of 15-20% German electricity</w:t>
      </w:r>
    </w:p>
    <w:p w14:paraId="16BEB6C9" w14:textId="2EC08505" w:rsidR="00781442" w:rsidRDefault="00000000">
      <w:pPr>
        <w:spacing w:line="360" w:lineRule="auto"/>
        <w:rPr>
          <w:bCs/>
        </w:rPr>
      </w:pPr>
      <w:r>
        <w:rPr>
          <w:bCs/>
        </w:rPr>
        <w:t>In July, for example, hydropower accounted for about 5%, nuclear power for about 7.17%, fossil fuel power for about 41.20%, and renewable energy for about 44.8%. Germany’s dominant energy sources are renewable energy and fossil fuel energy generation.</w:t>
      </w:r>
    </w:p>
    <w:p w14:paraId="2D770DB8" w14:textId="2ABBDD8B" w:rsidR="00781442" w:rsidRDefault="00000000">
      <w:pPr>
        <w:spacing w:line="360" w:lineRule="auto"/>
        <w:ind w:firstLine="720"/>
        <w:rPr>
          <w:bCs/>
        </w:rPr>
      </w:pPr>
      <w:r>
        <w:rPr>
          <w:bCs/>
        </w:rPr>
        <w:t>According to the 2021 data of German energy consumption, natural gas from Gazprom accounted for 55% of its total consumption.</w:t>
      </w:r>
    </w:p>
    <w:p w14:paraId="4B56175F" w14:textId="77777777" w:rsidR="00781442" w:rsidRDefault="00000000">
      <w:pPr>
        <w:spacing w:line="360" w:lineRule="auto"/>
        <w:rPr>
          <w:bCs/>
        </w:rPr>
      </w:pPr>
      <w:r>
        <w:rPr>
          <w:bCs/>
        </w:rPr>
        <w:t xml:space="preserve">            </w:t>
      </w:r>
      <w:r>
        <w:rPr>
          <w:bCs/>
        </w:rPr>
        <w:tab/>
        <w:t>iii.        Estimated gaps</w:t>
      </w:r>
    </w:p>
    <w:p w14:paraId="40CB74F3" w14:textId="042EF757" w:rsidR="00781442" w:rsidRDefault="00000000">
      <w:pPr>
        <w:spacing w:line="360" w:lineRule="auto"/>
        <w:ind w:firstLine="720"/>
        <w:rPr>
          <w:bCs/>
        </w:rPr>
      </w:pPr>
      <w:r>
        <w:rPr>
          <w:bCs/>
        </w:rPr>
        <w:t xml:space="preserve">According to the calculation of the total shutdown of Gazprom, there will be a total power shortfall of 8.25%-12% in Germany at present. In July this year, the member states of the European Union agreed to "voluntarily cut" the gas consumption by 15% from August this year to March next year to cope with the energy shortage. </w:t>
      </w:r>
      <w:proofErr w:type="spellStart"/>
      <w:r>
        <w:rPr>
          <w:bCs/>
        </w:rPr>
        <w:t>Deutsche's</w:t>
      </w:r>
      <w:proofErr w:type="spellEnd"/>
      <w:r>
        <w:rPr>
          <w:bCs/>
        </w:rPr>
        <w:t xml:space="preserve"> models show that if Germany were to cut demand by 20%, it could survive the winter even in the event of a total </w:t>
      </w:r>
      <w:r>
        <w:rPr>
          <w:bCs/>
        </w:rPr>
        <w:lastRenderedPageBreak/>
        <w:t>disruption to Gazprom, at the cost of using up most of its current gas storage before the end of the heating season.</w:t>
      </w:r>
    </w:p>
    <w:p w14:paraId="58525529" w14:textId="77777777" w:rsidR="00781442" w:rsidRDefault="00781442">
      <w:pPr>
        <w:spacing w:line="360" w:lineRule="auto"/>
        <w:rPr>
          <w:bCs/>
        </w:rPr>
      </w:pPr>
    </w:p>
    <w:p w14:paraId="6999D94A" w14:textId="77777777" w:rsidR="00781442" w:rsidRDefault="00000000">
      <w:pPr>
        <w:spacing w:line="360" w:lineRule="auto"/>
        <w:ind w:firstLine="720"/>
        <w:rPr>
          <w:bCs/>
        </w:rPr>
      </w:pPr>
      <w:r>
        <w:rPr>
          <w:bCs/>
        </w:rPr>
        <w:t xml:space="preserve">b)  </w:t>
      </w:r>
      <w:r>
        <w:rPr>
          <w:bCs/>
        </w:rPr>
        <w:tab/>
        <w:t>Fossil energy substitution</w:t>
      </w:r>
    </w:p>
    <w:p w14:paraId="4E31CC17" w14:textId="77777777" w:rsidR="00781442" w:rsidRDefault="00000000">
      <w:pPr>
        <w:spacing w:line="360" w:lineRule="auto"/>
        <w:rPr>
          <w:bCs/>
        </w:rPr>
      </w:pPr>
      <w:r>
        <w:rPr>
          <w:bCs/>
        </w:rPr>
        <w:t xml:space="preserve">               </w:t>
      </w:r>
      <w:r>
        <w:rPr>
          <w:bCs/>
        </w:rPr>
        <w:tab/>
      </w:r>
      <w:proofErr w:type="spellStart"/>
      <w:r>
        <w:rPr>
          <w:bCs/>
        </w:rPr>
        <w:t>i</w:t>
      </w:r>
      <w:proofErr w:type="spellEnd"/>
      <w:r>
        <w:rPr>
          <w:bCs/>
        </w:rPr>
        <w:t xml:space="preserve">.       </w:t>
      </w:r>
      <w:r>
        <w:rPr>
          <w:bCs/>
        </w:rPr>
        <w:tab/>
        <w:t>Natural gas (non-Russian)</w:t>
      </w:r>
    </w:p>
    <w:p w14:paraId="676F70E2" w14:textId="77777777" w:rsidR="00781442" w:rsidRDefault="00000000">
      <w:pPr>
        <w:spacing w:line="360" w:lineRule="auto"/>
        <w:ind w:firstLine="720"/>
        <w:rPr>
          <w:bCs/>
        </w:rPr>
      </w:pPr>
      <w:r>
        <w:rPr>
          <w:bCs/>
        </w:rPr>
        <w:t>Experts say security of supply is guaranteed. The situation was "tense but stable". Gas storage tanks are 96% full, and storage levels are higher than in 2015, 2017, 2018 and 2021.</w:t>
      </w:r>
    </w:p>
    <w:p w14:paraId="394A88D6" w14:textId="77777777" w:rsidR="00781442" w:rsidRDefault="00000000">
      <w:pPr>
        <w:spacing w:line="360" w:lineRule="auto"/>
        <w:rPr>
          <w:bCs/>
        </w:rPr>
      </w:pPr>
      <w:r>
        <w:rPr>
          <w:bCs/>
        </w:rPr>
        <w:t xml:space="preserve">              </w:t>
      </w:r>
      <w:r>
        <w:rPr>
          <w:bCs/>
        </w:rPr>
        <w:tab/>
        <w:t xml:space="preserve">ii.       </w:t>
      </w:r>
      <w:r>
        <w:rPr>
          <w:bCs/>
        </w:rPr>
        <w:tab/>
        <w:t>LND (Liquefied Natural gas)</w:t>
      </w:r>
    </w:p>
    <w:p w14:paraId="7B704172" w14:textId="77777777" w:rsidR="00781442" w:rsidRDefault="00000000">
      <w:pPr>
        <w:spacing w:line="360" w:lineRule="auto"/>
        <w:ind w:firstLine="720"/>
        <w:rPr>
          <w:bCs/>
        </w:rPr>
      </w:pPr>
      <w:r>
        <w:rPr>
          <w:bCs/>
        </w:rPr>
        <w:t>The German government leases five floating LNG Storage tank to import liquefied gas. Only three will be available this winter. The other two will be available in early 2023/24.</w:t>
      </w:r>
    </w:p>
    <w:p w14:paraId="1C8BAC1A" w14:textId="77777777" w:rsidR="00781442" w:rsidRDefault="00000000">
      <w:pPr>
        <w:spacing w:line="360" w:lineRule="auto"/>
        <w:rPr>
          <w:bCs/>
        </w:rPr>
      </w:pPr>
      <w:r>
        <w:rPr>
          <w:bCs/>
        </w:rPr>
        <w:t xml:space="preserve">            </w:t>
      </w:r>
      <w:r>
        <w:rPr>
          <w:bCs/>
        </w:rPr>
        <w:tab/>
        <w:t xml:space="preserve">iii.       </w:t>
      </w:r>
      <w:r>
        <w:rPr>
          <w:bCs/>
        </w:rPr>
        <w:tab/>
        <w:t>The coal</w:t>
      </w:r>
    </w:p>
    <w:p w14:paraId="35561453" w14:textId="77777777" w:rsidR="00781442" w:rsidRDefault="00000000">
      <w:pPr>
        <w:spacing w:line="360" w:lineRule="auto"/>
        <w:rPr>
          <w:bCs/>
        </w:rPr>
      </w:pPr>
      <w:r>
        <w:rPr>
          <w:bCs/>
        </w:rPr>
        <w:t xml:space="preserve">            </w:t>
      </w:r>
      <w:r>
        <w:rPr>
          <w:bCs/>
        </w:rPr>
        <w:tab/>
        <w:t xml:space="preserve">iv.       </w:t>
      </w:r>
      <w:r>
        <w:rPr>
          <w:bCs/>
        </w:rPr>
        <w:tab/>
        <w:t>In the classified government documents, experts assessed the security of coal supplies as "tight but manageable". Despite the current coal embargo on Russia, there is still enough coal to keep fuel flowing. The document also noted that new coal plants in southern Germany would not be filled "until winter." The document also shows the power structure in chart form for calendar weeks 38-41 (from September 19 to October 16). 7.2% of electricity comes from nuclear power and 21.7% from lignite. Without these two sources of electricity, Germany may face difficulties.</w:t>
      </w:r>
    </w:p>
    <w:p w14:paraId="42567471" w14:textId="77777777" w:rsidR="00781442" w:rsidRDefault="00000000">
      <w:pPr>
        <w:spacing w:line="360" w:lineRule="auto"/>
        <w:ind w:firstLine="720"/>
        <w:rPr>
          <w:bCs/>
        </w:rPr>
      </w:pPr>
      <w:r>
        <w:rPr>
          <w:bCs/>
        </w:rPr>
        <w:t xml:space="preserve">c)   </w:t>
      </w:r>
      <w:r>
        <w:rPr>
          <w:bCs/>
        </w:rPr>
        <w:tab/>
      </w:r>
      <w:proofErr w:type="gramStart"/>
      <w:r>
        <w:rPr>
          <w:bCs/>
        </w:rPr>
        <w:t>Clean</w:t>
      </w:r>
      <w:proofErr w:type="gramEnd"/>
      <w:r>
        <w:rPr>
          <w:bCs/>
        </w:rPr>
        <w:t xml:space="preserve"> energy</w:t>
      </w:r>
    </w:p>
    <w:p w14:paraId="09BDE70D" w14:textId="77777777" w:rsidR="00781442" w:rsidRDefault="00000000">
      <w:pPr>
        <w:spacing w:line="360" w:lineRule="auto"/>
        <w:rPr>
          <w:bCs/>
        </w:rPr>
      </w:pPr>
      <w:r>
        <w:rPr>
          <w:bCs/>
        </w:rPr>
        <w:t xml:space="preserve">               </w:t>
      </w:r>
      <w:r>
        <w:rPr>
          <w:bCs/>
        </w:rPr>
        <w:tab/>
      </w:r>
      <w:proofErr w:type="spellStart"/>
      <w:r>
        <w:rPr>
          <w:bCs/>
        </w:rPr>
        <w:t>i</w:t>
      </w:r>
      <w:proofErr w:type="spellEnd"/>
      <w:r>
        <w:rPr>
          <w:bCs/>
        </w:rPr>
        <w:t xml:space="preserve">.       </w:t>
      </w:r>
      <w:r>
        <w:rPr>
          <w:bCs/>
        </w:rPr>
        <w:tab/>
      </w:r>
      <w:proofErr w:type="gramStart"/>
      <w:r>
        <w:rPr>
          <w:bCs/>
        </w:rPr>
        <w:t>Nuclear</w:t>
      </w:r>
      <w:proofErr w:type="gramEnd"/>
      <w:r>
        <w:rPr>
          <w:bCs/>
        </w:rPr>
        <w:t xml:space="preserve"> energy</w:t>
      </w:r>
    </w:p>
    <w:p w14:paraId="55558296" w14:textId="77777777" w:rsidR="00781442" w:rsidRDefault="00000000">
      <w:pPr>
        <w:spacing w:line="360" w:lineRule="auto"/>
        <w:rPr>
          <w:bCs/>
        </w:rPr>
      </w:pPr>
      <w:r>
        <w:rPr>
          <w:bCs/>
        </w:rPr>
        <w:t xml:space="preserve">Currently, the withdrawal of nuclear programs by original plan was suspended but not cancelled. The three nuclear reactors, </w:t>
      </w:r>
      <w:proofErr w:type="spellStart"/>
      <w:r>
        <w:rPr>
          <w:bCs/>
        </w:rPr>
        <w:t>Isar</w:t>
      </w:r>
      <w:proofErr w:type="spellEnd"/>
      <w:r>
        <w:rPr>
          <w:bCs/>
        </w:rPr>
        <w:t xml:space="preserve"> 2, </w:t>
      </w:r>
      <w:proofErr w:type="spellStart"/>
      <w:r>
        <w:rPr>
          <w:bCs/>
        </w:rPr>
        <w:t>Emsland</w:t>
      </w:r>
      <w:proofErr w:type="spellEnd"/>
      <w:r>
        <w:rPr>
          <w:bCs/>
        </w:rPr>
        <w:t xml:space="preserve"> and </w:t>
      </w:r>
      <w:proofErr w:type="spellStart"/>
      <w:r>
        <w:rPr>
          <w:bCs/>
        </w:rPr>
        <w:t>Neckarwestheim</w:t>
      </w:r>
      <w:proofErr w:type="spellEnd"/>
      <w:r>
        <w:rPr>
          <w:bCs/>
        </w:rPr>
        <w:t xml:space="preserve"> 2, will remain connected to the grid until April 2023.</w:t>
      </w:r>
    </w:p>
    <w:p w14:paraId="4C7F9C6B" w14:textId="77777777" w:rsidR="00781442" w:rsidRDefault="00000000">
      <w:pPr>
        <w:spacing w:line="360" w:lineRule="auto"/>
        <w:rPr>
          <w:bCs/>
        </w:rPr>
      </w:pPr>
      <w:r>
        <w:rPr>
          <w:bCs/>
        </w:rPr>
        <w:t xml:space="preserve">              </w:t>
      </w:r>
      <w:r>
        <w:rPr>
          <w:bCs/>
        </w:rPr>
        <w:tab/>
        <w:t xml:space="preserve">ii.       </w:t>
      </w:r>
      <w:r>
        <w:rPr>
          <w:bCs/>
        </w:rPr>
        <w:tab/>
        <w:t>Renewable energy</w:t>
      </w:r>
    </w:p>
    <w:p w14:paraId="56A08C3D" w14:textId="02793D67" w:rsidR="00781442" w:rsidRDefault="00000000">
      <w:pPr>
        <w:spacing w:line="360" w:lineRule="auto"/>
        <w:ind w:firstLine="720"/>
        <w:rPr>
          <w:bCs/>
        </w:rPr>
      </w:pPr>
      <w:r>
        <w:rPr>
          <w:bCs/>
        </w:rPr>
        <w:t>Renewable energy provided nearly half of Germany's electricity in the first six months of 2022, according to preliminary data released by energy industry association BDEW and research institute ZSW. Solar panels, wind turbines, biogas plants and other installations met 49% of electricity demand, up 6%age points from the same period last year. Wind turbines were the most important renewable energy source, with their share increasing from 17% to 21% and solar panels from 10% to 12%, while the country's electricity consumption fell slightly by 2 billion KWH to 281 billion KWH. In total, renewables generate 139 billion KWH of electricity and export 17 billion KWH.</w:t>
      </w:r>
    </w:p>
    <w:p w14:paraId="6830D20E" w14:textId="77777777" w:rsidR="00781442" w:rsidRDefault="00781442">
      <w:pPr>
        <w:spacing w:line="360" w:lineRule="auto"/>
        <w:rPr>
          <w:bCs/>
        </w:rPr>
      </w:pPr>
    </w:p>
    <w:p w14:paraId="33F75162" w14:textId="77777777" w:rsidR="00781442" w:rsidRDefault="00000000">
      <w:pPr>
        <w:spacing w:line="360" w:lineRule="auto"/>
        <w:rPr>
          <w:color w:val="003300"/>
          <w:szCs w:val="26"/>
        </w:rPr>
      </w:pPr>
      <w:r>
        <w:rPr>
          <w:color w:val="003300"/>
          <w:szCs w:val="26"/>
        </w:rPr>
        <w:t xml:space="preserve">3.2. </w:t>
      </w:r>
      <w:r>
        <w:rPr>
          <w:color w:val="003300"/>
          <w:szCs w:val="26"/>
        </w:rPr>
        <w:tab/>
        <w:t xml:space="preserve">The demand </w:t>
      </w:r>
      <w:proofErr w:type="gramStart"/>
      <w:r>
        <w:rPr>
          <w:color w:val="003300"/>
          <w:szCs w:val="26"/>
        </w:rPr>
        <w:t>side</w:t>
      </w:r>
      <w:proofErr w:type="gramEnd"/>
    </w:p>
    <w:p w14:paraId="31F9DE77" w14:textId="77777777" w:rsidR="00781442" w:rsidRDefault="00000000">
      <w:pPr>
        <w:spacing w:line="360" w:lineRule="auto"/>
        <w:ind w:firstLine="720"/>
        <w:rPr>
          <w:bCs/>
        </w:rPr>
      </w:pPr>
      <w:r>
        <w:rPr>
          <w:bCs/>
        </w:rPr>
        <w:t xml:space="preserve">a)  </w:t>
      </w:r>
      <w:r>
        <w:rPr>
          <w:bCs/>
        </w:rPr>
        <w:tab/>
        <w:t>German Government policy</w:t>
      </w:r>
    </w:p>
    <w:p w14:paraId="59D8481B" w14:textId="77777777" w:rsidR="00781442" w:rsidRDefault="00000000">
      <w:pPr>
        <w:spacing w:line="360" w:lineRule="auto"/>
        <w:rPr>
          <w:bCs/>
        </w:rPr>
      </w:pPr>
      <w:r>
        <w:rPr>
          <w:bCs/>
        </w:rPr>
        <w:t xml:space="preserve">               </w:t>
      </w:r>
      <w:r>
        <w:rPr>
          <w:bCs/>
        </w:rPr>
        <w:tab/>
      </w:r>
      <w:proofErr w:type="spellStart"/>
      <w:r>
        <w:rPr>
          <w:bCs/>
        </w:rPr>
        <w:t>i</w:t>
      </w:r>
      <w:proofErr w:type="spellEnd"/>
      <w:r>
        <w:rPr>
          <w:bCs/>
        </w:rPr>
        <w:t xml:space="preserve">.       </w:t>
      </w:r>
      <w:r>
        <w:rPr>
          <w:bCs/>
        </w:rPr>
        <w:tab/>
        <w:t>Aggregate demand adjustment</w:t>
      </w:r>
    </w:p>
    <w:p w14:paraId="59531B95" w14:textId="15EFD5EA" w:rsidR="00781442" w:rsidRDefault="00000000">
      <w:pPr>
        <w:spacing w:line="360" w:lineRule="auto"/>
        <w:ind w:firstLine="720"/>
        <w:rPr>
          <w:bCs/>
        </w:rPr>
      </w:pPr>
      <w:r>
        <w:rPr>
          <w:bCs/>
        </w:rPr>
        <w:t>With gas storage already at 95% of its maximum capacity, German households and businesses are still required by the energy regulator to cut their energy consumption by at least 20%. Even if Germany's gas storage facilities were fully filled, it would account for only slightly over a fifth of the country's gas consumption in 2021, Reuters reported. There is no guarantee that Europe will survive the winter at current levels of gas storage</w:t>
      </w:r>
    </w:p>
    <w:p w14:paraId="64BA758E" w14:textId="77777777" w:rsidR="00781442" w:rsidRDefault="00000000">
      <w:pPr>
        <w:spacing w:line="360" w:lineRule="auto"/>
        <w:rPr>
          <w:bCs/>
        </w:rPr>
      </w:pPr>
      <w:r>
        <w:rPr>
          <w:bCs/>
        </w:rPr>
        <w:t xml:space="preserve">              </w:t>
      </w:r>
      <w:r>
        <w:rPr>
          <w:bCs/>
        </w:rPr>
        <w:tab/>
        <w:t xml:space="preserve">ii.       </w:t>
      </w:r>
      <w:r>
        <w:rPr>
          <w:bCs/>
        </w:rPr>
        <w:tab/>
        <w:t>The pricing adjustment</w:t>
      </w:r>
    </w:p>
    <w:p w14:paraId="603CB7DA" w14:textId="77777777" w:rsidR="00781442" w:rsidRDefault="00000000">
      <w:pPr>
        <w:spacing w:line="360" w:lineRule="auto"/>
        <w:ind w:firstLine="720"/>
        <w:rPr>
          <w:bCs/>
        </w:rPr>
      </w:pPr>
      <w:r>
        <w:rPr>
          <w:bCs/>
        </w:rPr>
        <w:t>Germany's ruling coalition agreed on September 29 to impose emergency price caps on the domestic gas market and cut sales taxes to ease the economic pressure on consumers and businesses from soaring gas prices. Up to €200bn will be spent on subsidies by the spring of next year to compensate energy companies for the price cuts.</w:t>
      </w:r>
    </w:p>
    <w:p w14:paraId="14661C49" w14:textId="77777777" w:rsidR="00781442" w:rsidRDefault="00000000">
      <w:pPr>
        <w:spacing w:line="360" w:lineRule="auto"/>
        <w:ind w:firstLine="720"/>
        <w:rPr>
          <w:bCs/>
        </w:rPr>
      </w:pPr>
      <w:r>
        <w:rPr>
          <w:bCs/>
        </w:rPr>
        <w:t>In the same classified ministry document mentioned before, the German government plans to impose a cap on electricity prices for households and industry to ease the impact of soaring energy costs.</w:t>
      </w:r>
    </w:p>
    <w:p w14:paraId="2C57DA30" w14:textId="2CEE2E9F" w:rsidR="00781442" w:rsidRDefault="00000000">
      <w:pPr>
        <w:spacing w:line="360" w:lineRule="auto"/>
        <w:ind w:firstLine="720"/>
        <w:rPr>
          <w:bCs/>
        </w:rPr>
      </w:pPr>
      <w:r>
        <w:rPr>
          <w:bCs/>
        </w:rPr>
        <w:t>To help finance the cap and pay for stabilizing the grid, Berlin is considering cutting profits for power companies, according to the documents. Households and companies coping with soaring energy prices will be financed by a 200-billion-euro ($196 billion) subsidies.</w:t>
      </w:r>
    </w:p>
    <w:p w14:paraId="721B1F27" w14:textId="487F5151" w:rsidR="00781442" w:rsidRDefault="00000000">
      <w:pPr>
        <w:spacing w:line="360" w:lineRule="auto"/>
        <w:rPr>
          <w:bCs/>
        </w:rPr>
      </w:pPr>
      <w:r>
        <w:rPr>
          <w:bCs/>
        </w:rPr>
        <w:t>As part of the plan, the government plans to deduct 90% of the electricity companies’ earnings above the cost of production.</w:t>
      </w:r>
    </w:p>
    <w:p w14:paraId="15872111" w14:textId="77777777" w:rsidR="00781442" w:rsidRDefault="00781442">
      <w:pPr>
        <w:spacing w:line="360" w:lineRule="auto"/>
        <w:rPr>
          <w:bCs/>
        </w:rPr>
      </w:pPr>
    </w:p>
    <w:p w14:paraId="7C0C536D" w14:textId="77777777" w:rsidR="00781442" w:rsidRDefault="00000000">
      <w:pPr>
        <w:spacing w:line="360" w:lineRule="auto"/>
        <w:rPr>
          <w:color w:val="003300"/>
          <w:szCs w:val="26"/>
        </w:rPr>
      </w:pPr>
      <w:r>
        <w:rPr>
          <w:color w:val="003300"/>
          <w:szCs w:val="26"/>
        </w:rPr>
        <w:t xml:space="preserve">3.3. </w:t>
      </w:r>
      <w:r>
        <w:rPr>
          <w:color w:val="003300"/>
          <w:szCs w:val="26"/>
        </w:rPr>
        <w:tab/>
        <w:t>Conclusion</w:t>
      </w:r>
    </w:p>
    <w:p w14:paraId="7FE97D05" w14:textId="575F7C2C" w:rsidR="00781442" w:rsidRDefault="00000000">
      <w:pPr>
        <w:spacing w:line="360" w:lineRule="auto"/>
        <w:ind w:firstLine="720"/>
        <w:rPr>
          <w:bCs/>
        </w:rPr>
      </w:pPr>
      <w:bookmarkStart w:id="16" w:name="_Hlk118380132"/>
      <w:r>
        <w:rPr>
          <w:bCs/>
        </w:rPr>
        <w:t xml:space="preserve">Even if Germany's gas storage facilities were 100% full, they would only last two and a half months when Russian supplies were completely stopped. Unless households manage to cut gas consumption by at least 20%, avoiding emergencies amid possible rationing will be a challenge. </w:t>
      </w:r>
      <w:bookmarkEnd w:id="16"/>
      <w:r>
        <w:rPr>
          <w:bCs/>
        </w:rPr>
        <w:t>Germany accounts for about a quarter of the European Union's gas storage capacity. Data show that the total capacity of gas storage facilities in Germany is around 23 billion cubic meters, just over a fifth of the 100 billion cubic meters of gas used in the country in 2021. German gas stocks could run out as early as March or April if temperatures remain normal, given that Russia has already cut supplies.</w:t>
      </w:r>
    </w:p>
    <w:p w14:paraId="3B6E35E8" w14:textId="77777777" w:rsidR="00781442" w:rsidRDefault="00000000">
      <w:pPr>
        <w:spacing w:line="360" w:lineRule="auto"/>
        <w:ind w:firstLine="720"/>
        <w:rPr>
          <w:bCs/>
        </w:rPr>
      </w:pPr>
      <w:bookmarkStart w:id="17" w:name="_Hlk118380163"/>
      <w:r>
        <w:rPr>
          <w:bCs/>
        </w:rPr>
        <w:lastRenderedPageBreak/>
        <w:t>Germany's progress on gas reserves reduces the risk of energy rationing, but that does not mean it is mitigated. The final scenario still depends on how much businesses and households reduce their energy consumption and how cold this winter gets.</w:t>
      </w:r>
    </w:p>
    <w:p w14:paraId="0E16E053" w14:textId="77777777" w:rsidR="00781442" w:rsidRDefault="00781442">
      <w:pPr>
        <w:spacing w:line="360" w:lineRule="auto"/>
        <w:rPr>
          <w:bCs/>
        </w:rPr>
      </w:pPr>
    </w:p>
    <w:p w14:paraId="1EA877DE" w14:textId="77777777" w:rsidR="00781442" w:rsidRDefault="00000000">
      <w:pPr>
        <w:pStyle w:val="Heading1"/>
        <w:spacing w:line="360" w:lineRule="auto"/>
        <w:rPr>
          <w:szCs w:val="36"/>
        </w:rPr>
      </w:pPr>
      <w:r>
        <w:rPr>
          <w:rFonts w:ascii="Times New Roman" w:hAnsi="Times New Roman" w:cs="Times New Roman"/>
          <w:szCs w:val="36"/>
        </w:rPr>
        <w:t xml:space="preserve">4. </w:t>
      </w:r>
      <w:r>
        <w:rPr>
          <w:rFonts w:ascii="Times New Roman" w:hAnsi="Times New Roman" w:cs="Times New Roman" w:hint="eastAsia"/>
          <w:szCs w:val="36"/>
        </w:rPr>
        <w:t>Forward</w:t>
      </w:r>
      <w:r>
        <w:rPr>
          <w:rFonts w:ascii="Times New Roman" w:hAnsi="Times New Roman" w:cs="Times New Roman"/>
          <w:szCs w:val="36"/>
        </w:rPr>
        <w:t xml:space="preserve"> </w:t>
      </w:r>
      <w:r>
        <w:rPr>
          <w:rFonts w:ascii="Times New Roman" w:hAnsi="Times New Roman" w:cs="Times New Roman" w:hint="eastAsia"/>
          <w:szCs w:val="36"/>
        </w:rPr>
        <w:t>looking</w:t>
      </w:r>
    </w:p>
    <w:p w14:paraId="400B3D77" w14:textId="77777777" w:rsidR="00781442" w:rsidRDefault="00000000">
      <w:pPr>
        <w:spacing w:line="360" w:lineRule="auto"/>
        <w:ind w:firstLine="720"/>
        <w:rPr>
          <w:bCs/>
        </w:rPr>
      </w:pPr>
      <w:r>
        <w:rPr>
          <w:bCs/>
        </w:rPr>
        <w:t xml:space="preserve">After the pressure on the demand side is relieved, further consumption of the accumulated inventory, rather than continuing to import high-priced LNG spot, or a possible path for the European gas market to achieve equilibrium. Therefore, on the whole, we judge that the European natural gas inventory is still likely to face super-seasonal consumption this winter, and the path of low inventory may be unavoidable, </w:t>
      </w:r>
      <w:r>
        <w:rPr>
          <w:b/>
        </w:rPr>
        <w:t>so the European gas &amp; electricity price would still under pressure until early 2023, when the heating season is coming to an end</w:t>
      </w:r>
      <w:r>
        <w:rPr>
          <w:bCs/>
        </w:rPr>
        <w:t>.</w:t>
      </w:r>
      <w:bookmarkEnd w:id="17"/>
    </w:p>
    <w:p w14:paraId="0A41D274" w14:textId="77777777" w:rsidR="00781442" w:rsidRDefault="00781442">
      <w:pPr>
        <w:spacing w:line="360" w:lineRule="auto"/>
        <w:ind w:firstLine="720"/>
        <w:rPr>
          <w:bCs/>
        </w:rPr>
      </w:pPr>
      <w:bookmarkStart w:id="18" w:name="_4wq4gpqkf8ea" w:colFirst="0" w:colLast="0"/>
      <w:bookmarkStart w:id="19" w:name="_zha15pd110qd" w:colFirst="0" w:colLast="0"/>
      <w:bookmarkEnd w:id="15"/>
      <w:bookmarkEnd w:id="18"/>
      <w:bookmarkEnd w:id="19"/>
    </w:p>
    <w:p w14:paraId="1A3365EA" w14:textId="77777777" w:rsidR="00781442" w:rsidRDefault="00781442">
      <w:pPr>
        <w:spacing w:line="360" w:lineRule="auto"/>
        <w:rPr>
          <w:bCs/>
        </w:rPr>
      </w:pPr>
      <w:bookmarkStart w:id="20" w:name="_93fw96drjdk9" w:colFirst="0" w:colLast="0"/>
      <w:bookmarkStart w:id="21" w:name="_bpxwr2qg5n2p" w:colFirst="0" w:colLast="0"/>
      <w:bookmarkStart w:id="22" w:name="_1k2rlw5gbxdi" w:colFirst="0" w:colLast="0"/>
      <w:bookmarkStart w:id="23" w:name="_2zz0xklrzor2" w:colFirst="0" w:colLast="0"/>
      <w:bookmarkStart w:id="24" w:name="_vevpdb532hek" w:colFirst="0" w:colLast="0"/>
      <w:bookmarkStart w:id="25" w:name="_pshgfrsnv2eq" w:colFirst="0" w:colLast="0"/>
      <w:bookmarkStart w:id="26" w:name="_4o17vrply3np" w:colFirst="0" w:colLast="0"/>
      <w:bookmarkStart w:id="27" w:name="_10pm8qefh67c" w:colFirst="0" w:colLast="0"/>
      <w:bookmarkStart w:id="28" w:name="_uq8p6qg43j31" w:colFirst="0" w:colLast="0"/>
      <w:bookmarkStart w:id="29" w:name="_a5rlf5p1fsu1" w:colFirst="0" w:colLast="0"/>
      <w:bookmarkEnd w:id="20"/>
      <w:bookmarkEnd w:id="21"/>
      <w:bookmarkEnd w:id="22"/>
      <w:bookmarkEnd w:id="23"/>
      <w:bookmarkEnd w:id="24"/>
      <w:bookmarkEnd w:id="25"/>
      <w:bookmarkEnd w:id="26"/>
      <w:bookmarkEnd w:id="27"/>
      <w:bookmarkEnd w:id="28"/>
      <w:bookmarkEnd w:id="29"/>
    </w:p>
    <w:sectPr w:rsidR="00781442">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79A6" w14:textId="77777777" w:rsidR="00370BEC" w:rsidRDefault="00370BEC">
      <w:r>
        <w:separator/>
      </w:r>
    </w:p>
  </w:endnote>
  <w:endnote w:type="continuationSeparator" w:id="0">
    <w:p w14:paraId="7BAE688A" w14:textId="77777777" w:rsidR="00370BEC" w:rsidRDefault="0037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Devanagari">
    <w:altName w:val="Cambria"/>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sdtPr>
    <w:sdtContent>
      <w:p w14:paraId="64AC1160" w14:textId="77777777" w:rsidR="00781442" w:rsidRDefault="00000000">
        <w:pPr>
          <w:pStyle w:val="Footer"/>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752" behindDoc="0" locked="0" layoutInCell="1" allowOverlap="1" wp14:anchorId="390102D4" wp14:editId="76D6418D">
                  <wp:simplePos x="0" y="0"/>
                  <wp:positionH relativeFrom="page">
                    <wp:posOffset>-76200</wp:posOffset>
                  </wp:positionH>
                  <wp:positionV relativeFrom="paragraph">
                    <wp:posOffset>191135</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0" o:spid="_x0000_s1026" o:spt="1" style="position:absolute;left:0pt;margin-left:-6pt;margin-top:15.05pt;height:52pt;width:165pt;mso-position-horizontal-relative:page;z-index:251660288;v-text-anchor:middle;mso-width-relative:page;mso-height-relative:page;" fillcolor="#385723 [1609]" filled="t" stroked="f" coordsize="21600,21600" o:gfxdata="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irG981wAAAAoBAAAPAAAAAAAAAAEAIAAAACIAAABkcnMvZG93bnJldi54&#10;bWxQSwECFAAUAAAACACHTuJA6A2m0m0CAADyBAAADgAAAAAAAAABACAAAAAmAQAAZHJzL2Uyb0Rv&#10;Yy54bWxQSwUGAAAAAAYABgBZAQAABQYAAAAA&#10;">
                  <v:fill on="t" focussize="0,0"/>
                  <v:stroke on="f" weight="1pt" miterlimit="8" joinstyle="miter"/>
                  <v:imagedata o:title=""/>
                  <o:lock v:ext="edit" aspectratio="f"/>
                </v:rect>
              </w:pict>
            </mc:Fallback>
          </mc:AlternateContent>
        </w:r>
        <w:r>
          <w:fldChar w:fldCharType="begin"/>
        </w:r>
        <w:r>
          <w:instrText xml:space="preserve"> PAGE   \* MERGEFORMAT </w:instrText>
        </w:r>
        <w:r>
          <w:fldChar w:fldCharType="separate"/>
        </w:r>
        <w:r>
          <w:t>2</w:t>
        </w:r>
        <w:r>
          <w:fldChar w:fldCharType="end"/>
        </w:r>
      </w:p>
    </w:sdtContent>
  </w:sdt>
  <w:p w14:paraId="38236D9C" w14:textId="77777777" w:rsidR="00781442" w:rsidRDefault="00781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D7BD" w14:textId="77777777" w:rsidR="00370BEC" w:rsidRDefault="00370BEC">
      <w:r>
        <w:separator/>
      </w:r>
    </w:p>
  </w:footnote>
  <w:footnote w:type="continuationSeparator" w:id="0">
    <w:p w14:paraId="630B3A0B" w14:textId="77777777" w:rsidR="00370BEC" w:rsidRDefault="0037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05E0" w14:textId="77777777" w:rsidR="00781442" w:rsidRDefault="00000000">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6704" behindDoc="0" locked="0" layoutInCell="1" allowOverlap="1" wp14:anchorId="34301A56" wp14:editId="346F24AB">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6pt;margin-top:-38.3pt;height:52pt;width:165pt;mso-position-horizontal-relative:page;z-index:251659264;v-text-anchor:middle;mso-width-relative:page;mso-height-relative:page;" fillcolor="#385723 [1609]" filled="t" stroked="f" coordsize="21600,21600" o:gfxdata="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Q9Ci2QAAAAoBAAAPAAAAAAAAAAEAIAAAACIAAABkcnMvZG93bnJl&#10;di54bWxQSwECFAAUAAAACACHTuJABzLA6G4CAADwBAAADgAAAAAAAAABACAAAAAoAQAAZHJzL2Uy&#10;b0RvYy54bWxQSwUGAAAAAAYABgBZAQAACAYAAAAA&#10;">
              <v:fill on="t" focussize="0,0"/>
              <v:stroke on="f" weight="1pt" miterlimit="8" joinstyle="miter"/>
              <v:imagedata o:title=""/>
              <o:lock v:ext="edit" aspectratio="f"/>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26DE7C47" wp14:editId="4052868F">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39E55A09" w14:textId="77777777" w:rsidR="00781442" w:rsidRDefault="00781442">
    <w:pPr>
      <w:rPr>
        <w:rFonts w:ascii="Adobe Devanagari" w:hAnsi="Adobe Devanagari" w:cs="Adobe Devanagari"/>
        <w:b/>
        <w:bCs/>
        <w:color w:val="A8D08D" w:themeColor="accent6" w:themeTint="99"/>
        <w:sz w:val="36"/>
        <w:szCs w:val="32"/>
      </w:rPr>
    </w:pPr>
  </w:p>
  <w:p w14:paraId="2EBBE82F" w14:textId="77777777" w:rsidR="00781442" w:rsidRDefault="00781442">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661"/>
    <w:multiLevelType w:val="multilevel"/>
    <w:tmpl w:val="026C2661"/>
    <w:lvl w:ilvl="0">
      <w:start w:val="1"/>
      <w:numFmt w:val="bullet"/>
      <w:lvlText w:val=""/>
      <w:lvlJc w:val="left"/>
      <w:pPr>
        <w:ind w:left="360" w:hanging="36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65506110">
    <w:abstractNumId w:val="1"/>
  </w:num>
  <w:num w:numId="2" w16cid:durableId="70880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3NDQ3NzKzNDM3NLJQ0lEKTi0uzszPAykwNK8FAKz7TVEtAAAA"/>
    <w:docVar w:name="APWAFVersion" w:val="5.0"/>
    <w:docVar w:name="commondata" w:val="eyJoZGlkIjoiZjNlY2M5ZjdmNTAzNjg4NmY3YThhMTVhNTc3YzNmOGUifQ=="/>
    <w:docVar w:name="KSO_WPS_MARK_KEY" w:val="461a094a-cd7b-41ea-9aa2-3a23b7befb05"/>
  </w:docVars>
  <w:rsids>
    <w:rsidRoot w:val="00C17C0B"/>
    <w:rsid w:val="0000633E"/>
    <w:rsid w:val="00013D1D"/>
    <w:rsid w:val="000140A9"/>
    <w:rsid w:val="00017F27"/>
    <w:rsid w:val="000211E8"/>
    <w:rsid w:val="00030EAC"/>
    <w:rsid w:val="0003635E"/>
    <w:rsid w:val="00036C73"/>
    <w:rsid w:val="00041E90"/>
    <w:rsid w:val="0004646C"/>
    <w:rsid w:val="000632DF"/>
    <w:rsid w:val="00072466"/>
    <w:rsid w:val="000740A7"/>
    <w:rsid w:val="000744EE"/>
    <w:rsid w:val="00074F3F"/>
    <w:rsid w:val="000754E6"/>
    <w:rsid w:val="00075FEF"/>
    <w:rsid w:val="00080526"/>
    <w:rsid w:val="00084C98"/>
    <w:rsid w:val="00096FA0"/>
    <w:rsid w:val="000A2C2B"/>
    <w:rsid w:val="000A3485"/>
    <w:rsid w:val="000A34AF"/>
    <w:rsid w:val="000A7413"/>
    <w:rsid w:val="000A7984"/>
    <w:rsid w:val="000B017C"/>
    <w:rsid w:val="000B302F"/>
    <w:rsid w:val="000B3CEF"/>
    <w:rsid w:val="000B6A35"/>
    <w:rsid w:val="000B79D4"/>
    <w:rsid w:val="000C086E"/>
    <w:rsid w:val="000C3FE9"/>
    <w:rsid w:val="000C7832"/>
    <w:rsid w:val="000D1839"/>
    <w:rsid w:val="000D25B4"/>
    <w:rsid w:val="000D5BA7"/>
    <w:rsid w:val="000E08D0"/>
    <w:rsid w:val="000E0B02"/>
    <w:rsid w:val="000E7FBA"/>
    <w:rsid w:val="000F1463"/>
    <w:rsid w:val="000F19E8"/>
    <w:rsid w:val="000F29FF"/>
    <w:rsid w:val="000F33AC"/>
    <w:rsid w:val="00107389"/>
    <w:rsid w:val="00111722"/>
    <w:rsid w:val="001136A0"/>
    <w:rsid w:val="001141A8"/>
    <w:rsid w:val="00122021"/>
    <w:rsid w:val="001227C8"/>
    <w:rsid w:val="001306C3"/>
    <w:rsid w:val="00130F22"/>
    <w:rsid w:val="00135B1D"/>
    <w:rsid w:val="00136067"/>
    <w:rsid w:val="00136A37"/>
    <w:rsid w:val="00136FD2"/>
    <w:rsid w:val="001634E2"/>
    <w:rsid w:val="00166D01"/>
    <w:rsid w:val="001679B4"/>
    <w:rsid w:val="00172A04"/>
    <w:rsid w:val="0018026D"/>
    <w:rsid w:val="00181B69"/>
    <w:rsid w:val="0018669E"/>
    <w:rsid w:val="001915CA"/>
    <w:rsid w:val="001A2704"/>
    <w:rsid w:val="001A5311"/>
    <w:rsid w:val="001A5619"/>
    <w:rsid w:val="001A74D7"/>
    <w:rsid w:val="001B1D37"/>
    <w:rsid w:val="001B1DAC"/>
    <w:rsid w:val="001B55DF"/>
    <w:rsid w:val="001B7DE4"/>
    <w:rsid w:val="001C2800"/>
    <w:rsid w:val="001D16C4"/>
    <w:rsid w:val="001D1E51"/>
    <w:rsid w:val="001E007A"/>
    <w:rsid w:val="001E08A2"/>
    <w:rsid w:val="001E2235"/>
    <w:rsid w:val="001F7094"/>
    <w:rsid w:val="00201213"/>
    <w:rsid w:val="00202DD4"/>
    <w:rsid w:val="00207D5E"/>
    <w:rsid w:val="00207EA2"/>
    <w:rsid w:val="0021036F"/>
    <w:rsid w:val="00211316"/>
    <w:rsid w:val="002135A4"/>
    <w:rsid w:val="00214BA5"/>
    <w:rsid w:val="002204E3"/>
    <w:rsid w:val="0022411D"/>
    <w:rsid w:val="00225529"/>
    <w:rsid w:val="0022591E"/>
    <w:rsid w:val="002270FE"/>
    <w:rsid w:val="00230D2C"/>
    <w:rsid w:val="00235968"/>
    <w:rsid w:val="00246DBD"/>
    <w:rsid w:val="002531BF"/>
    <w:rsid w:val="00264C51"/>
    <w:rsid w:val="00264EF0"/>
    <w:rsid w:val="00270286"/>
    <w:rsid w:val="00273777"/>
    <w:rsid w:val="00277420"/>
    <w:rsid w:val="00292D6D"/>
    <w:rsid w:val="00293632"/>
    <w:rsid w:val="0029506C"/>
    <w:rsid w:val="002A0790"/>
    <w:rsid w:val="002A2718"/>
    <w:rsid w:val="002A3908"/>
    <w:rsid w:val="002B7BBC"/>
    <w:rsid w:val="002C038A"/>
    <w:rsid w:val="002C12E0"/>
    <w:rsid w:val="002C3DD6"/>
    <w:rsid w:val="002C6A6A"/>
    <w:rsid w:val="002D04F1"/>
    <w:rsid w:val="002D26F9"/>
    <w:rsid w:val="002D4D42"/>
    <w:rsid w:val="002D646C"/>
    <w:rsid w:val="002D7B92"/>
    <w:rsid w:val="002D7E9C"/>
    <w:rsid w:val="002E3600"/>
    <w:rsid w:val="002F3F05"/>
    <w:rsid w:val="00305606"/>
    <w:rsid w:val="00306784"/>
    <w:rsid w:val="00311962"/>
    <w:rsid w:val="00315897"/>
    <w:rsid w:val="00315D77"/>
    <w:rsid w:val="00320C81"/>
    <w:rsid w:val="00322580"/>
    <w:rsid w:val="00323EF7"/>
    <w:rsid w:val="00324165"/>
    <w:rsid w:val="00330C20"/>
    <w:rsid w:val="00332136"/>
    <w:rsid w:val="00335C7F"/>
    <w:rsid w:val="00345AA2"/>
    <w:rsid w:val="00352BF1"/>
    <w:rsid w:val="00361D41"/>
    <w:rsid w:val="003648E9"/>
    <w:rsid w:val="0036704C"/>
    <w:rsid w:val="00370BEC"/>
    <w:rsid w:val="003731D8"/>
    <w:rsid w:val="003755E3"/>
    <w:rsid w:val="00376551"/>
    <w:rsid w:val="0038033D"/>
    <w:rsid w:val="00382237"/>
    <w:rsid w:val="00383BE9"/>
    <w:rsid w:val="00383C98"/>
    <w:rsid w:val="0039214E"/>
    <w:rsid w:val="0039668C"/>
    <w:rsid w:val="00397848"/>
    <w:rsid w:val="003A1D12"/>
    <w:rsid w:val="003A1FAB"/>
    <w:rsid w:val="003A4E1A"/>
    <w:rsid w:val="003A5BAE"/>
    <w:rsid w:val="003A7E43"/>
    <w:rsid w:val="003B0781"/>
    <w:rsid w:val="003B15C6"/>
    <w:rsid w:val="003B3850"/>
    <w:rsid w:val="003B6CAE"/>
    <w:rsid w:val="003C3738"/>
    <w:rsid w:val="003C42DC"/>
    <w:rsid w:val="003C4345"/>
    <w:rsid w:val="003C7CCD"/>
    <w:rsid w:val="003D3215"/>
    <w:rsid w:val="003D7E74"/>
    <w:rsid w:val="003E0F51"/>
    <w:rsid w:val="003E23C0"/>
    <w:rsid w:val="003E6463"/>
    <w:rsid w:val="003F1A8C"/>
    <w:rsid w:val="003F5787"/>
    <w:rsid w:val="0040517E"/>
    <w:rsid w:val="00406E16"/>
    <w:rsid w:val="00406E25"/>
    <w:rsid w:val="00411D33"/>
    <w:rsid w:val="00414605"/>
    <w:rsid w:val="00421E26"/>
    <w:rsid w:val="0042206A"/>
    <w:rsid w:val="004248ED"/>
    <w:rsid w:val="00426C6E"/>
    <w:rsid w:val="004314D8"/>
    <w:rsid w:val="0043494C"/>
    <w:rsid w:val="004377DD"/>
    <w:rsid w:val="004511AE"/>
    <w:rsid w:val="00453235"/>
    <w:rsid w:val="00454FE3"/>
    <w:rsid w:val="004555F3"/>
    <w:rsid w:val="004564BD"/>
    <w:rsid w:val="00462956"/>
    <w:rsid w:val="00462E4C"/>
    <w:rsid w:val="00473FBC"/>
    <w:rsid w:val="00476E32"/>
    <w:rsid w:val="00481FA7"/>
    <w:rsid w:val="00482901"/>
    <w:rsid w:val="004830A2"/>
    <w:rsid w:val="00483214"/>
    <w:rsid w:val="00484A75"/>
    <w:rsid w:val="00485B73"/>
    <w:rsid w:val="004873CF"/>
    <w:rsid w:val="0049125F"/>
    <w:rsid w:val="00495652"/>
    <w:rsid w:val="004A14C7"/>
    <w:rsid w:val="004A1575"/>
    <w:rsid w:val="004A5B94"/>
    <w:rsid w:val="004B02B7"/>
    <w:rsid w:val="004C3936"/>
    <w:rsid w:val="004C4333"/>
    <w:rsid w:val="004C5E06"/>
    <w:rsid w:val="004D0D52"/>
    <w:rsid w:val="004D22F4"/>
    <w:rsid w:val="004D36B7"/>
    <w:rsid w:val="004D5A99"/>
    <w:rsid w:val="004D5CC6"/>
    <w:rsid w:val="004D71C1"/>
    <w:rsid w:val="004F1240"/>
    <w:rsid w:val="004F438A"/>
    <w:rsid w:val="004F6C28"/>
    <w:rsid w:val="004F7F35"/>
    <w:rsid w:val="0050654F"/>
    <w:rsid w:val="00513F14"/>
    <w:rsid w:val="005146AE"/>
    <w:rsid w:val="00516335"/>
    <w:rsid w:val="00522731"/>
    <w:rsid w:val="00525405"/>
    <w:rsid w:val="00526F36"/>
    <w:rsid w:val="00527E63"/>
    <w:rsid w:val="00530323"/>
    <w:rsid w:val="00532D01"/>
    <w:rsid w:val="00536309"/>
    <w:rsid w:val="00543EC5"/>
    <w:rsid w:val="005533E1"/>
    <w:rsid w:val="00554FDE"/>
    <w:rsid w:val="00555E6E"/>
    <w:rsid w:val="00560510"/>
    <w:rsid w:val="00565EF5"/>
    <w:rsid w:val="00572823"/>
    <w:rsid w:val="005728D2"/>
    <w:rsid w:val="00575553"/>
    <w:rsid w:val="00576F04"/>
    <w:rsid w:val="0058199C"/>
    <w:rsid w:val="00584616"/>
    <w:rsid w:val="00590FDD"/>
    <w:rsid w:val="00593CA1"/>
    <w:rsid w:val="00595389"/>
    <w:rsid w:val="005A64B3"/>
    <w:rsid w:val="005B31A7"/>
    <w:rsid w:val="005B52AC"/>
    <w:rsid w:val="005C4A8D"/>
    <w:rsid w:val="005C7A5C"/>
    <w:rsid w:val="005D2A6B"/>
    <w:rsid w:val="005D7653"/>
    <w:rsid w:val="005D7E96"/>
    <w:rsid w:val="005E0062"/>
    <w:rsid w:val="005E1254"/>
    <w:rsid w:val="005E1B06"/>
    <w:rsid w:val="005E1B7F"/>
    <w:rsid w:val="005E52DB"/>
    <w:rsid w:val="005F47A4"/>
    <w:rsid w:val="005F53A0"/>
    <w:rsid w:val="005F61F6"/>
    <w:rsid w:val="005F7BA8"/>
    <w:rsid w:val="0060554B"/>
    <w:rsid w:val="0060640B"/>
    <w:rsid w:val="006137C4"/>
    <w:rsid w:val="00615801"/>
    <w:rsid w:val="006165AF"/>
    <w:rsid w:val="00620DAE"/>
    <w:rsid w:val="00623B14"/>
    <w:rsid w:val="00623C89"/>
    <w:rsid w:val="006345A9"/>
    <w:rsid w:val="00655330"/>
    <w:rsid w:val="00655749"/>
    <w:rsid w:val="00657ED6"/>
    <w:rsid w:val="00660903"/>
    <w:rsid w:val="006633C4"/>
    <w:rsid w:val="00667BEE"/>
    <w:rsid w:val="00671A49"/>
    <w:rsid w:val="00671E96"/>
    <w:rsid w:val="00675AF7"/>
    <w:rsid w:val="00677055"/>
    <w:rsid w:val="00680F11"/>
    <w:rsid w:val="006863E3"/>
    <w:rsid w:val="006870DE"/>
    <w:rsid w:val="00692CB5"/>
    <w:rsid w:val="006944C4"/>
    <w:rsid w:val="006A3EED"/>
    <w:rsid w:val="006A5D2D"/>
    <w:rsid w:val="006A60E6"/>
    <w:rsid w:val="006B0EC1"/>
    <w:rsid w:val="006B4423"/>
    <w:rsid w:val="006C1391"/>
    <w:rsid w:val="006C176C"/>
    <w:rsid w:val="006C17C3"/>
    <w:rsid w:val="006C1FEB"/>
    <w:rsid w:val="006E64FA"/>
    <w:rsid w:val="006F02AD"/>
    <w:rsid w:val="006F4855"/>
    <w:rsid w:val="006F725E"/>
    <w:rsid w:val="00704327"/>
    <w:rsid w:val="00704941"/>
    <w:rsid w:val="00704994"/>
    <w:rsid w:val="007237FB"/>
    <w:rsid w:val="007356CA"/>
    <w:rsid w:val="007359BF"/>
    <w:rsid w:val="0074602B"/>
    <w:rsid w:val="0075065F"/>
    <w:rsid w:val="00750F4D"/>
    <w:rsid w:val="00752DF6"/>
    <w:rsid w:val="00754713"/>
    <w:rsid w:val="00754A3D"/>
    <w:rsid w:val="00754F41"/>
    <w:rsid w:val="007556F1"/>
    <w:rsid w:val="00761699"/>
    <w:rsid w:val="00764B19"/>
    <w:rsid w:val="00766228"/>
    <w:rsid w:val="00771D33"/>
    <w:rsid w:val="00775F12"/>
    <w:rsid w:val="00781442"/>
    <w:rsid w:val="007848BB"/>
    <w:rsid w:val="0078494C"/>
    <w:rsid w:val="00786A7E"/>
    <w:rsid w:val="007905AB"/>
    <w:rsid w:val="00790D46"/>
    <w:rsid w:val="007A02DD"/>
    <w:rsid w:val="007A572C"/>
    <w:rsid w:val="007B2BBA"/>
    <w:rsid w:val="007C1CAF"/>
    <w:rsid w:val="007C24C9"/>
    <w:rsid w:val="007C5CCD"/>
    <w:rsid w:val="007C676F"/>
    <w:rsid w:val="007C7123"/>
    <w:rsid w:val="007D409C"/>
    <w:rsid w:val="007D5789"/>
    <w:rsid w:val="007D7658"/>
    <w:rsid w:val="007E09BD"/>
    <w:rsid w:val="007E281C"/>
    <w:rsid w:val="007E47D0"/>
    <w:rsid w:val="007E4B07"/>
    <w:rsid w:val="007F5012"/>
    <w:rsid w:val="008021DC"/>
    <w:rsid w:val="008024FC"/>
    <w:rsid w:val="00802F54"/>
    <w:rsid w:val="008066FA"/>
    <w:rsid w:val="00811E78"/>
    <w:rsid w:val="00813FD3"/>
    <w:rsid w:val="00822B1B"/>
    <w:rsid w:val="00832993"/>
    <w:rsid w:val="00832F78"/>
    <w:rsid w:val="00835BA4"/>
    <w:rsid w:val="00837FC2"/>
    <w:rsid w:val="00841799"/>
    <w:rsid w:val="008525EA"/>
    <w:rsid w:val="0085742C"/>
    <w:rsid w:val="00857E13"/>
    <w:rsid w:val="00863CD0"/>
    <w:rsid w:val="00867485"/>
    <w:rsid w:val="00872987"/>
    <w:rsid w:val="00875752"/>
    <w:rsid w:val="00876DFF"/>
    <w:rsid w:val="00877791"/>
    <w:rsid w:val="0088015D"/>
    <w:rsid w:val="00890C99"/>
    <w:rsid w:val="00892446"/>
    <w:rsid w:val="0089592C"/>
    <w:rsid w:val="00897B7A"/>
    <w:rsid w:val="008A0C3E"/>
    <w:rsid w:val="008A699C"/>
    <w:rsid w:val="008A7D0D"/>
    <w:rsid w:val="008B0AB0"/>
    <w:rsid w:val="008B4D31"/>
    <w:rsid w:val="008C1D65"/>
    <w:rsid w:val="008C446B"/>
    <w:rsid w:val="008C578F"/>
    <w:rsid w:val="008C6275"/>
    <w:rsid w:val="008D2D60"/>
    <w:rsid w:val="008E1340"/>
    <w:rsid w:val="008E5CA5"/>
    <w:rsid w:val="008E671C"/>
    <w:rsid w:val="008F313C"/>
    <w:rsid w:val="008F5926"/>
    <w:rsid w:val="00902731"/>
    <w:rsid w:val="009105B0"/>
    <w:rsid w:val="00913975"/>
    <w:rsid w:val="00916490"/>
    <w:rsid w:val="00921DA3"/>
    <w:rsid w:val="00922E2E"/>
    <w:rsid w:val="00923CE5"/>
    <w:rsid w:val="00926475"/>
    <w:rsid w:val="00926B91"/>
    <w:rsid w:val="00927698"/>
    <w:rsid w:val="009322E5"/>
    <w:rsid w:val="00932C9D"/>
    <w:rsid w:val="009405A0"/>
    <w:rsid w:val="009435E4"/>
    <w:rsid w:val="009505C1"/>
    <w:rsid w:val="00951108"/>
    <w:rsid w:val="00951900"/>
    <w:rsid w:val="00954038"/>
    <w:rsid w:val="00954349"/>
    <w:rsid w:val="00955698"/>
    <w:rsid w:val="00972D3E"/>
    <w:rsid w:val="00980421"/>
    <w:rsid w:val="00981C81"/>
    <w:rsid w:val="00991484"/>
    <w:rsid w:val="00991B73"/>
    <w:rsid w:val="00992187"/>
    <w:rsid w:val="00995CC4"/>
    <w:rsid w:val="0099641D"/>
    <w:rsid w:val="009A1229"/>
    <w:rsid w:val="009B1551"/>
    <w:rsid w:val="009B1D4F"/>
    <w:rsid w:val="009B2DA6"/>
    <w:rsid w:val="009B3F51"/>
    <w:rsid w:val="009B6362"/>
    <w:rsid w:val="009C302E"/>
    <w:rsid w:val="009C3F04"/>
    <w:rsid w:val="009D0286"/>
    <w:rsid w:val="009D0803"/>
    <w:rsid w:val="009D20CD"/>
    <w:rsid w:val="009D3F9E"/>
    <w:rsid w:val="009D5491"/>
    <w:rsid w:val="009E023E"/>
    <w:rsid w:val="009E32AB"/>
    <w:rsid w:val="009F13C6"/>
    <w:rsid w:val="009F186A"/>
    <w:rsid w:val="009F1EE0"/>
    <w:rsid w:val="009F37B7"/>
    <w:rsid w:val="00A00E18"/>
    <w:rsid w:val="00A01035"/>
    <w:rsid w:val="00A02068"/>
    <w:rsid w:val="00A039EE"/>
    <w:rsid w:val="00A10257"/>
    <w:rsid w:val="00A125A2"/>
    <w:rsid w:val="00A14208"/>
    <w:rsid w:val="00A2331A"/>
    <w:rsid w:val="00A3721E"/>
    <w:rsid w:val="00A37350"/>
    <w:rsid w:val="00A51397"/>
    <w:rsid w:val="00A518BA"/>
    <w:rsid w:val="00A52385"/>
    <w:rsid w:val="00A52447"/>
    <w:rsid w:val="00A52AF8"/>
    <w:rsid w:val="00A54CE9"/>
    <w:rsid w:val="00A55F76"/>
    <w:rsid w:val="00A564FC"/>
    <w:rsid w:val="00A61440"/>
    <w:rsid w:val="00A63A54"/>
    <w:rsid w:val="00A63E7E"/>
    <w:rsid w:val="00A6429B"/>
    <w:rsid w:val="00A64403"/>
    <w:rsid w:val="00A644C9"/>
    <w:rsid w:val="00A67C31"/>
    <w:rsid w:val="00A721DE"/>
    <w:rsid w:val="00A73967"/>
    <w:rsid w:val="00A80025"/>
    <w:rsid w:val="00A82228"/>
    <w:rsid w:val="00A83818"/>
    <w:rsid w:val="00A84CE1"/>
    <w:rsid w:val="00A85819"/>
    <w:rsid w:val="00AA1964"/>
    <w:rsid w:val="00AB114E"/>
    <w:rsid w:val="00AB1B41"/>
    <w:rsid w:val="00AB55E3"/>
    <w:rsid w:val="00AB5DE9"/>
    <w:rsid w:val="00AB7437"/>
    <w:rsid w:val="00AB7CF7"/>
    <w:rsid w:val="00AC2E87"/>
    <w:rsid w:val="00AC3456"/>
    <w:rsid w:val="00AC3A71"/>
    <w:rsid w:val="00AC55C1"/>
    <w:rsid w:val="00AC6CEC"/>
    <w:rsid w:val="00AD129C"/>
    <w:rsid w:val="00AD2AEC"/>
    <w:rsid w:val="00AE0479"/>
    <w:rsid w:val="00AE30CF"/>
    <w:rsid w:val="00AE3DD9"/>
    <w:rsid w:val="00AF07D8"/>
    <w:rsid w:val="00AF165B"/>
    <w:rsid w:val="00AF21CE"/>
    <w:rsid w:val="00B02688"/>
    <w:rsid w:val="00B0560F"/>
    <w:rsid w:val="00B057BC"/>
    <w:rsid w:val="00B1619E"/>
    <w:rsid w:val="00B21360"/>
    <w:rsid w:val="00B21780"/>
    <w:rsid w:val="00B23D25"/>
    <w:rsid w:val="00B25D09"/>
    <w:rsid w:val="00B26D57"/>
    <w:rsid w:val="00B34C82"/>
    <w:rsid w:val="00B35E40"/>
    <w:rsid w:val="00B63C40"/>
    <w:rsid w:val="00B66D5F"/>
    <w:rsid w:val="00B70498"/>
    <w:rsid w:val="00B70E3A"/>
    <w:rsid w:val="00B716EE"/>
    <w:rsid w:val="00B719E6"/>
    <w:rsid w:val="00B743B7"/>
    <w:rsid w:val="00B748F8"/>
    <w:rsid w:val="00B7755D"/>
    <w:rsid w:val="00B84342"/>
    <w:rsid w:val="00B86522"/>
    <w:rsid w:val="00B94BD1"/>
    <w:rsid w:val="00B95F90"/>
    <w:rsid w:val="00BA08AA"/>
    <w:rsid w:val="00BA1974"/>
    <w:rsid w:val="00BA60A6"/>
    <w:rsid w:val="00BA684C"/>
    <w:rsid w:val="00BA7F58"/>
    <w:rsid w:val="00BB25DC"/>
    <w:rsid w:val="00BB43D8"/>
    <w:rsid w:val="00BB4A74"/>
    <w:rsid w:val="00BB529D"/>
    <w:rsid w:val="00BC6AE6"/>
    <w:rsid w:val="00BD0AD1"/>
    <w:rsid w:val="00BD2E2F"/>
    <w:rsid w:val="00BD33F0"/>
    <w:rsid w:val="00BD50BF"/>
    <w:rsid w:val="00BE0F9F"/>
    <w:rsid w:val="00BF0734"/>
    <w:rsid w:val="00BF756A"/>
    <w:rsid w:val="00C00DF2"/>
    <w:rsid w:val="00C06A51"/>
    <w:rsid w:val="00C12C7B"/>
    <w:rsid w:val="00C1339B"/>
    <w:rsid w:val="00C13AC2"/>
    <w:rsid w:val="00C1430D"/>
    <w:rsid w:val="00C15CED"/>
    <w:rsid w:val="00C17C0B"/>
    <w:rsid w:val="00C24ACE"/>
    <w:rsid w:val="00C34A16"/>
    <w:rsid w:val="00C44A13"/>
    <w:rsid w:val="00C62835"/>
    <w:rsid w:val="00C64B75"/>
    <w:rsid w:val="00C70A6A"/>
    <w:rsid w:val="00C71503"/>
    <w:rsid w:val="00C725F3"/>
    <w:rsid w:val="00C76B3B"/>
    <w:rsid w:val="00CA3E1E"/>
    <w:rsid w:val="00CA5CC6"/>
    <w:rsid w:val="00CB038D"/>
    <w:rsid w:val="00CC0A55"/>
    <w:rsid w:val="00CC5F5A"/>
    <w:rsid w:val="00CC62C0"/>
    <w:rsid w:val="00CC6E76"/>
    <w:rsid w:val="00CC73C6"/>
    <w:rsid w:val="00CE134E"/>
    <w:rsid w:val="00CE5139"/>
    <w:rsid w:val="00CE6336"/>
    <w:rsid w:val="00CE68C0"/>
    <w:rsid w:val="00CF7275"/>
    <w:rsid w:val="00CF72A8"/>
    <w:rsid w:val="00D02174"/>
    <w:rsid w:val="00D049B4"/>
    <w:rsid w:val="00D07D57"/>
    <w:rsid w:val="00D141A3"/>
    <w:rsid w:val="00D14F00"/>
    <w:rsid w:val="00D14FB6"/>
    <w:rsid w:val="00D30826"/>
    <w:rsid w:val="00D31073"/>
    <w:rsid w:val="00D33131"/>
    <w:rsid w:val="00D40781"/>
    <w:rsid w:val="00D4437D"/>
    <w:rsid w:val="00D467BD"/>
    <w:rsid w:val="00D46A65"/>
    <w:rsid w:val="00D47939"/>
    <w:rsid w:val="00D529F0"/>
    <w:rsid w:val="00D53EE8"/>
    <w:rsid w:val="00D602F7"/>
    <w:rsid w:val="00D70D7B"/>
    <w:rsid w:val="00D7254D"/>
    <w:rsid w:val="00D72567"/>
    <w:rsid w:val="00D74B49"/>
    <w:rsid w:val="00D76469"/>
    <w:rsid w:val="00D7704C"/>
    <w:rsid w:val="00D81F8C"/>
    <w:rsid w:val="00D845E9"/>
    <w:rsid w:val="00D85230"/>
    <w:rsid w:val="00D86FFF"/>
    <w:rsid w:val="00D94750"/>
    <w:rsid w:val="00DA54E7"/>
    <w:rsid w:val="00DC1BD4"/>
    <w:rsid w:val="00DC2B02"/>
    <w:rsid w:val="00DC67A8"/>
    <w:rsid w:val="00DC716C"/>
    <w:rsid w:val="00DC7B99"/>
    <w:rsid w:val="00DD13F1"/>
    <w:rsid w:val="00DD151C"/>
    <w:rsid w:val="00DD49DF"/>
    <w:rsid w:val="00DF0A73"/>
    <w:rsid w:val="00DF610A"/>
    <w:rsid w:val="00E00BF7"/>
    <w:rsid w:val="00E00C53"/>
    <w:rsid w:val="00E0109D"/>
    <w:rsid w:val="00E110D2"/>
    <w:rsid w:val="00E2057F"/>
    <w:rsid w:val="00E26C8F"/>
    <w:rsid w:val="00E30D92"/>
    <w:rsid w:val="00E30E7D"/>
    <w:rsid w:val="00E34310"/>
    <w:rsid w:val="00E417AC"/>
    <w:rsid w:val="00E41CE4"/>
    <w:rsid w:val="00E46B42"/>
    <w:rsid w:val="00E50F34"/>
    <w:rsid w:val="00E50FDF"/>
    <w:rsid w:val="00E526EE"/>
    <w:rsid w:val="00E55CA6"/>
    <w:rsid w:val="00E619E8"/>
    <w:rsid w:val="00E64221"/>
    <w:rsid w:val="00E66ADC"/>
    <w:rsid w:val="00E6721D"/>
    <w:rsid w:val="00E72F99"/>
    <w:rsid w:val="00E73C8F"/>
    <w:rsid w:val="00E747D5"/>
    <w:rsid w:val="00E82ABE"/>
    <w:rsid w:val="00E84766"/>
    <w:rsid w:val="00E84944"/>
    <w:rsid w:val="00E87BD2"/>
    <w:rsid w:val="00E93F5E"/>
    <w:rsid w:val="00E961C3"/>
    <w:rsid w:val="00EA259A"/>
    <w:rsid w:val="00EA5F93"/>
    <w:rsid w:val="00EB4774"/>
    <w:rsid w:val="00EB6036"/>
    <w:rsid w:val="00EB6E25"/>
    <w:rsid w:val="00EC2724"/>
    <w:rsid w:val="00EC3198"/>
    <w:rsid w:val="00EC33AE"/>
    <w:rsid w:val="00EC3DC8"/>
    <w:rsid w:val="00EC4A12"/>
    <w:rsid w:val="00EC5699"/>
    <w:rsid w:val="00EC7DFF"/>
    <w:rsid w:val="00ED0FF4"/>
    <w:rsid w:val="00ED48A1"/>
    <w:rsid w:val="00ED5209"/>
    <w:rsid w:val="00EE1005"/>
    <w:rsid w:val="00EF4EB8"/>
    <w:rsid w:val="00EF679E"/>
    <w:rsid w:val="00EF798F"/>
    <w:rsid w:val="00F00B52"/>
    <w:rsid w:val="00F05059"/>
    <w:rsid w:val="00F13017"/>
    <w:rsid w:val="00F134F3"/>
    <w:rsid w:val="00F17F72"/>
    <w:rsid w:val="00F20046"/>
    <w:rsid w:val="00F2047A"/>
    <w:rsid w:val="00F2094E"/>
    <w:rsid w:val="00F20E51"/>
    <w:rsid w:val="00F2196D"/>
    <w:rsid w:val="00F333D7"/>
    <w:rsid w:val="00F407D0"/>
    <w:rsid w:val="00F4740F"/>
    <w:rsid w:val="00F47AEF"/>
    <w:rsid w:val="00F5132D"/>
    <w:rsid w:val="00F56F3F"/>
    <w:rsid w:val="00F61CEA"/>
    <w:rsid w:val="00F67A2F"/>
    <w:rsid w:val="00F74592"/>
    <w:rsid w:val="00F80AD0"/>
    <w:rsid w:val="00F902F7"/>
    <w:rsid w:val="00F906BF"/>
    <w:rsid w:val="00F92371"/>
    <w:rsid w:val="00F93550"/>
    <w:rsid w:val="00F93D8A"/>
    <w:rsid w:val="00FB05AD"/>
    <w:rsid w:val="00FB3BD6"/>
    <w:rsid w:val="00FC0A73"/>
    <w:rsid w:val="00FD053D"/>
    <w:rsid w:val="00FD3302"/>
    <w:rsid w:val="00FD3840"/>
    <w:rsid w:val="00FD78AE"/>
    <w:rsid w:val="00FE0419"/>
    <w:rsid w:val="00FE27F6"/>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09D5F23"/>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F169A0"/>
  <w15:docId w15:val="{1362E2D2-0E61-4382-9B9C-78F2B124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宋体" w:eastAsiaTheme="majorEastAsia" w:hAnsi="宋体" w:cstheme="majorBidi"/>
      <w:b/>
      <w:color w:val="003300"/>
      <w:sz w:val="36"/>
      <w:szCs w:val="32"/>
    </w:rPr>
  </w:style>
  <w:style w:type="paragraph" w:styleId="Heading2">
    <w:name w:val="heading 2"/>
    <w:basedOn w:val="Normal"/>
    <w:next w:val="Normal"/>
    <w:link w:val="Heading2Char"/>
    <w:uiPriority w:val="9"/>
    <w:unhideWhenUsed/>
    <w:qFormat/>
    <w:pPr>
      <w:keepNext/>
      <w:keepLines/>
      <w:spacing w:before="40"/>
      <w:outlineLvl w:val="1"/>
    </w:pPr>
    <w:rPr>
      <w:rFonts w:ascii="Open Sans" w:eastAsia="宋体" w:hAnsi="Open Sans" w:cstheme="majorBidi"/>
      <w:b/>
      <w:bCs/>
      <w:color w:val="003300"/>
      <w:szCs w:val="26"/>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rFonts w:ascii="宋体" w:eastAsia="宋体" w:hAnsi="宋体" w:cs="宋体"/>
      <w:sz w:val="20"/>
      <w:szCs w:val="20"/>
    </w:rPr>
  </w:style>
  <w:style w:type="paragraph" w:styleId="TOC3">
    <w:name w:val="toc 3"/>
    <w:basedOn w:val="Normal"/>
    <w:next w:val="Normal"/>
    <w:uiPriority w:val="39"/>
    <w:unhideWhenUsed/>
    <w:qFormat/>
    <w:pPr>
      <w:spacing w:after="100"/>
      <w:ind w:left="480"/>
    </w:pPr>
    <w:rPr>
      <w:rFonts w:ascii="宋体" w:eastAsia="宋体" w:hAnsi="宋体" w:cs="宋体"/>
    </w:rPr>
  </w:style>
  <w:style w:type="paragraph" w:styleId="Date">
    <w:name w:val="Date"/>
    <w:basedOn w:val="Normal"/>
    <w:next w:val="Normal"/>
    <w:link w:val="DateChar"/>
    <w:uiPriority w:val="99"/>
    <w:semiHidden/>
    <w:unhideWhenUsed/>
    <w:qFormat/>
    <w:pPr>
      <w:ind w:leftChars="2500" w:left="100"/>
    </w:p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rPr>
  </w:style>
  <w:style w:type="paragraph" w:styleId="Header">
    <w:name w:val="header"/>
    <w:basedOn w:val="Normal"/>
    <w:link w:val="HeaderChar"/>
    <w:uiPriority w:val="99"/>
    <w:unhideWhenUsed/>
    <w:qFormat/>
    <w:pPr>
      <w:tabs>
        <w:tab w:val="center" w:pos="4513"/>
        <w:tab w:val="right" w:pos="9026"/>
      </w:tabs>
    </w:pPr>
    <w:rPr>
      <w:rFonts w:ascii="宋体" w:eastAsia="宋体" w:hAnsi="宋体" w:cs="宋体"/>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rPr>
  </w:style>
  <w:style w:type="paragraph" w:styleId="NormalWeb">
    <w:name w:val="Normal (Web)"/>
    <w:basedOn w:val="Normal"/>
    <w:uiPriority w:val="99"/>
    <w:semiHidden/>
    <w:unhideWhenUsed/>
    <w:qFormat/>
    <w:pPr>
      <w:spacing w:before="100" w:beforeAutospacing="1" w:after="100" w:afterAutospacing="1"/>
    </w:pPr>
    <w:rPr>
      <w:rFonts w:ascii="宋体" w:eastAsia="宋体" w:hAnsi="宋体" w:cs="宋体"/>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宋体" w:eastAsiaTheme="majorEastAsia" w:hAnsi="宋体" w:cstheme="majorBidi"/>
      <w:b/>
      <w:color w:val="003300"/>
      <w:sz w:val="36"/>
      <w:szCs w:val="32"/>
      <w:lang w:val="en-US"/>
    </w:rPr>
  </w:style>
  <w:style w:type="character" w:customStyle="1" w:styleId="HeaderChar">
    <w:name w:val="Header Char"/>
    <w:basedOn w:val="DefaultParagraphFont"/>
    <w:link w:val="Header"/>
    <w:uiPriority w:val="99"/>
    <w:qFormat/>
    <w:rPr>
      <w:rFonts w:ascii="宋体" w:eastAsia="宋体" w:hAnsi="宋体" w:cs="宋体"/>
      <w:sz w:val="24"/>
      <w:szCs w:val="24"/>
      <w:lang w:val="en-US"/>
    </w:rPr>
  </w:style>
  <w:style w:type="character" w:customStyle="1" w:styleId="FooterChar">
    <w:name w:val="Footer Char"/>
    <w:basedOn w:val="DefaultParagraphFont"/>
    <w:link w:val="Footer"/>
    <w:uiPriority w:val="99"/>
    <w:qFormat/>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qFormat/>
    <w:pPr>
      <w:spacing w:before="100" w:beforeAutospacing="1" w:after="100" w:afterAutospacing="1"/>
    </w:pPr>
    <w:rPr>
      <w:rFonts w:ascii="宋体" w:hAnsi="宋体"/>
    </w:r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Pr>
      <w:rFonts w:ascii="Open Sans" w:eastAsia="宋体" w:hAnsi="Open Sans" w:cstheme="majorBidi"/>
      <w:b/>
      <w:bCs/>
      <w:color w:val="003300"/>
      <w:sz w:val="24"/>
      <w:szCs w:val="26"/>
      <w:lang w:val="en-US"/>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rPr>
  </w:style>
  <w:style w:type="character" w:customStyle="1" w:styleId="CommentTextChar">
    <w:name w:val="Comment Text Char"/>
    <w:basedOn w:val="DefaultParagraphFont"/>
    <w:link w:val="CommentText"/>
    <w:uiPriority w:val="99"/>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customStyle="1" w:styleId="Revision2">
    <w:name w:val="Revision2"/>
    <w:hidden/>
    <w:uiPriority w:val="99"/>
    <w:semiHidden/>
    <w:qFormat/>
    <w:rPr>
      <w:rFonts w:ascii="宋体" w:eastAsia="宋体" w:hAnsi="宋体" w:cs="宋体"/>
      <w:sz w:val="24"/>
      <w:szCs w:val="24"/>
    </w:rPr>
  </w:style>
  <w:style w:type="paragraph" w:customStyle="1" w:styleId="1">
    <w:name w:val="正文1"/>
    <w:qFormat/>
    <w:pPr>
      <w:widowControl w:val="0"/>
      <w:jc w:val="both"/>
    </w:pPr>
    <w:rPr>
      <w:rFonts w:ascii="等线" w:eastAsia="等线" w:hAnsi="等线" w:cs="Times New Roman"/>
      <w:kern w:val="2"/>
      <w:sz w:val="21"/>
      <w:szCs w:val="21"/>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rPr>
      <w:rFonts w:ascii="Times New Roman" w:eastAsia="Times New Roman" w:hAnsi="Times New Roman" w:cs="Times New Roman"/>
      <w:sz w:val="24"/>
      <w:szCs w:val="24"/>
    </w:rPr>
  </w:style>
  <w:style w:type="paragraph" w:customStyle="1" w:styleId="IBSG1">
    <w:name w:val="IBSG 三级标题"/>
    <w:basedOn w:val="Heading3"/>
    <w:link w:val="IBSG2"/>
    <w:qFormat/>
    <w:pPr>
      <w:widowControl w:val="0"/>
      <w:spacing w:before="260" w:after="260" w:line="416" w:lineRule="auto"/>
      <w:jc w:val="both"/>
    </w:pPr>
    <w:rPr>
      <w:rFonts w:ascii="Times New Roman" w:eastAsia="宋体" w:hAnsi="Times New Roman"/>
      <w:color w:val="1F3763"/>
      <w:kern w:val="2"/>
      <w:szCs w:val="32"/>
    </w:rPr>
  </w:style>
  <w:style w:type="character" w:customStyle="1" w:styleId="IBSG2">
    <w:name w:val="IBSG 三级标题 字符"/>
    <w:basedOn w:val="IBSG0"/>
    <w:link w:val="IBSG1"/>
    <w:qFormat/>
    <w:rPr>
      <w:rFonts w:ascii="Times New Roman" w:eastAsia="宋体" w:hAnsi="Times New Roman" w:cstheme="majorBidi"/>
      <w:b w:val="0"/>
      <w:color w:val="1F3763"/>
      <w:kern w:val="2"/>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Pages>
  <Words>4633</Words>
  <Characters>26412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kzhouaf@connect.ust.hk;jhecg@connect.ust.hk;cdingag@connect.ust.hk</dc:creator>
  <cp:lastModifiedBy>Hart YS LI</cp:lastModifiedBy>
  <cp:revision>107</cp:revision>
  <cp:lastPrinted>2023-01-16T02:17:00Z</cp:lastPrinted>
  <dcterms:created xsi:type="dcterms:W3CDTF">2022-11-15T02:22:00Z</dcterms:created>
  <dcterms:modified xsi:type="dcterms:W3CDTF">2023-01-16T02:18:00Z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2052-11.1.0.12651</vt:lpwstr>
  </property>
  <property fmtid="{D5CDD505-2E9C-101B-9397-08002B2CF9AE}" pid="5" name="ICV">
    <vt:lpwstr>A2391E3F141B41CC80A82FC8EDD0334E</vt:lpwstr>
  </property>
  <property fmtid="{D5CDD505-2E9C-101B-9397-08002B2CF9AE}" pid="6" name="BD_Revisions_Count">
    <vt:lpwstr>0</vt:lpwstr>
  </property>
  <property fmtid="{D5CDD505-2E9C-101B-9397-08002B2CF9AE}" pid="7" name="BD_IsTrackRevisions">
    <vt:lpwstr>0</vt:lpwstr>
  </property>
  <property fmtid="{D5CDD505-2E9C-101B-9397-08002B2CF9AE}" pid="8" name="BD_Word_FileSize">
    <vt:lpwstr>923624</vt:lpwstr>
  </property>
  <property fmtid="{D5CDD505-2E9C-101B-9397-08002B2CF9AE}" pid="9" name="BD_Report_Pages">
    <vt:lpwstr>26</vt:lpwstr>
  </property>
  <property fmtid="{D5CDD505-2E9C-101B-9397-08002B2CF9AE}" pid="10" name="BD_Report_Characters">
    <vt:lpwstr>30524</vt:lpwstr>
  </property>
  <property fmtid="{D5CDD505-2E9C-101B-9397-08002B2CF9AE}" pid="11" name="BD_CompareCompanyModel">
    <vt:lpwstr/>
  </property>
  <property fmtid="{D5CDD505-2E9C-101B-9397-08002B2CF9AE}" pid="12" name="BD_WORD_Version">
    <vt:lpwstr>16.0.15726.20202</vt:lpwstr>
  </property>
  <property fmtid="{D5CDD505-2E9C-101B-9397-08002B2CF9AE}" pid="13" name="BD_Word_Protection_Status">
    <vt:lpwstr>0</vt:lpwstr>
  </property>
  <property fmtid="{D5CDD505-2E9C-101B-9397-08002B2CF9AE}" pid="14" name="BD_Word_Remind_Lock">
    <vt:lpwstr>0</vt:lpwstr>
  </property>
</Properties>
</file>