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55B2" w14:textId="0F316EFB" w:rsidR="000C72F5" w:rsidRPr="00B63E07" w:rsidRDefault="000C72F5" w:rsidP="003B015E">
      <w:pPr>
        <w:spacing w:line="360" w:lineRule="auto"/>
        <w:rPr>
          <w:b/>
          <w:bCs/>
          <w:color w:val="003300"/>
          <w:sz w:val="36"/>
          <w:szCs w:val="36"/>
        </w:rPr>
      </w:pPr>
      <w:r w:rsidRPr="00B63E07">
        <w:rPr>
          <w:b/>
          <w:bCs/>
          <w:noProof/>
        </w:rPr>
        <mc:AlternateContent>
          <mc:Choice Requires="wps">
            <w:drawing>
              <wp:anchor distT="0" distB="0" distL="114300" distR="114300" simplePos="0" relativeHeight="251659264" behindDoc="0" locked="0" layoutInCell="1" allowOverlap="1" wp14:anchorId="7C25D3CE" wp14:editId="523B7122">
                <wp:simplePos x="0" y="0"/>
                <wp:positionH relativeFrom="page">
                  <wp:posOffset>6123940</wp:posOffset>
                </wp:positionH>
                <wp:positionV relativeFrom="paragraph">
                  <wp:posOffset>0</wp:posOffset>
                </wp:positionV>
                <wp:extent cx="1428115" cy="80264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5BAA611F" w14:textId="77777777" w:rsidR="000C72F5" w:rsidRDefault="000C72F5" w:rsidP="000C72F5">
                            <w:r>
                              <w:t>Contact us:</w:t>
                            </w:r>
                          </w:p>
                          <w:p w14:paraId="325CBA74" w14:textId="77777777" w:rsidR="000C72F5" w:rsidRDefault="000C72F5" w:rsidP="000C72F5">
                            <w:r>
                              <w:t>ibsghk@gmail.com</w:t>
                            </w:r>
                          </w:p>
                          <w:p w14:paraId="2A69C5F7"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C25D3CE" id="_x0000_t202" coordsize="21600,21600" o:spt="202" path="m,l,21600r21600,l21600,xe">
                <v:stroke joinstyle="miter"/>
                <v:path gradientshapeok="t" o:connecttype="rect"/>
              </v:shapetype>
              <v:shape id="Text Box 5"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5BAA611F" w14:textId="77777777" w:rsidR="000C72F5" w:rsidRDefault="000C72F5" w:rsidP="000C72F5">
                      <w:r>
                        <w:t>Contact us:</w:t>
                      </w:r>
                    </w:p>
                    <w:p w14:paraId="325CBA74" w14:textId="77777777" w:rsidR="000C72F5" w:rsidRDefault="000C72F5" w:rsidP="000C72F5">
                      <w:r>
                        <w:t>ibsghk@gmail.com</w:t>
                      </w:r>
                    </w:p>
                    <w:p w14:paraId="2A69C5F7" w14:textId="77777777" w:rsidR="000C72F5" w:rsidRDefault="000C72F5" w:rsidP="000C72F5">
                      <w:pPr>
                        <w:rPr>
                          <w:color w:val="FFFFFF" w:themeColor="background1"/>
                        </w:rPr>
                      </w:pPr>
                    </w:p>
                  </w:txbxContent>
                </v:textbox>
                <w10:wrap type="square" anchorx="page"/>
              </v:shape>
            </w:pict>
          </mc:Fallback>
        </mc:AlternateContent>
      </w:r>
      <w:bookmarkStart w:id="0" w:name="_xj1moxk1l321" w:colFirst="0" w:colLast="0"/>
      <w:bookmarkEnd w:id="0"/>
      <w:r w:rsidR="003B4816" w:rsidRPr="003B4816">
        <w:rPr>
          <w:b/>
          <w:bCs/>
          <w:color w:val="003300"/>
          <w:sz w:val="36"/>
          <w:szCs w:val="36"/>
        </w:rPr>
        <w:t>New Energy Vehicle Company after Precipitous Drop in Share Price</w:t>
      </w:r>
    </w:p>
    <w:p w14:paraId="40A295B8" w14:textId="3448979F" w:rsidR="00995CC4" w:rsidRPr="00B63E07" w:rsidRDefault="000C72F5" w:rsidP="003B015E">
      <w:pPr>
        <w:spacing w:line="360" w:lineRule="auto"/>
        <w:rPr>
          <w:b/>
          <w:bCs/>
          <w:color w:val="003300"/>
          <w:sz w:val="44"/>
          <w:szCs w:val="44"/>
        </w:rPr>
      </w:pPr>
      <w:r w:rsidRPr="00B63E07">
        <w:rPr>
          <w:rFonts w:eastAsiaTheme="majorEastAsia"/>
          <w:b/>
          <w:bCs/>
          <w:color w:val="003300"/>
          <w:sz w:val="36"/>
          <w:szCs w:val="36"/>
        </w:rPr>
        <w:t>——</w:t>
      </w:r>
      <w:bookmarkStart w:id="1" w:name="_Toc106268225"/>
      <w:r w:rsidRPr="00B63E07">
        <w:rPr>
          <w:b/>
          <w:bCs/>
          <w:noProof/>
        </w:rPr>
        <mc:AlternateContent>
          <mc:Choice Requires="wps">
            <w:drawing>
              <wp:anchor distT="4294967295" distB="4294967295" distL="114300" distR="114300" simplePos="0" relativeHeight="251660288" behindDoc="0" locked="0" layoutInCell="1" allowOverlap="1" wp14:anchorId="4D700363" wp14:editId="5D3EC53B">
                <wp:simplePos x="0" y="0"/>
                <wp:positionH relativeFrom="margin">
                  <wp:align>left</wp:align>
                </wp:positionH>
                <wp:positionV relativeFrom="paragraph">
                  <wp:posOffset>413384</wp:posOffset>
                </wp:positionV>
                <wp:extent cx="6638290" cy="0"/>
                <wp:effectExtent l="0" t="0" r="381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5161F7" id="Straight Connector 2" o:spid="_x0000_s1026" style="position:absolute;left:0;text-align:left;z-index:25166028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" strokecolor="#030" strokeweight=".5pt">
                <v:stroke joinstyle="miter"/>
                <o:lock v:ext="edit" shapetype="f"/>
                <w10:wrap anchorx="margin"/>
              </v:line>
            </w:pict>
          </mc:Fallback>
        </mc:AlternateContent>
      </w:r>
      <w:bookmarkEnd w:id="1"/>
      <w:r w:rsidR="003B4816" w:rsidRPr="003B4816">
        <w:rPr>
          <w:rFonts w:eastAsiaTheme="majorEastAsia"/>
          <w:b/>
          <w:bCs/>
          <w:color w:val="003300"/>
          <w:sz w:val="36"/>
          <w:szCs w:val="36"/>
        </w:rPr>
        <w:t>Margin and Future of Leapmotor</w:t>
      </w:r>
    </w:p>
    <w:p w14:paraId="38569A7F" w14:textId="77777777" w:rsidR="00995CC4" w:rsidRDefault="000211E8" w:rsidP="003B015E">
      <w:pPr>
        <w:pStyle w:val="IBSG"/>
        <w:spacing w:line="360" w:lineRule="auto"/>
        <w:rPr>
          <w:sz w:val="36"/>
          <w:szCs w:val="36"/>
        </w:rPr>
      </w:pPr>
      <w:bookmarkStart w:id="2" w:name="_Toc128218227"/>
      <w:r w:rsidRPr="000C72F5">
        <w:rPr>
          <w:rFonts w:ascii="Times New Roman" w:hAnsi="Times New Roman" w:cs="Times New Roman"/>
          <w:sz w:val="36"/>
          <w:szCs w:val="36"/>
        </w:rPr>
        <w:t>Abstract</w:t>
      </w:r>
      <w:r>
        <w:rPr>
          <w:sz w:val="36"/>
          <w:szCs w:val="36"/>
        </w:rPr>
        <w:t>:</w:t>
      </w:r>
      <w:bookmarkEnd w:id="2"/>
      <w:r>
        <w:tab/>
      </w:r>
    </w:p>
    <w:p w14:paraId="6C85ADB3" w14:textId="5A07A20A" w:rsidR="00705CB2" w:rsidRDefault="008271B2" w:rsidP="00705CB2">
      <w:pPr>
        <w:pStyle w:val="NormalWeb"/>
        <w:spacing w:before="240" w:beforeAutospacing="0" w:after="240" w:afterAutospacing="0" w:line="360" w:lineRule="auto"/>
        <w:ind w:firstLine="418"/>
        <w:jc w:val="both"/>
        <w:rPr>
          <w:rFonts w:ascii="Times New Roman" w:hAnsi="Times New Roman" w:cs="Times New Roman"/>
          <w:color w:val="000000" w:themeColor="text1"/>
        </w:rPr>
      </w:pPr>
      <w:r w:rsidRPr="00705CB2">
        <w:rPr>
          <w:rFonts w:ascii="Times New Roman" w:eastAsia="Times New Roman" w:hAnsi="Times New Roman" w:cs="Times New Roman"/>
        </w:rPr>
        <w:t xml:space="preserve">Though </w:t>
      </w:r>
      <w:r w:rsidR="00EF1CC3" w:rsidRPr="00705CB2">
        <w:rPr>
          <w:rFonts w:ascii="Times New Roman" w:eastAsia="Times New Roman" w:hAnsi="Times New Roman" w:cs="Times New Roman"/>
        </w:rPr>
        <w:t>58</w:t>
      </w:r>
      <w:r w:rsidR="009B585F" w:rsidRPr="00705CB2">
        <w:rPr>
          <w:rFonts w:ascii="Times New Roman" w:eastAsia="Times New Roman" w:hAnsi="Times New Roman" w:cs="Times New Roman"/>
        </w:rPr>
        <w:t>.0</w:t>
      </w:r>
      <w:r w:rsidR="00D9602B" w:rsidRPr="00705CB2">
        <w:rPr>
          <w:rFonts w:ascii="Times New Roman" w:eastAsia="Times New Roman" w:hAnsi="Times New Roman" w:cs="Times New Roman"/>
        </w:rPr>
        <w:t>0</w:t>
      </w:r>
      <w:r w:rsidR="00EF1CC3" w:rsidRPr="00705CB2">
        <w:rPr>
          <w:rFonts w:ascii="Times New Roman" w:eastAsia="Times New Roman" w:hAnsi="Times New Roman" w:cs="Times New Roman"/>
        </w:rPr>
        <w:t>%</w:t>
      </w:r>
      <w:r w:rsidR="00EF1CC3">
        <w:rPr>
          <w:rFonts w:ascii="Times New Roman" w:hAnsi="Times New Roman" w:cs="Times New Roman"/>
          <w:color w:val="000000" w:themeColor="text1"/>
        </w:rPr>
        <w:t xml:space="preserve"> of </w:t>
      </w:r>
      <w:proofErr w:type="spellStart"/>
      <w:r w:rsidR="00EF1CC3">
        <w:rPr>
          <w:rFonts w:ascii="Times New Roman" w:hAnsi="Times New Roman" w:cs="Times New Roman"/>
          <w:color w:val="000000" w:themeColor="text1"/>
        </w:rPr>
        <w:t>Leapmotor’s</w:t>
      </w:r>
      <w:proofErr w:type="spellEnd"/>
      <w:r w:rsidR="00EF1CC3">
        <w:rPr>
          <w:rFonts w:ascii="Times New Roman" w:hAnsi="Times New Roman" w:cs="Times New Roman"/>
          <w:color w:val="000000" w:themeColor="text1"/>
        </w:rPr>
        <w:t xml:space="preserve"> vehicle sales in 2022 come from the miniature car model T03, </w:t>
      </w:r>
      <w:r w:rsidR="001730A2">
        <w:rPr>
          <w:rFonts w:ascii="Times New Roman" w:hAnsi="Times New Roman" w:cs="Times New Roman"/>
          <w:color w:val="000000" w:themeColor="text1"/>
        </w:rPr>
        <w:t>Leapmotor</w:t>
      </w:r>
      <w:r>
        <w:rPr>
          <w:rFonts w:ascii="Times New Roman" w:hAnsi="Times New Roman" w:cs="Times New Roman"/>
          <w:color w:val="000000" w:themeColor="text1"/>
        </w:rPr>
        <w:t xml:space="preserve"> </w:t>
      </w:r>
      <w:r w:rsidR="00EF1CC3">
        <w:rPr>
          <w:rFonts w:ascii="Times New Roman" w:hAnsi="Times New Roman" w:cs="Times New Roman"/>
          <w:color w:val="000000" w:themeColor="text1"/>
        </w:rPr>
        <w:t xml:space="preserve">still </w:t>
      </w:r>
      <w:r>
        <w:rPr>
          <w:rFonts w:ascii="Times New Roman" w:hAnsi="Times New Roman" w:cs="Times New Roman"/>
          <w:color w:val="000000" w:themeColor="text1"/>
        </w:rPr>
        <w:t xml:space="preserve">plans </w:t>
      </w:r>
      <w:r w:rsidR="00B325DA">
        <w:rPr>
          <w:rFonts w:ascii="Times New Roman" w:hAnsi="Times New Roman" w:cs="Times New Roman" w:hint="eastAsia"/>
          <w:color w:val="000000" w:themeColor="text1"/>
        </w:rPr>
        <w:t>to penetrate the mid-to-high-end</w:t>
      </w:r>
      <w:r w:rsidR="00340A81">
        <w:rPr>
          <w:rFonts w:ascii="Times New Roman" w:hAnsi="Times New Roman" w:cs="Times New Roman" w:hint="eastAsia"/>
          <w:color w:val="000000" w:themeColor="text1"/>
        </w:rPr>
        <w:t>,</w:t>
      </w:r>
      <w:r w:rsidR="00340A81">
        <w:rPr>
          <w:rFonts w:ascii="Times New Roman" w:hAnsi="Times New Roman" w:cs="Times New Roman"/>
          <w:color w:val="000000" w:themeColor="text1"/>
        </w:rPr>
        <w:t xml:space="preserve"> which is considered as a mean to improve its poor profitability</w:t>
      </w:r>
      <w:r w:rsidR="00EF1CC3">
        <w:rPr>
          <w:rFonts w:ascii="Times New Roman" w:hAnsi="Times New Roman" w:cs="Times New Roman"/>
          <w:color w:val="000000" w:themeColor="text1"/>
        </w:rPr>
        <w:t xml:space="preserve">. </w:t>
      </w:r>
      <w:r w:rsidR="00705CB2">
        <w:rPr>
          <w:rFonts w:ascii="Times New Roman" w:hAnsi="Times New Roman" w:cs="Times New Roman"/>
          <w:color w:val="000000" w:themeColor="text1"/>
        </w:rPr>
        <w:t xml:space="preserve">However, </w:t>
      </w:r>
      <w:r w:rsidR="00EF1CC3">
        <w:rPr>
          <w:rFonts w:ascii="Times New Roman" w:hAnsi="Times New Roman" w:cs="Times New Roman"/>
          <w:color w:val="000000" w:themeColor="text1"/>
        </w:rPr>
        <w:t xml:space="preserve">Many people think Leapmotor should focus on the mid-to-low market as it held the edge in the mid-to-low market compared to in the mid-to-high market. </w:t>
      </w:r>
      <w:r w:rsidR="00705CB2">
        <w:rPr>
          <w:rFonts w:ascii="Times New Roman" w:hAnsi="Times New Roman" w:cs="Times New Roman"/>
          <w:color w:val="000000" w:themeColor="text1"/>
        </w:rPr>
        <w:t xml:space="preserve">To explore the answer of this debate, we discuss the </w:t>
      </w:r>
      <w:r w:rsidR="00340A81">
        <w:rPr>
          <w:rFonts w:ascii="Times New Roman" w:hAnsi="Times New Roman" w:cs="Times New Roman"/>
          <w:color w:val="000000" w:themeColor="text1"/>
        </w:rPr>
        <w:t xml:space="preserve">possible futures </w:t>
      </w:r>
      <w:r w:rsidR="00705CB2">
        <w:rPr>
          <w:rFonts w:ascii="Times New Roman" w:hAnsi="Times New Roman" w:cs="Times New Roman"/>
          <w:color w:val="000000" w:themeColor="text1"/>
        </w:rPr>
        <w:t>of Leapmotor from the following aspects.</w:t>
      </w:r>
    </w:p>
    <w:p w14:paraId="2984129B" w14:textId="1C2A62E3" w:rsidR="00705CB2" w:rsidRPr="00705CB2" w:rsidRDefault="00705CB2" w:rsidP="00705CB2">
      <w:pPr>
        <w:pStyle w:val="NormalWeb"/>
        <w:spacing w:before="240" w:after="240" w:line="360" w:lineRule="auto"/>
        <w:ind w:firstLine="418"/>
        <w:rPr>
          <w:rFonts w:ascii="Times New Roman" w:hAnsi="Times New Roman" w:cs="Times New Roman"/>
          <w:color w:val="000000" w:themeColor="text1"/>
        </w:rPr>
      </w:pPr>
      <w:r w:rsidRPr="00705CB2">
        <w:rPr>
          <w:rFonts w:ascii="Times New Roman" w:hAnsi="Times New Roman" w:cs="Times New Roman" w:hint="eastAsia"/>
          <w:color w:val="000000" w:themeColor="text1"/>
        </w:rPr>
        <w:t>•</w:t>
      </w:r>
      <w:r w:rsidRPr="00705CB2">
        <w:rPr>
          <w:rFonts w:ascii="Times New Roman" w:hAnsi="Times New Roman" w:cs="Times New Roman"/>
          <w:color w:val="000000" w:themeColor="text1"/>
        </w:rPr>
        <w:tab/>
      </w:r>
      <w:proofErr w:type="spellStart"/>
      <w:r w:rsidR="00A21E2E">
        <w:rPr>
          <w:rFonts w:ascii="Times New Roman" w:hAnsi="Times New Roman" w:cs="Times New Roman"/>
          <w:color w:val="000000" w:themeColor="text1"/>
        </w:rPr>
        <w:t>Leapmotor</w:t>
      </w:r>
      <w:proofErr w:type="gramStart"/>
      <w:r w:rsidR="00A21E2E">
        <w:rPr>
          <w:rFonts w:ascii="Times New Roman" w:hAnsi="Times New Roman" w:cs="Times New Roman"/>
          <w:color w:val="000000" w:themeColor="text1"/>
        </w:rPr>
        <w:t>’</w:t>
      </w:r>
      <w:proofErr w:type="gramEnd"/>
      <w:r w:rsidR="00A21E2E">
        <w:rPr>
          <w:rFonts w:ascii="Times New Roman" w:hAnsi="Times New Roman" w:cs="Times New Roman"/>
          <w:color w:val="000000" w:themeColor="text1"/>
        </w:rPr>
        <w:t>s</w:t>
      </w:r>
      <w:proofErr w:type="spellEnd"/>
      <w:r w:rsidR="00A21E2E">
        <w:rPr>
          <w:rFonts w:ascii="Times New Roman" w:hAnsi="Times New Roman" w:cs="Times New Roman"/>
          <w:color w:val="000000" w:themeColor="text1"/>
        </w:rPr>
        <w:t xml:space="preserve"> prospect for the future and the analysis of its current situation.</w:t>
      </w:r>
    </w:p>
    <w:p w14:paraId="4ACA90CF" w14:textId="4EE41929" w:rsidR="00705CB2" w:rsidRDefault="00705CB2" w:rsidP="00705CB2">
      <w:pPr>
        <w:pStyle w:val="NormalWeb"/>
        <w:spacing w:before="240" w:after="240" w:line="360" w:lineRule="auto"/>
        <w:ind w:firstLine="418"/>
        <w:rPr>
          <w:rFonts w:ascii="Times New Roman" w:hAnsi="Times New Roman" w:cs="Times New Roman"/>
          <w:color w:val="000000" w:themeColor="text1"/>
        </w:rPr>
      </w:pPr>
      <w:r w:rsidRPr="00705CB2">
        <w:rPr>
          <w:rFonts w:ascii="Times New Roman" w:hAnsi="Times New Roman" w:cs="Times New Roman" w:hint="eastAsia"/>
          <w:color w:val="000000" w:themeColor="text1"/>
        </w:rPr>
        <w:t>•</w:t>
      </w:r>
      <w:r w:rsidRPr="00705CB2">
        <w:rPr>
          <w:rFonts w:ascii="Times New Roman" w:hAnsi="Times New Roman" w:cs="Times New Roman"/>
          <w:color w:val="000000" w:themeColor="text1"/>
        </w:rPr>
        <w:tab/>
      </w:r>
      <w:r w:rsidR="00A21E2E">
        <w:rPr>
          <w:rFonts w:ascii="Times New Roman" w:hAnsi="Times New Roman" w:cs="Times New Roman"/>
          <w:color w:val="000000" w:themeColor="text1"/>
        </w:rPr>
        <w:t>The concern of profitability reflect</w:t>
      </w:r>
      <w:r w:rsidR="00E62CF3">
        <w:rPr>
          <w:rFonts w:ascii="Times New Roman" w:hAnsi="Times New Roman" w:cs="Times New Roman"/>
          <w:color w:val="000000" w:themeColor="text1"/>
        </w:rPr>
        <w:t>ed</w:t>
      </w:r>
      <w:r w:rsidR="00A21E2E">
        <w:rPr>
          <w:rFonts w:ascii="Times New Roman" w:hAnsi="Times New Roman" w:cs="Times New Roman"/>
          <w:color w:val="000000" w:themeColor="text1"/>
        </w:rPr>
        <w:t xml:space="preserve"> </w:t>
      </w:r>
      <w:r w:rsidR="00E62CF3">
        <w:rPr>
          <w:rFonts w:ascii="Times New Roman" w:hAnsi="Times New Roman" w:cs="Times New Roman"/>
          <w:color w:val="000000" w:themeColor="text1"/>
        </w:rPr>
        <w:t xml:space="preserve">in </w:t>
      </w:r>
      <w:r w:rsidR="00A21E2E">
        <w:rPr>
          <w:rFonts w:ascii="Times New Roman" w:hAnsi="Times New Roman" w:cs="Times New Roman"/>
          <w:color w:val="000000" w:themeColor="text1"/>
        </w:rPr>
        <w:t>its P/S ratio.</w:t>
      </w:r>
    </w:p>
    <w:p w14:paraId="7AB02C8C" w14:textId="13D7F690" w:rsidR="00225529" w:rsidRPr="00A21E2E" w:rsidRDefault="00A21E2E" w:rsidP="00A21E2E">
      <w:pPr>
        <w:pStyle w:val="NormalWeb"/>
        <w:spacing w:before="240" w:after="240" w:line="360" w:lineRule="auto"/>
        <w:ind w:firstLine="418"/>
        <w:rPr>
          <w:rFonts w:ascii="Times New Roman" w:hAnsi="Times New Roman" w:cs="Times New Roman"/>
          <w:color w:val="000000" w:themeColor="text1"/>
        </w:rPr>
      </w:pPr>
      <w:r w:rsidRPr="00705CB2">
        <w:rPr>
          <w:rFonts w:ascii="Times New Roman" w:hAnsi="Times New Roman" w:cs="Times New Roman" w:hint="eastAsia"/>
          <w:color w:val="000000" w:themeColor="text1"/>
        </w:rPr>
        <w:t>•</w:t>
      </w:r>
      <w:r w:rsidRPr="00705CB2">
        <w:rPr>
          <w:rFonts w:ascii="Times New Roman" w:hAnsi="Times New Roman" w:cs="Times New Roman"/>
          <w:color w:val="000000" w:themeColor="text1"/>
        </w:rPr>
        <w:tab/>
      </w:r>
      <w:r>
        <w:rPr>
          <w:rFonts w:ascii="Times New Roman" w:hAnsi="Times New Roman" w:cs="Times New Roman"/>
          <w:color w:val="000000" w:themeColor="text1"/>
        </w:rPr>
        <w:t>The valuation model based on different operating assumptions.</w:t>
      </w:r>
    </w:p>
    <w:p w14:paraId="30BB4F9D" w14:textId="531C8A05" w:rsidR="00995CC4" w:rsidRPr="00225529" w:rsidRDefault="00995CC4" w:rsidP="003B015E">
      <w:pPr>
        <w:spacing w:line="360" w:lineRule="auto"/>
        <w:rPr>
          <w:sz w:val="28"/>
          <w:szCs w:val="28"/>
        </w:rPr>
      </w:pPr>
    </w:p>
    <w:p w14:paraId="5918006B" w14:textId="77777777" w:rsidR="00995CC4" w:rsidRPr="000740A7" w:rsidRDefault="000211E8" w:rsidP="003B015E">
      <w:pPr>
        <w:tabs>
          <w:tab w:val="left" w:pos="2556"/>
        </w:tabs>
        <w:spacing w:line="360" w:lineRule="auto"/>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US"/>
        </w:rPr>
      </w:sdtEndPr>
      <w:sdtContent>
        <w:p w14:paraId="08D4F8AB" w14:textId="77777777" w:rsidR="00995CC4" w:rsidRPr="000C72F5" w:rsidRDefault="000211E8" w:rsidP="003B015E">
          <w:pPr>
            <w:pStyle w:val="TOC1"/>
            <w:rPr>
              <w:rFonts w:ascii="Times New Roman" w:hAnsi="Times New Roman" w:cs="Times New Roman"/>
              <w:b/>
              <w:color w:val="003300"/>
              <w:kern w:val="2"/>
              <w:sz w:val="36"/>
              <w:szCs w:val="36"/>
            </w:rPr>
          </w:pPr>
          <w:r w:rsidRPr="000C72F5">
            <w:rPr>
              <w:rFonts w:ascii="Times New Roman" w:hAnsi="Times New Roman" w:cs="Times New Roman"/>
              <w:b/>
              <w:color w:val="003300"/>
              <w:kern w:val="2"/>
              <w:sz w:val="36"/>
              <w:szCs w:val="36"/>
            </w:rPr>
            <w:t>Content:</w:t>
          </w:r>
        </w:p>
        <w:p w14:paraId="6D546BE5" w14:textId="6788E47D" w:rsidR="00995CC4" w:rsidRPr="00EF1CC3" w:rsidRDefault="008C47A6" w:rsidP="003B015E">
          <w:pPr>
            <w:tabs>
              <w:tab w:val="left" w:pos="1016"/>
            </w:tabs>
            <w:spacing w:line="360" w:lineRule="auto"/>
            <w:rPr>
              <w:rFonts w:eastAsiaTheme="minorEastAsia" w:cstheme="minorBidi"/>
              <w:color w:val="000000" w:themeColor="text1"/>
              <w:szCs w:val="22"/>
              <w:lang w:val="en-GB"/>
            </w:rPr>
          </w:pPr>
          <w:r w:rsidRPr="00EF1CC3">
            <w:rPr>
              <w:rFonts w:eastAsiaTheme="minorEastAsia" w:cstheme="minorBidi"/>
              <w:color w:val="000000" w:themeColor="text1"/>
              <w:szCs w:val="22"/>
              <w:lang w:val="en-GB"/>
            </w:rPr>
            <w:tab/>
          </w:r>
        </w:p>
        <w:p w14:paraId="728AF456" w14:textId="191B295B" w:rsidR="000F15F0" w:rsidRDefault="000211E8">
          <w:pPr>
            <w:pStyle w:val="TOC1"/>
            <w:rPr>
              <w:rFonts w:asciiTheme="minorHAnsi" w:eastAsiaTheme="minorEastAsia" w:hAnsiTheme="minorHAnsi" w:cstheme="minorBidi"/>
              <w:noProof/>
              <w:kern w:val="2"/>
              <w:sz w:val="21"/>
              <w:szCs w:val="22"/>
            </w:rPr>
          </w:pPr>
          <w:r w:rsidRPr="000C72F5">
            <w:rPr>
              <w:sz w:val="28"/>
              <w:szCs w:val="28"/>
            </w:rPr>
            <w:fldChar w:fldCharType="begin"/>
          </w:r>
          <w:r>
            <w:rPr>
              <w:sz w:val="28"/>
              <w:szCs w:val="28"/>
            </w:rPr>
            <w:instrText xml:space="preserve"> TOC \o "1-3" \h \z \u </w:instrText>
          </w:r>
          <w:r w:rsidRPr="000C72F5">
            <w:rPr>
              <w:sz w:val="28"/>
              <w:szCs w:val="28"/>
            </w:rPr>
            <w:fldChar w:fldCharType="separate"/>
          </w:r>
          <w:hyperlink w:anchor="_Toc128218227" w:history="1">
            <w:r w:rsidR="000F15F0" w:rsidRPr="00AE6D33">
              <w:rPr>
                <w:rStyle w:val="Hyperlink"/>
                <w:rFonts w:ascii="Times New Roman" w:hAnsi="Times New Roman" w:cs="Times New Roman"/>
                <w:noProof/>
              </w:rPr>
              <w:t>Abstract</w:t>
            </w:r>
            <w:r w:rsidR="000F15F0" w:rsidRPr="00AE6D33">
              <w:rPr>
                <w:rStyle w:val="Hyperlink"/>
                <w:noProof/>
              </w:rPr>
              <w:t>:</w:t>
            </w:r>
            <w:r w:rsidR="000F15F0">
              <w:rPr>
                <w:noProof/>
                <w:webHidden/>
              </w:rPr>
              <w:tab/>
            </w:r>
            <w:r w:rsidR="000F15F0">
              <w:rPr>
                <w:noProof/>
                <w:webHidden/>
              </w:rPr>
              <w:fldChar w:fldCharType="begin"/>
            </w:r>
            <w:r w:rsidR="000F15F0">
              <w:rPr>
                <w:noProof/>
                <w:webHidden/>
              </w:rPr>
              <w:instrText xml:space="preserve"> PAGEREF _Toc128218227 \h </w:instrText>
            </w:r>
            <w:r w:rsidR="000F15F0">
              <w:rPr>
                <w:noProof/>
                <w:webHidden/>
              </w:rPr>
            </w:r>
            <w:r w:rsidR="000F15F0">
              <w:rPr>
                <w:noProof/>
                <w:webHidden/>
              </w:rPr>
              <w:fldChar w:fldCharType="separate"/>
            </w:r>
            <w:r w:rsidR="008E0D59">
              <w:rPr>
                <w:noProof/>
                <w:webHidden/>
              </w:rPr>
              <w:t>1</w:t>
            </w:r>
            <w:r w:rsidR="000F15F0">
              <w:rPr>
                <w:noProof/>
                <w:webHidden/>
              </w:rPr>
              <w:fldChar w:fldCharType="end"/>
            </w:r>
          </w:hyperlink>
        </w:p>
        <w:p w14:paraId="57CC6BB8" w14:textId="719D8F0A" w:rsidR="000F15F0" w:rsidRDefault="000F15F0">
          <w:pPr>
            <w:pStyle w:val="TOC1"/>
            <w:rPr>
              <w:rFonts w:asciiTheme="minorHAnsi" w:eastAsiaTheme="minorEastAsia" w:hAnsiTheme="minorHAnsi" w:cstheme="minorBidi"/>
              <w:noProof/>
              <w:kern w:val="2"/>
              <w:sz w:val="21"/>
              <w:szCs w:val="22"/>
            </w:rPr>
          </w:pPr>
          <w:hyperlink w:anchor="_Toc128218228" w:history="1">
            <w:r w:rsidRPr="00AE6D3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_Toc128218228 \h </w:instrText>
            </w:r>
            <w:r>
              <w:rPr>
                <w:noProof/>
                <w:webHidden/>
              </w:rPr>
            </w:r>
            <w:r>
              <w:rPr>
                <w:noProof/>
                <w:webHidden/>
              </w:rPr>
              <w:fldChar w:fldCharType="separate"/>
            </w:r>
            <w:r w:rsidR="008E0D59">
              <w:rPr>
                <w:noProof/>
                <w:webHidden/>
              </w:rPr>
              <w:t>4</w:t>
            </w:r>
            <w:r>
              <w:rPr>
                <w:noProof/>
                <w:webHidden/>
              </w:rPr>
              <w:fldChar w:fldCharType="end"/>
            </w:r>
          </w:hyperlink>
        </w:p>
        <w:p w14:paraId="584D6203" w14:textId="4B435391" w:rsidR="000F15F0" w:rsidRDefault="000F15F0">
          <w:pPr>
            <w:pStyle w:val="TOC1"/>
            <w:rPr>
              <w:rFonts w:asciiTheme="minorHAnsi" w:eastAsiaTheme="minorEastAsia" w:hAnsiTheme="minorHAnsi" w:cstheme="minorBidi"/>
              <w:noProof/>
              <w:kern w:val="2"/>
              <w:sz w:val="21"/>
              <w:szCs w:val="22"/>
            </w:rPr>
          </w:pPr>
          <w:hyperlink w:anchor="_Toc128218229" w:history="1">
            <w:r w:rsidRPr="00AE6D33">
              <w:rPr>
                <w:rStyle w:val="Hyperlink"/>
                <w:rFonts w:ascii="Times New Roman" w:hAnsi="Times New Roman" w:cs="Times New Roman"/>
                <w:noProof/>
              </w:rPr>
              <w:t>1. Overview</w:t>
            </w:r>
            <w:r>
              <w:rPr>
                <w:noProof/>
                <w:webHidden/>
              </w:rPr>
              <w:tab/>
            </w:r>
            <w:r>
              <w:rPr>
                <w:noProof/>
                <w:webHidden/>
              </w:rPr>
              <w:fldChar w:fldCharType="begin"/>
            </w:r>
            <w:r>
              <w:rPr>
                <w:noProof/>
                <w:webHidden/>
              </w:rPr>
              <w:instrText xml:space="preserve"> PAGEREF _Toc128218229 \h </w:instrText>
            </w:r>
            <w:r>
              <w:rPr>
                <w:noProof/>
                <w:webHidden/>
              </w:rPr>
            </w:r>
            <w:r>
              <w:rPr>
                <w:noProof/>
                <w:webHidden/>
              </w:rPr>
              <w:fldChar w:fldCharType="separate"/>
            </w:r>
            <w:r w:rsidR="008E0D59">
              <w:rPr>
                <w:noProof/>
                <w:webHidden/>
              </w:rPr>
              <w:t>4</w:t>
            </w:r>
            <w:r>
              <w:rPr>
                <w:noProof/>
                <w:webHidden/>
              </w:rPr>
              <w:fldChar w:fldCharType="end"/>
            </w:r>
          </w:hyperlink>
        </w:p>
        <w:p w14:paraId="2BB5E3B5" w14:textId="4FF13DF7" w:rsidR="000F15F0" w:rsidRDefault="000F15F0">
          <w:pPr>
            <w:pStyle w:val="TOC2"/>
            <w:rPr>
              <w:rFonts w:asciiTheme="minorHAnsi" w:eastAsiaTheme="minorEastAsia" w:hAnsiTheme="minorHAnsi" w:cstheme="minorBidi"/>
              <w:noProof/>
              <w:kern w:val="2"/>
              <w:sz w:val="21"/>
              <w:szCs w:val="22"/>
            </w:rPr>
          </w:pPr>
          <w:hyperlink w:anchor="_Toc128218230" w:history="1">
            <w:r w:rsidRPr="00AE6D33">
              <w:rPr>
                <w:rStyle w:val="Hyperlink"/>
                <w:rFonts w:ascii="Times New Roman" w:hAnsi="Times New Roman" w:cs="Times New Roman"/>
                <w:noProof/>
              </w:rPr>
              <w:t>1.1 Background information of Leapmotor IPO and market competition</w:t>
            </w:r>
            <w:r>
              <w:rPr>
                <w:noProof/>
                <w:webHidden/>
              </w:rPr>
              <w:tab/>
            </w:r>
            <w:r>
              <w:rPr>
                <w:noProof/>
                <w:webHidden/>
              </w:rPr>
              <w:fldChar w:fldCharType="begin"/>
            </w:r>
            <w:r>
              <w:rPr>
                <w:noProof/>
                <w:webHidden/>
              </w:rPr>
              <w:instrText xml:space="preserve"> PAGEREF _Toc128218230 \h </w:instrText>
            </w:r>
            <w:r>
              <w:rPr>
                <w:noProof/>
                <w:webHidden/>
              </w:rPr>
            </w:r>
            <w:r>
              <w:rPr>
                <w:noProof/>
                <w:webHidden/>
              </w:rPr>
              <w:fldChar w:fldCharType="separate"/>
            </w:r>
            <w:r w:rsidR="008E0D59">
              <w:rPr>
                <w:noProof/>
                <w:webHidden/>
              </w:rPr>
              <w:t>4</w:t>
            </w:r>
            <w:r>
              <w:rPr>
                <w:noProof/>
                <w:webHidden/>
              </w:rPr>
              <w:fldChar w:fldCharType="end"/>
            </w:r>
          </w:hyperlink>
        </w:p>
        <w:p w14:paraId="7BED6FB1" w14:textId="42DC3398" w:rsidR="000F15F0" w:rsidRPr="000F15F0" w:rsidRDefault="000F15F0">
          <w:pPr>
            <w:pStyle w:val="TOC2"/>
            <w:rPr>
              <w:rFonts w:ascii="Times New Roman" w:eastAsiaTheme="minorEastAsia" w:hAnsi="Times New Roman" w:cs="Times New Roman"/>
              <w:noProof/>
              <w:kern w:val="2"/>
              <w:sz w:val="21"/>
              <w:szCs w:val="22"/>
            </w:rPr>
          </w:pPr>
          <w:hyperlink w:anchor="_Toc128218231" w:history="1">
            <w:r w:rsidRPr="00AE6D33">
              <w:rPr>
                <w:rStyle w:val="Hyperlink"/>
                <w:rFonts w:ascii="Times New Roman" w:hAnsi="Times New Roman" w:cs="Times New Roman"/>
                <w:noProof/>
              </w:rPr>
              <w:t>1.2 Future Plans &amp; Use of Funds Raised</w:t>
            </w:r>
            <w:r>
              <w:rPr>
                <w:noProof/>
                <w:webHidden/>
              </w:rPr>
              <w:tab/>
            </w:r>
            <w:r>
              <w:rPr>
                <w:noProof/>
                <w:webHidden/>
              </w:rPr>
              <w:fldChar w:fldCharType="begin"/>
            </w:r>
            <w:r>
              <w:rPr>
                <w:noProof/>
                <w:webHidden/>
              </w:rPr>
              <w:instrText xml:space="preserve"> PAGEREF _Toc128218231 \h </w:instrText>
            </w:r>
            <w:r>
              <w:rPr>
                <w:noProof/>
                <w:webHidden/>
              </w:rPr>
            </w:r>
            <w:r>
              <w:rPr>
                <w:noProof/>
                <w:webHidden/>
              </w:rPr>
              <w:fldChar w:fldCharType="separate"/>
            </w:r>
            <w:r w:rsidR="008E0D59">
              <w:rPr>
                <w:noProof/>
                <w:webHidden/>
              </w:rPr>
              <w:t>5</w:t>
            </w:r>
            <w:r>
              <w:rPr>
                <w:noProof/>
                <w:webHidden/>
              </w:rPr>
              <w:fldChar w:fldCharType="end"/>
            </w:r>
          </w:hyperlink>
        </w:p>
        <w:p w14:paraId="5EE2CA71" w14:textId="5C8EAED9"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32" w:history="1">
            <w:r w:rsidRPr="00AE6D33">
              <w:rPr>
                <w:rStyle w:val="Hyperlink"/>
                <w:rFonts w:ascii="Times New Roman" w:hAnsi="Times New Roman" w:cs="Times New Roman"/>
                <w:noProof/>
              </w:rPr>
              <w:t>1.2.1 R&amp;D level</w:t>
            </w:r>
            <w:r>
              <w:rPr>
                <w:noProof/>
                <w:webHidden/>
              </w:rPr>
              <w:tab/>
            </w:r>
            <w:r>
              <w:rPr>
                <w:noProof/>
                <w:webHidden/>
              </w:rPr>
              <w:fldChar w:fldCharType="begin"/>
            </w:r>
            <w:r>
              <w:rPr>
                <w:noProof/>
                <w:webHidden/>
              </w:rPr>
              <w:instrText xml:space="preserve"> PAGEREF _Toc128218232 \h </w:instrText>
            </w:r>
            <w:r>
              <w:rPr>
                <w:noProof/>
                <w:webHidden/>
              </w:rPr>
            </w:r>
            <w:r>
              <w:rPr>
                <w:noProof/>
                <w:webHidden/>
              </w:rPr>
              <w:fldChar w:fldCharType="separate"/>
            </w:r>
            <w:r w:rsidR="008E0D59">
              <w:rPr>
                <w:noProof/>
                <w:webHidden/>
              </w:rPr>
              <w:t>5</w:t>
            </w:r>
            <w:r>
              <w:rPr>
                <w:noProof/>
                <w:webHidden/>
              </w:rPr>
              <w:fldChar w:fldCharType="end"/>
            </w:r>
          </w:hyperlink>
        </w:p>
        <w:p w14:paraId="3D7D35AE" w14:textId="0B4619D5"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33" w:history="1">
            <w:r w:rsidRPr="00AE6D33">
              <w:rPr>
                <w:rStyle w:val="Hyperlink"/>
                <w:rFonts w:ascii="Times New Roman" w:hAnsi="Times New Roman" w:cs="Times New Roman"/>
                <w:noProof/>
              </w:rPr>
              <w:t>1.2.2 Production capacity</w:t>
            </w:r>
            <w:r>
              <w:rPr>
                <w:noProof/>
                <w:webHidden/>
              </w:rPr>
              <w:tab/>
            </w:r>
            <w:r>
              <w:rPr>
                <w:noProof/>
                <w:webHidden/>
              </w:rPr>
              <w:fldChar w:fldCharType="begin"/>
            </w:r>
            <w:r>
              <w:rPr>
                <w:noProof/>
                <w:webHidden/>
              </w:rPr>
              <w:instrText xml:space="preserve"> PAGEREF _Toc128218233 \h </w:instrText>
            </w:r>
            <w:r>
              <w:rPr>
                <w:noProof/>
                <w:webHidden/>
              </w:rPr>
            </w:r>
            <w:r>
              <w:rPr>
                <w:noProof/>
                <w:webHidden/>
              </w:rPr>
              <w:fldChar w:fldCharType="separate"/>
            </w:r>
            <w:r w:rsidR="008E0D59">
              <w:rPr>
                <w:noProof/>
                <w:webHidden/>
              </w:rPr>
              <w:t>6</w:t>
            </w:r>
            <w:r>
              <w:rPr>
                <w:noProof/>
                <w:webHidden/>
              </w:rPr>
              <w:fldChar w:fldCharType="end"/>
            </w:r>
          </w:hyperlink>
        </w:p>
        <w:p w14:paraId="07812BE1" w14:textId="5BA6269C"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34" w:history="1">
            <w:r w:rsidRPr="00AE6D33">
              <w:rPr>
                <w:rStyle w:val="Hyperlink"/>
                <w:rFonts w:ascii="Times New Roman" w:hAnsi="Times New Roman" w:cs="Times New Roman"/>
                <w:noProof/>
              </w:rPr>
              <w:t>1.2.3 Business expansion</w:t>
            </w:r>
            <w:r>
              <w:rPr>
                <w:noProof/>
                <w:webHidden/>
              </w:rPr>
              <w:tab/>
            </w:r>
            <w:r>
              <w:rPr>
                <w:noProof/>
                <w:webHidden/>
              </w:rPr>
              <w:fldChar w:fldCharType="begin"/>
            </w:r>
            <w:r>
              <w:rPr>
                <w:noProof/>
                <w:webHidden/>
              </w:rPr>
              <w:instrText xml:space="preserve"> PAGEREF _Toc128218234 \h </w:instrText>
            </w:r>
            <w:r>
              <w:rPr>
                <w:noProof/>
                <w:webHidden/>
              </w:rPr>
            </w:r>
            <w:r>
              <w:rPr>
                <w:noProof/>
                <w:webHidden/>
              </w:rPr>
              <w:fldChar w:fldCharType="separate"/>
            </w:r>
            <w:r w:rsidR="008E0D59">
              <w:rPr>
                <w:noProof/>
                <w:webHidden/>
              </w:rPr>
              <w:t>6</w:t>
            </w:r>
            <w:r>
              <w:rPr>
                <w:noProof/>
                <w:webHidden/>
              </w:rPr>
              <w:fldChar w:fldCharType="end"/>
            </w:r>
          </w:hyperlink>
        </w:p>
        <w:p w14:paraId="017D1E26" w14:textId="514A9C8E"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35" w:history="1">
            <w:r w:rsidRPr="00AE6D33">
              <w:rPr>
                <w:rStyle w:val="Hyperlink"/>
                <w:rFonts w:ascii="Times New Roman" w:hAnsi="Times New Roman" w:cs="Times New Roman"/>
                <w:noProof/>
              </w:rPr>
              <w:t>1.2.4 Increase brand awareness</w:t>
            </w:r>
            <w:r>
              <w:rPr>
                <w:noProof/>
                <w:webHidden/>
              </w:rPr>
              <w:tab/>
            </w:r>
            <w:r>
              <w:rPr>
                <w:noProof/>
                <w:webHidden/>
              </w:rPr>
              <w:fldChar w:fldCharType="begin"/>
            </w:r>
            <w:r>
              <w:rPr>
                <w:noProof/>
                <w:webHidden/>
              </w:rPr>
              <w:instrText xml:space="preserve"> PAGEREF _Toc128218235 \h </w:instrText>
            </w:r>
            <w:r>
              <w:rPr>
                <w:noProof/>
                <w:webHidden/>
              </w:rPr>
            </w:r>
            <w:r>
              <w:rPr>
                <w:noProof/>
                <w:webHidden/>
              </w:rPr>
              <w:fldChar w:fldCharType="separate"/>
            </w:r>
            <w:r w:rsidR="008E0D59">
              <w:rPr>
                <w:noProof/>
                <w:webHidden/>
              </w:rPr>
              <w:t>6</w:t>
            </w:r>
            <w:r>
              <w:rPr>
                <w:noProof/>
                <w:webHidden/>
              </w:rPr>
              <w:fldChar w:fldCharType="end"/>
            </w:r>
          </w:hyperlink>
        </w:p>
        <w:p w14:paraId="37FA4F41" w14:textId="54859C21" w:rsidR="000F15F0" w:rsidRDefault="000F15F0">
          <w:pPr>
            <w:pStyle w:val="TOC2"/>
            <w:rPr>
              <w:rFonts w:asciiTheme="minorHAnsi" w:eastAsiaTheme="minorEastAsia" w:hAnsiTheme="minorHAnsi" w:cstheme="minorBidi"/>
              <w:noProof/>
              <w:kern w:val="2"/>
              <w:sz w:val="21"/>
              <w:szCs w:val="22"/>
            </w:rPr>
          </w:pPr>
          <w:hyperlink w:anchor="_Toc128218236" w:history="1">
            <w:r w:rsidRPr="00AE6D33">
              <w:rPr>
                <w:rStyle w:val="Hyperlink"/>
                <w:rFonts w:ascii="Times New Roman" w:hAnsi="Times New Roman" w:cs="Times New Roman"/>
                <w:noProof/>
              </w:rPr>
              <w:t>1.3 Models</w:t>
            </w:r>
            <w:r>
              <w:rPr>
                <w:noProof/>
                <w:webHidden/>
              </w:rPr>
              <w:tab/>
            </w:r>
            <w:r>
              <w:rPr>
                <w:noProof/>
                <w:webHidden/>
              </w:rPr>
              <w:fldChar w:fldCharType="begin"/>
            </w:r>
            <w:r>
              <w:rPr>
                <w:noProof/>
                <w:webHidden/>
              </w:rPr>
              <w:instrText xml:space="preserve"> PAGEREF _Toc128218236 \h </w:instrText>
            </w:r>
            <w:r>
              <w:rPr>
                <w:noProof/>
                <w:webHidden/>
              </w:rPr>
            </w:r>
            <w:r>
              <w:rPr>
                <w:noProof/>
                <w:webHidden/>
              </w:rPr>
              <w:fldChar w:fldCharType="separate"/>
            </w:r>
            <w:r w:rsidR="008E0D59">
              <w:rPr>
                <w:noProof/>
                <w:webHidden/>
              </w:rPr>
              <w:t>6</w:t>
            </w:r>
            <w:r>
              <w:rPr>
                <w:noProof/>
                <w:webHidden/>
              </w:rPr>
              <w:fldChar w:fldCharType="end"/>
            </w:r>
          </w:hyperlink>
        </w:p>
        <w:p w14:paraId="18BF33FA" w14:textId="7D036D37" w:rsidR="000F15F0" w:rsidRDefault="000F15F0">
          <w:pPr>
            <w:pStyle w:val="TOC2"/>
            <w:rPr>
              <w:rFonts w:asciiTheme="minorHAnsi" w:eastAsiaTheme="minorEastAsia" w:hAnsiTheme="minorHAnsi" w:cstheme="minorBidi"/>
              <w:noProof/>
              <w:kern w:val="2"/>
              <w:sz w:val="21"/>
              <w:szCs w:val="22"/>
            </w:rPr>
          </w:pPr>
          <w:hyperlink w:anchor="_Toc128218237" w:history="1">
            <w:r w:rsidRPr="00AE6D33">
              <w:rPr>
                <w:rStyle w:val="Hyperlink"/>
                <w:rFonts w:ascii="Times New Roman" w:hAnsi="Times New Roman" w:cs="Times New Roman"/>
                <w:noProof/>
              </w:rPr>
              <w:t>1.4 Market Competitiveness Analysis</w:t>
            </w:r>
            <w:r>
              <w:rPr>
                <w:noProof/>
                <w:webHidden/>
              </w:rPr>
              <w:tab/>
            </w:r>
            <w:r>
              <w:rPr>
                <w:noProof/>
                <w:webHidden/>
              </w:rPr>
              <w:fldChar w:fldCharType="begin"/>
            </w:r>
            <w:r>
              <w:rPr>
                <w:noProof/>
                <w:webHidden/>
              </w:rPr>
              <w:instrText xml:space="preserve"> PAGEREF _Toc128218237 \h </w:instrText>
            </w:r>
            <w:r>
              <w:rPr>
                <w:noProof/>
                <w:webHidden/>
              </w:rPr>
            </w:r>
            <w:r>
              <w:rPr>
                <w:noProof/>
                <w:webHidden/>
              </w:rPr>
              <w:fldChar w:fldCharType="separate"/>
            </w:r>
            <w:r w:rsidR="008E0D59">
              <w:rPr>
                <w:noProof/>
                <w:webHidden/>
              </w:rPr>
              <w:t>7</w:t>
            </w:r>
            <w:r>
              <w:rPr>
                <w:noProof/>
                <w:webHidden/>
              </w:rPr>
              <w:fldChar w:fldCharType="end"/>
            </w:r>
          </w:hyperlink>
        </w:p>
        <w:p w14:paraId="7A39C812" w14:textId="19688C00"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38" w:history="1">
            <w:r w:rsidRPr="00AE6D33">
              <w:rPr>
                <w:rStyle w:val="Hyperlink"/>
                <w:rFonts w:ascii="Times New Roman" w:hAnsi="Times New Roman" w:cs="Times New Roman"/>
                <w:noProof/>
              </w:rPr>
              <w:t>1.4.1 Competitive advantages in R&amp;D</w:t>
            </w:r>
            <w:r>
              <w:rPr>
                <w:noProof/>
                <w:webHidden/>
              </w:rPr>
              <w:tab/>
            </w:r>
            <w:r>
              <w:rPr>
                <w:noProof/>
                <w:webHidden/>
              </w:rPr>
              <w:fldChar w:fldCharType="begin"/>
            </w:r>
            <w:r>
              <w:rPr>
                <w:noProof/>
                <w:webHidden/>
              </w:rPr>
              <w:instrText xml:space="preserve"> PAGEREF _Toc128218238 \h </w:instrText>
            </w:r>
            <w:r>
              <w:rPr>
                <w:noProof/>
                <w:webHidden/>
              </w:rPr>
            </w:r>
            <w:r>
              <w:rPr>
                <w:noProof/>
                <w:webHidden/>
              </w:rPr>
              <w:fldChar w:fldCharType="separate"/>
            </w:r>
            <w:r w:rsidR="008E0D59">
              <w:rPr>
                <w:noProof/>
                <w:webHidden/>
              </w:rPr>
              <w:t>7</w:t>
            </w:r>
            <w:r>
              <w:rPr>
                <w:noProof/>
                <w:webHidden/>
              </w:rPr>
              <w:fldChar w:fldCharType="end"/>
            </w:r>
          </w:hyperlink>
        </w:p>
        <w:p w14:paraId="15BD5AF8" w14:textId="6755B1C6"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39" w:history="1">
            <w:r w:rsidRPr="00AE6D33">
              <w:rPr>
                <w:rStyle w:val="Hyperlink"/>
                <w:rFonts w:ascii="Times New Roman" w:hAnsi="Times New Roman" w:cs="Times New Roman"/>
                <w:noProof/>
              </w:rPr>
              <w:t>1.4.2. Competitive advantages at the channel end</w:t>
            </w:r>
            <w:r>
              <w:rPr>
                <w:noProof/>
                <w:webHidden/>
              </w:rPr>
              <w:tab/>
            </w:r>
            <w:r>
              <w:rPr>
                <w:noProof/>
                <w:webHidden/>
              </w:rPr>
              <w:fldChar w:fldCharType="begin"/>
            </w:r>
            <w:r>
              <w:rPr>
                <w:noProof/>
                <w:webHidden/>
              </w:rPr>
              <w:instrText xml:space="preserve"> PAGEREF _Toc128218239 \h </w:instrText>
            </w:r>
            <w:r>
              <w:rPr>
                <w:noProof/>
                <w:webHidden/>
              </w:rPr>
            </w:r>
            <w:r>
              <w:rPr>
                <w:noProof/>
                <w:webHidden/>
              </w:rPr>
              <w:fldChar w:fldCharType="separate"/>
            </w:r>
            <w:r w:rsidR="008E0D59">
              <w:rPr>
                <w:noProof/>
                <w:webHidden/>
              </w:rPr>
              <w:t>7</w:t>
            </w:r>
            <w:r>
              <w:rPr>
                <w:noProof/>
                <w:webHidden/>
              </w:rPr>
              <w:fldChar w:fldCharType="end"/>
            </w:r>
          </w:hyperlink>
        </w:p>
        <w:p w14:paraId="1C579C76" w14:textId="43D8C17B" w:rsidR="000F15F0" w:rsidRDefault="000F15F0">
          <w:pPr>
            <w:pStyle w:val="TOC1"/>
            <w:rPr>
              <w:rFonts w:asciiTheme="minorHAnsi" w:eastAsiaTheme="minorEastAsia" w:hAnsiTheme="minorHAnsi" w:cstheme="minorBidi"/>
              <w:noProof/>
              <w:kern w:val="2"/>
              <w:sz w:val="21"/>
              <w:szCs w:val="22"/>
            </w:rPr>
          </w:pPr>
          <w:hyperlink w:anchor="_Toc128218240" w:history="1">
            <w:r w:rsidRPr="00AE6D33">
              <w:rPr>
                <w:rStyle w:val="Hyperlink"/>
                <w:rFonts w:ascii="Times New Roman" w:hAnsi="Times New Roman" w:cs="Times New Roman"/>
                <w:noProof/>
              </w:rPr>
              <w:t>2. Concerns about Profitability Influence the Valuation Multiples.</w:t>
            </w:r>
            <w:r>
              <w:rPr>
                <w:noProof/>
                <w:webHidden/>
              </w:rPr>
              <w:tab/>
            </w:r>
            <w:r>
              <w:rPr>
                <w:noProof/>
                <w:webHidden/>
              </w:rPr>
              <w:fldChar w:fldCharType="begin"/>
            </w:r>
            <w:r>
              <w:rPr>
                <w:noProof/>
                <w:webHidden/>
              </w:rPr>
              <w:instrText xml:space="preserve"> PAGEREF _Toc128218240 \h </w:instrText>
            </w:r>
            <w:r>
              <w:rPr>
                <w:noProof/>
                <w:webHidden/>
              </w:rPr>
            </w:r>
            <w:r>
              <w:rPr>
                <w:noProof/>
                <w:webHidden/>
              </w:rPr>
              <w:fldChar w:fldCharType="separate"/>
            </w:r>
            <w:r w:rsidR="008E0D59">
              <w:rPr>
                <w:noProof/>
                <w:webHidden/>
              </w:rPr>
              <w:t>8</w:t>
            </w:r>
            <w:r>
              <w:rPr>
                <w:noProof/>
                <w:webHidden/>
              </w:rPr>
              <w:fldChar w:fldCharType="end"/>
            </w:r>
          </w:hyperlink>
        </w:p>
        <w:p w14:paraId="681A0F77" w14:textId="6505B569" w:rsidR="000F15F0" w:rsidRDefault="000F15F0">
          <w:pPr>
            <w:pStyle w:val="TOC1"/>
            <w:rPr>
              <w:rFonts w:asciiTheme="minorHAnsi" w:eastAsiaTheme="minorEastAsia" w:hAnsiTheme="minorHAnsi" w:cstheme="minorBidi"/>
              <w:noProof/>
              <w:kern w:val="2"/>
              <w:sz w:val="21"/>
              <w:szCs w:val="22"/>
            </w:rPr>
          </w:pPr>
          <w:hyperlink w:anchor="_Toc128218241" w:history="1">
            <w:r w:rsidRPr="00AE6D33">
              <w:rPr>
                <w:rStyle w:val="Hyperlink"/>
                <w:rFonts w:ascii="Times New Roman" w:hAnsi="Times New Roman" w:cs="Times New Roman"/>
                <w:noProof/>
              </w:rPr>
              <w:t>3. Valuation</w:t>
            </w:r>
            <w:r>
              <w:rPr>
                <w:noProof/>
                <w:webHidden/>
              </w:rPr>
              <w:tab/>
            </w:r>
            <w:r>
              <w:rPr>
                <w:noProof/>
                <w:webHidden/>
              </w:rPr>
              <w:fldChar w:fldCharType="begin"/>
            </w:r>
            <w:r>
              <w:rPr>
                <w:noProof/>
                <w:webHidden/>
              </w:rPr>
              <w:instrText xml:space="preserve"> PAGEREF _Toc128218241 \h </w:instrText>
            </w:r>
            <w:r>
              <w:rPr>
                <w:noProof/>
                <w:webHidden/>
              </w:rPr>
            </w:r>
            <w:r>
              <w:rPr>
                <w:noProof/>
                <w:webHidden/>
              </w:rPr>
              <w:fldChar w:fldCharType="separate"/>
            </w:r>
            <w:r w:rsidR="008E0D59">
              <w:rPr>
                <w:noProof/>
                <w:webHidden/>
              </w:rPr>
              <w:t>11</w:t>
            </w:r>
            <w:r>
              <w:rPr>
                <w:noProof/>
                <w:webHidden/>
              </w:rPr>
              <w:fldChar w:fldCharType="end"/>
            </w:r>
          </w:hyperlink>
        </w:p>
        <w:p w14:paraId="4AD035B3" w14:textId="47FC7A21" w:rsidR="000F15F0" w:rsidRDefault="000F15F0">
          <w:pPr>
            <w:pStyle w:val="TOC2"/>
            <w:rPr>
              <w:rFonts w:asciiTheme="minorHAnsi" w:eastAsiaTheme="minorEastAsia" w:hAnsiTheme="minorHAnsi" w:cstheme="minorBidi"/>
              <w:noProof/>
              <w:kern w:val="2"/>
              <w:sz w:val="21"/>
              <w:szCs w:val="22"/>
            </w:rPr>
          </w:pPr>
          <w:hyperlink w:anchor="_Toc128218242" w:history="1">
            <w:r w:rsidRPr="00AE6D33">
              <w:rPr>
                <w:rStyle w:val="Hyperlink"/>
                <w:rFonts w:ascii="Times New Roman" w:hAnsi="Times New Roman" w:cs="Times New Roman"/>
                <w:noProof/>
              </w:rPr>
              <w:t>3.1 Operation analysis</w:t>
            </w:r>
            <w:r>
              <w:rPr>
                <w:noProof/>
                <w:webHidden/>
              </w:rPr>
              <w:tab/>
            </w:r>
            <w:r>
              <w:rPr>
                <w:noProof/>
                <w:webHidden/>
              </w:rPr>
              <w:fldChar w:fldCharType="begin"/>
            </w:r>
            <w:r>
              <w:rPr>
                <w:noProof/>
                <w:webHidden/>
              </w:rPr>
              <w:instrText xml:space="preserve"> PAGEREF _Toc128218242 \h </w:instrText>
            </w:r>
            <w:r>
              <w:rPr>
                <w:noProof/>
                <w:webHidden/>
              </w:rPr>
            </w:r>
            <w:r>
              <w:rPr>
                <w:noProof/>
                <w:webHidden/>
              </w:rPr>
              <w:fldChar w:fldCharType="separate"/>
            </w:r>
            <w:r w:rsidR="008E0D59">
              <w:rPr>
                <w:noProof/>
                <w:webHidden/>
              </w:rPr>
              <w:t>11</w:t>
            </w:r>
            <w:r>
              <w:rPr>
                <w:noProof/>
                <w:webHidden/>
              </w:rPr>
              <w:fldChar w:fldCharType="end"/>
            </w:r>
          </w:hyperlink>
        </w:p>
        <w:p w14:paraId="30A8FC54" w14:textId="06ED95DD"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43" w:history="1">
            <w:r w:rsidRPr="00AE6D33">
              <w:rPr>
                <w:rStyle w:val="Hyperlink"/>
                <w:rFonts w:ascii="Times New Roman" w:hAnsi="Times New Roman" w:cs="Times New Roman"/>
                <w:noProof/>
              </w:rPr>
              <w:t>3.1.3 Revenue from Service revenue</w:t>
            </w:r>
            <w:r>
              <w:rPr>
                <w:noProof/>
                <w:webHidden/>
              </w:rPr>
              <w:tab/>
            </w:r>
            <w:r>
              <w:rPr>
                <w:noProof/>
                <w:webHidden/>
              </w:rPr>
              <w:fldChar w:fldCharType="begin"/>
            </w:r>
            <w:r>
              <w:rPr>
                <w:noProof/>
                <w:webHidden/>
              </w:rPr>
              <w:instrText xml:space="preserve"> PAGEREF _Toc128218243 \h </w:instrText>
            </w:r>
            <w:r>
              <w:rPr>
                <w:noProof/>
                <w:webHidden/>
              </w:rPr>
            </w:r>
            <w:r>
              <w:rPr>
                <w:noProof/>
                <w:webHidden/>
              </w:rPr>
              <w:fldChar w:fldCharType="separate"/>
            </w:r>
            <w:r w:rsidR="008E0D59">
              <w:rPr>
                <w:noProof/>
                <w:webHidden/>
              </w:rPr>
              <w:t>12</w:t>
            </w:r>
            <w:r>
              <w:rPr>
                <w:noProof/>
                <w:webHidden/>
              </w:rPr>
              <w:fldChar w:fldCharType="end"/>
            </w:r>
          </w:hyperlink>
        </w:p>
        <w:p w14:paraId="5DE4F65C" w14:textId="495D4027" w:rsidR="000F15F0" w:rsidRDefault="000F15F0">
          <w:pPr>
            <w:pStyle w:val="TOC2"/>
            <w:rPr>
              <w:rFonts w:asciiTheme="minorHAnsi" w:eastAsiaTheme="minorEastAsia" w:hAnsiTheme="minorHAnsi" w:cstheme="minorBidi"/>
              <w:noProof/>
              <w:kern w:val="2"/>
              <w:sz w:val="21"/>
              <w:szCs w:val="22"/>
            </w:rPr>
          </w:pPr>
          <w:hyperlink w:anchor="_Toc128218244" w:history="1">
            <w:r w:rsidRPr="00AE6D33">
              <w:rPr>
                <w:rStyle w:val="Hyperlink"/>
                <w:rFonts w:ascii="Times New Roman" w:hAnsi="Times New Roman" w:cs="Times New Roman"/>
                <w:noProof/>
              </w:rPr>
              <w:t>3.2 Key assumptions</w:t>
            </w:r>
            <w:r>
              <w:rPr>
                <w:noProof/>
                <w:webHidden/>
              </w:rPr>
              <w:tab/>
            </w:r>
            <w:r>
              <w:rPr>
                <w:noProof/>
                <w:webHidden/>
              </w:rPr>
              <w:fldChar w:fldCharType="begin"/>
            </w:r>
            <w:r>
              <w:rPr>
                <w:noProof/>
                <w:webHidden/>
              </w:rPr>
              <w:instrText xml:space="preserve"> PAGEREF _Toc128218244 \h </w:instrText>
            </w:r>
            <w:r>
              <w:rPr>
                <w:noProof/>
                <w:webHidden/>
              </w:rPr>
            </w:r>
            <w:r>
              <w:rPr>
                <w:noProof/>
                <w:webHidden/>
              </w:rPr>
              <w:fldChar w:fldCharType="separate"/>
            </w:r>
            <w:r w:rsidR="008E0D59">
              <w:rPr>
                <w:noProof/>
                <w:webHidden/>
              </w:rPr>
              <w:t>12</w:t>
            </w:r>
            <w:r>
              <w:rPr>
                <w:noProof/>
                <w:webHidden/>
              </w:rPr>
              <w:fldChar w:fldCharType="end"/>
            </w:r>
          </w:hyperlink>
        </w:p>
        <w:p w14:paraId="33CC0B14" w14:textId="67C11F28"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45" w:history="1">
            <w:r w:rsidRPr="00AE6D33">
              <w:rPr>
                <w:rStyle w:val="Hyperlink"/>
                <w:rFonts w:ascii="Times New Roman" w:hAnsi="Times New Roman" w:cs="Times New Roman"/>
                <w:noProof/>
              </w:rPr>
              <w:t>3.2.1 Sales Growth of new energy vehicle in China</w:t>
            </w:r>
            <w:r>
              <w:rPr>
                <w:noProof/>
                <w:webHidden/>
              </w:rPr>
              <w:tab/>
            </w:r>
            <w:r>
              <w:rPr>
                <w:noProof/>
                <w:webHidden/>
              </w:rPr>
              <w:fldChar w:fldCharType="begin"/>
            </w:r>
            <w:r>
              <w:rPr>
                <w:noProof/>
                <w:webHidden/>
              </w:rPr>
              <w:instrText xml:space="preserve"> PAGEREF _Toc128218245 \h </w:instrText>
            </w:r>
            <w:r>
              <w:rPr>
                <w:noProof/>
                <w:webHidden/>
              </w:rPr>
            </w:r>
            <w:r>
              <w:rPr>
                <w:noProof/>
                <w:webHidden/>
              </w:rPr>
              <w:fldChar w:fldCharType="separate"/>
            </w:r>
            <w:r w:rsidR="008E0D59">
              <w:rPr>
                <w:noProof/>
                <w:webHidden/>
              </w:rPr>
              <w:t>12</w:t>
            </w:r>
            <w:r>
              <w:rPr>
                <w:noProof/>
                <w:webHidden/>
              </w:rPr>
              <w:fldChar w:fldCharType="end"/>
            </w:r>
          </w:hyperlink>
        </w:p>
        <w:p w14:paraId="35D1C812" w14:textId="6DAC61F3"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46" w:history="1">
            <w:r w:rsidRPr="00AE6D33">
              <w:rPr>
                <w:rStyle w:val="Hyperlink"/>
                <w:rFonts w:ascii="Times New Roman" w:hAnsi="Times New Roman" w:cs="Times New Roman"/>
                <w:noProof/>
              </w:rPr>
              <w:t>3.2.2 Vehicle and parts sales revenue</w:t>
            </w:r>
            <w:r>
              <w:rPr>
                <w:noProof/>
                <w:webHidden/>
              </w:rPr>
              <w:tab/>
            </w:r>
            <w:r>
              <w:rPr>
                <w:noProof/>
                <w:webHidden/>
              </w:rPr>
              <w:fldChar w:fldCharType="begin"/>
            </w:r>
            <w:r>
              <w:rPr>
                <w:noProof/>
                <w:webHidden/>
              </w:rPr>
              <w:instrText xml:space="preserve"> PAGEREF _Toc128218246 \h </w:instrText>
            </w:r>
            <w:r>
              <w:rPr>
                <w:noProof/>
                <w:webHidden/>
              </w:rPr>
            </w:r>
            <w:r>
              <w:rPr>
                <w:noProof/>
                <w:webHidden/>
              </w:rPr>
              <w:fldChar w:fldCharType="separate"/>
            </w:r>
            <w:r w:rsidR="008E0D59">
              <w:rPr>
                <w:noProof/>
                <w:webHidden/>
              </w:rPr>
              <w:t>12</w:t>
            </w:r>
            <w:r>
              <w:rPr>
                <w:noProof/>
                <w:webHidden/>
              </w:rPr>
              <w:fldChar w:fldCharType="end"/>
            </w:r>
          </w:hyperlink>
        </w:p>
        <w:p w14:paraId="4BF53128" w14:textId="0F8D7967"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47" w:history="1">
            <w:r w:rsidRPr="00AE6D33">
              <w:rPr>
                <w:rStyle w:val="Hyperlink"/>
                <w:rFonts w:ascii="Times New Roman" w:hAnsi="Times New Roman" w:cs="Times New Roman"/>
                <w:noProof/>
              </w:rPr>
              <w:t>3.2.3 Market share of Leapmotor vehicles at different price points</w:t>
            </w:r>
            <w:r>
              <w:rPr>
                <w:noProof/>
                <w:webHidden/>
              </w:rPr>
              <w:tab/>
            </w:r>
            <w:r>
              <w:rPr>
                <w:noProof/>
                <w:webHidden/>
              </w:rPr>
              <w:fldChar w:fldCharType="begin"/>
            </w:r>
            <w:r>
              <w:rPr>
                <w:noProof/>
                <w:webHidden/>
              </w:rPr>
              <w:instrText xml:space="preserve"> PAGEREF _Toc128218247 \h </w:instrText>
            </w:r>
            <w:r>
              <w:rPr>
                <w:noProof/>
                <w:webHidden/>
              </w:rPr>
            </w:r>
            <w:r>
              <w:rPr>
                <w:noProof/>
                <w:webHidden/>
              </w:rPr>
              <w:fldChar w:fldCharType="separate"/>
            </w:r>
            <w:r w:rsidR="008E0D59">
              <w:rPr>
                <w:noProof/>
                <w:webHidden/>
              </w:rPr>
              <w:t>13</w:t>
            </w:r>
            <w:r>
              <w:rPr>
                <w:noProof/>
                <w:webHidden/>
              </w:rPr>
              <w:fldChar w:fldCharType="end"/>
            </w:r>
          </w:hyperlink>
        </w:p>
        <w:p w14:paraId="186BA479" w14:textId="0F8C2CFF"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48" w:history="1">
            <w:r w:rsidRPr="00AE6D33">
              <w:rPr>
                <w:rStyle w:val="Hyperlink"/>
                <w:rFonts w:ascii="Times New Roman" w:hAnsi="Times New Roman" w:cs="Times New Roman"/>
                <w:noProof/>
              </w:rPr>
              <w:t>3.2.4 Cost of Equity (βcoefficient)</w:t>
            </w:r>
            <w:r>
              <w:rPr>
                <w:noProof/>
                <w:webHidden/>
              </w:rPr>
              <w:tab/>
            </w:r>
            <w:r>
              <w:rPr>
                <w:noProof/>
                <w:webHidden/>
              </w:rPr>
              <w:fldChar w:fldCharType="begin"/>
            </w:r>
            <w:r>
              <w:rPr>
                <w:noProof/>
                <w:webHidden/>
              </w:rPr>
              <w:instrText xml:space="preserve"> PAGEREF _Toc128218248 \h </w:instrText>
            </w:r>
            <w:r>
              <w:rPr>
                <w:noProof/>
                <w:webHidden/>
              </w:rPr>
            </w:r>
            <w:r>
              <w:rPr>
                <w:noProof/>
                <w:webHidden/>
              </w:rPr>
              <w:fldChar w:fldCharType="separate"/>
            </w:r>
            <w:r w:rsidR="008E0D59">
              <w:rPr>
                <w:noProof/>
                <w:webHidden/>
              </w:rPr>
              <w:t>14</w:t>
            </w:r>
            <w:r>
              <w:rPr>
                <w:noProof/>
                <w:webHidden/>
              </w:rPr>
              <w:fldChar w:fldCharType="end"/>
            </w:r>
          </w:hyperlink>
        </w:p>
        <w:p w14:paraId="749180BC" w14:textId="1409F35A" w:rsidR="000F15F0" w:rsidRDefault="000F15F0">
          <w:pPr>
            <w:pStyle w:val="TOC3"/>
            <w:tabs>
              <w:tab w:val="right" w:leader="dot" w:pos="9016"/>
            </w:tabs>
            <w:rPr>
              <w:rFonts w:asciiTheme="minorHAnsi" w:eastAsiaTheme="minorEastAsia" w:hAnsiTheme="minorHAnsi" w:cstheme="minorBidi"/>
              <w:noProof/>
              <w:kern w:val="2"/>
              <w:sz w:val="21"/>
              <w:szCs w:val="22"/>
            </w:rPr>
          </w:pPr>
          <w:hyperlink w:anchor="_Toc128218249" w:history="1">
            <w:r w:rsidRPr="00AE6D33">
              <w:rPr>
                <w:rStyle w:val="Hyperlink"/>
                <w:rFonts w:ascii="Times New Roman" w:hAnsi="Times New Roman" w:cs="Times New Roman"/>
                <w:noProof/>
              </w:rPr>
              <w:t>3.2.5 Cost of Debt</w:t>
            </w:r>
            <w:r>
              <w:rPr>
                <w:noProof/>
                <w:webHidden/>
              </w:rPr>
              <w:tab/>
            </w:r>
            <w:r>
              <w:rPr>
                <w:noProof/>
                <w:webHidden/>
              </w:rPr>
              <w:fldChar w:fldCharType="begin"/>
            </w:r>
            <w:r>
              <w:rPr>
                <w:noProof/>
                <w:webHidden/>
              </w:rPr>
              <w:instrText xml:space="preserve"> PAGEREF _Toc128218249 \h </w:instrText>
            </w:r>
            <w:r>
              <w:rPr>
                <w:noProof/>
                <w:webHidden/>
              </w:rPr>
            </w:r>
            <w:r>
              <w:rPr>
                <w:noProof/>
                <w:webHidden/>
              </w:rPr>
              <w:fldChar w:fldCharType="separate"/>
            </w:r>
            <w:r w:rsidR="008E0D59">
              <w:rPr>
                <w:noProof/>
                <w:webHidden/>
              </w:rPr>
              <w:t>14</w:t>
            </w:r>
            <w:r>
              <w:rPr>
                <w:noProof/>
                <w:webHidden/>
              </w:rPr>
              <w:fldChar w:fldCharType="end"/>
            </w:r>
          </w:hyperlink>
        </w:p>
        <w:p w14:paraId="0D0490C7" w14:textId="3A12ABF5" w:rsidR="000F15F0" w:rsidRDefault="000F15F0">
          <w:pPr>
            <w:pStyle w:val="TOC2"/>
            <w:rPr>
              <w:rFonts w:asciiTheme="minorHAnsi" w:eastAsiaTheme="minorEastAsia" w:hAnsiTheme="minorHAnsi" w:cstheme="minorBidi"/>
              <w:noProof/>
              <w:kern w:val="2"/>
              <w:sz w:val="21"/>
              <w:szCs w:val="22"/>
            </w:rPr>
          </w:pPr>
          <w:hyperlink w:anchor="_Toc128218250" w:history="1">
            <w:r w:rsidRPr="00AE6D33">
              <w:rPr>
                <w:rStyle w:val="Hyperlink"/>
                <w:rFonts w:ascii="Times New Roman" w:hAnsi="Times New Roman" w:cs="Times New Roman"/>
                <w:noProof/>
              </w:rPr>
              <w:t>3.3 Valuation Interpretation</w:t>
            </w:r>
            <w:r>
              <w:rPr>
                <w:noProof/>
                <w:webHidden/>
              </w:rPr>
              <w:tab/>
            </w:r>
            <w:r>
              <w:rPr>
                <w:noProof/>
                <w:webHidden/>
              </w:rPr>
              <w:fldChar w:fldCharType="begin"/>
            </w:r>
            <w:r>
              <w:rPr>
                <w:noProof/>
                <w:webHidden/>
              </w:rPr>
              <w:instrText xml:space="preserve"> PAGEREF _Toc128218250 \h </w:instrText>
            </w:r>
            <w:r>
              <w:rPr>
                <w:noProof/>
                <w:webHidden/>
              </w:rPr>
            </w:r>
            <w:r>
              <w:rPr>
                <w:noProof/>
                <w:webHidden/>
              </w:rPr>
              <w:fldChar w:fldCharType="separate"/>
            </w:r>
            <w:r w:rsidR="008E0D59">
              <w:rPr>
                <w:noProof/>
                <w:webHidden/>
              </w:rPr>
              <w:t>15</w:t>
            </w:r>
            <w:r>
              <w:rPr>
                <w:noProof/>
                <w:webHidden/>
              </w:rPr>
              <w:fldChar w:fldCharType="end"/>
            </w:r>
          </w:hyperlink>
        </w:p>
        <w:p w14:paraId="0332EC1A" w14:textId="4A6AC630" w:rsidR="000F15F0" w:rsidRDefault="000F15F0">
          <w:pPr>
            <w:pStyle w:val="TOC1"/>
            <w:rPr>
              <w:rFonts w:asciiTheme="minorHAnsi" w:eastAsiaTheme="minorEastAsia" w:hAnsiTheme="minorHAnsi" w:cstheme="minorBidi"/>
              <w:noProof/>
              <w:kern w:val="2"/>
              <w:sz w:val="21"/>
              <w:szCs w:val="22"/>
            </w:rPr>
          </w:pPr>
          <w:hyperlink w:anchor="_Toc128218251" w:history="1">
            <w:r w:rsidRPr="00AE6D3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_Toc128218251 \h </w:instrText>
            </w:r>
            <w:r>
              <w:rPr>
                <w:noProof/>
                <w:webHidden/>
              </w:rPr>
            </w:r>
            <w:r>
              <w:rPr>
                <w:noProof/>
                <w:webHidden/>
              </w:rPr>
              <w:fldChar w:fldCharType="separate"/>
            </w:r>
            <w:r w:rsidR="008E0D59">
              <w:rPr>
                <w:noProof/>
                <w:webHidden/>
              </w:rPr>
              <w:t>15</w:t>
            </w:r>
            <w:r>
              <w:rPr>
                <w:noProof/>
                <w:webHidden/>
              </w:rPr>
              <w:fldChar w:fldCharType="end"/>
            </w:r>
          </w:hyperlink>
        </w:p>
        <w:p w14:paraId="52E2D08F" w14:textId="539851B3" w:rsidR="00995CC4" w:rsidRDefault="000211E8" w:rsidP="003B015E">
          <w:pPr>
            <w:spacing w:line="360" w:lineRule="auto"/>
            <w:rPr>
              <w:sz w:val="28"/>
            </w:rPr>
          </w:pPr>
          <w:r w:rsidRPr="000C72F5">
            <w:rPr>
              <w:sz w:val="28"/>
            </w:rPr>
            <w:fldChar w:fldCharType="end"/>
          </w:r>
        </w:p>
      </w:sdtContent>
    </w:sdt>
    <w:p w14:paraId="6267DA09" w14:textId="77777777" w:rsidR="00995CC4" w:rsidRDefault="000211E8" w:rsidP="003B015E">
      <w:pPr>
        <w:spacing w:line="360" w:lineRule="auto"/>
        <w:rPr>
          <w:color w:val="003300"/>
          <w:sz w:val="44"/>
          <w:szCs w:val="44"/>
        </w:rPr>
      </w:pPr>
      <w:r>
        <w:rPr>
          <w:color w:val="003300"/>
          <w:sz w:val="44"/>
          <w:szCs w:val="44"/>
        </w:rPr>
        <w:br w:type="page"/>
      </w:r>
    </w:p>
    <w:p w14:paraId="4F0D2E16" w14:textId="622CF257" w:rsidR="00DD1A4A" w:rsidRDefault="00DD20D9" w:rsidP="00045333">
      <w:pPr>
        <w:pStyle w:val="Heading1"/>
        <w:spacing w:line="360" w:lineRule="auto"/>
        <w:rPr>
          <w:rFonts w:ascii="Times New Roman" w:hAnsi="Times New Roman" w:cs="Times New Roman"/>
          <w:szCs w:val="36"/>
        </w:rPr>
      </w:pPr>
      <w:bookmarkStart w:id="3" w:name="_Toc128218228"/>
      <w:r>
        <w:rPr>
          <w:rFonts w:ascii="Times New Roman" w:hAnsi="Times New Roman" w:cs="Times New Roman" w:hint="eastAsia"/>
          <w:szCs w:val="36"/>
        </w:rPr>
        <w:lastRenderedPageBreak/>
        <w:t>Introduction</w:t>
      </w:r>
      <w:bookmarkEnd w:id="3"/>
    </w:p>
    <w:p w14:paraId="5B9D2423" w14:textId="5155DC11" w:rsidR="0097490C" w:rsidRDefault="0097490C" w:rsidP="00C153C9">
      <w:pPr>
        <w:spacing w:line="360" w:lineRule="auto"/>
        <w:jc w:val="both"/>
      </w:pPr>
      <w:r>
        <w:t xml:space="preserve">At the end of the first trading day, the share price of Leapmotor had </w:t>
      </w:r>
      <w:r>
        <w:rPr>
          <w:rFonts w:hint="eastAsia"/>
        </w:rPr>
        <w:t>a</w:t>
      </w:r>
      <w:r>
        <w:t xml:space="preserve"> precipitous drop to 31.9</w:t>
      </w:r>
      <w:r w:rsidR="00C62C3E">
        <w:t>0</w:t>
      </w:r>
      <w:r w:rsidR="008C3C5E">
        <w:t xml:space="preserve"> </w:t>
      </w:r>
      <w:r w:rsidR="008C3C5E" w:rsidRPr="00F766D2">
        <w:rPr>
          <w:rFonts w:hint="eastAsia"/>
        </w:rPr>
        <w:t>HKD</w:t>
      </w:r>
      <w:r>
        <w:t>, which is 33.5</w:t>
      </w:r>
      <w:r w:rsidR="00C62C3E">
        <w:t>0</w:t>
      </w:r>
      <w:r>
        <w:t>% lower than its issue price of 48</w:t>
      </w:r>
      <w:r w:rsidR="009B585F">
        <w:t>.0</w:t>
      </w:r>
      <w:r w:rsidR="00C62C3E">
        <w:t>0</w:t>
      </w:r>
      <w:r w:rsidR="008C3C5E">
        <w:t xml:space="preserve"> </w:t>
      </w:r>
      <w:r w:rsidR="008C3C5E" w:rsidRPr="00F766D2">
        <w:rPr>
          <w:rFonts w:hint="eastAsia"/>
        </w:rPr>
        <w:t>HKD</w:t>
      </w:r>
      <w:r w:rsidR="009B585F">
        <w:t xml:space="preserve"> on 29 September 2022</w:t>
      </w:r>
      <w:r>
        <w:t>. The trend continued amid the complex H</w:t>
      </w:r>
      <w:r>
        <w:rPr>
          <w:rFonts w:hint="eastAsia"/>
        </w:rPr>
        <w:t>on</w:t>
      </w:r>
      <w:r>
        <w:t>g Kong market condition and reached a low point of 17.5</w:t>
      </w:r>
      <w:r w:rsidR="00C62C3E">
        <w:t>0</w:t>
      </w:r>
      <w:r w:rsidR="008C3C5E">
        <w:t xml:space="preserve"> </w:t>
      </w:r>
      <w:r w:rsidR="008C3C5E" w:rsidRPr="00F766D2">
        <w:rPr>
          <w:rFonts w:hint="eastAsia"/>
        </w:rPr>
        <w:t>HKD</w:t>
      </w:r>
      <w:r>
        <w:t xml:space="preserve"> in October. Its valuation recovered with better market conditions but </w:t>
      </w:r>
      <w:r w:rsidR="00C875BD">
        <w:t xml:space="preserve">was </w:t>
      </w:r>
      <w:r>
        <w:t>still</w:t>
      </w:r>
      <w:r w:rsidR="00C875BD">
        <w:t xml:space="preserve"> </w:t>
      </w:r>
      <w:r>
        <w:t>around 27</w:t>
      </w:r>
      <w:r w:rsidR="008C3C5E">
        <w:t xml:space="preserve"> </w:t>
      </w:r>
      <w:r w:rsidR="008C3C5E" w:rsidRPr="00F766D2">
        <w:rPr>
          <w:rFonts w:hint="eastAsia"/>
        </w:rPr>
        <w:t>HKD</w:t>
      </w:r>
      <w:r>
        <w:t>, which is more than 43</w:t>
      </w:r>
      <w:r w:rsidR="009B585F">
        <w:t>.0</w:t>
      </w:r>
      <w:r w:rsidR="00C62C3E">
        <w:t>0</w:t>
      </w:r>
      <w:r>
        <w:t xml:space="preserve">% </w:t>
      </w:r>
      <w:r w:rsidR="003A70FE">
        <w:t xml:space="preserve">below </w:t>
      </w:r>
      <w:r>
        <w:t>the issue price.</w:t>
      </w:r>
    </w:p>
    <w:p w14:paraId="641E3E68" w14:textId="2ADCEE05" w:rsidR="0097490C" w:rsidRPr="00E318F1" w:rsidRDefault="0097490C" w:rsidP="0097490C">
      <w:pPr>
        <w:pStyle w:val="Caption"/>
        <w:keepNext/>
        <w:spacing w:line="360" w:lineRule="auto"/>
        <w:jc w:val="center"/>
        <w:rPr>
          <w:rFonts w:ascii="Times New Roman" w:hAnsi="Times New Roman" w:cs="Times New Roman"/>
          <w:i/>
          <w:iCs/>
          <w:sz w:val="21"/>
          <w:szCs w:val="21"/>
        </w:rPr>
      </w:pPr>
      <w:r w:rsidRPr="00E318F1">
        <w:rPr>
          <w:rFonts w:ascii="Times New Roman" w:hAnsi="Times New Roman" w:cs="Times New Roman"/>
          <w:i/>
          <w:iCs/>
          <w:sz w:val="21"/>
          <w:szCs w:val="21"/>
        </w:rPr>
        <w:t xml:space="preserve">Figure </w:t>
      </w:r>
      <w:r>
        <w:rPr>
          <w:rFonts w:ascii="Times New Roman" w:hAnsi="Times New Roman" w:cs="Times New Roman"/>
          <w:i/>
          <w:iCs/>
          <w:sz w:val="21"/>
          <w:szCs w:val="21"/>
        </w:rPr>
        <w:t>1</w:t>
      </w:r>
      <w:r w:rsidRPr="00E318F1">
        <w:rPr>
          <w:rFonts w:ascii="Times New Roman" w:hAnsi="Times New Roman" w:cs="Times New Roman"/>
          <w:i/>
          <w:iCs/>
          <w:sz w:val="21"/>
          <w:szCs w:val="21"/>
        </w:rPr>
        <w:t>: Leapmotor Price History</w:t>
      </w:r>
    </w:p>
    <w:p w14:paraId="774D1829" w14:textId="77777777" w:rsidR="0097490C" w:rsidRDefault="0097490C" w:rsidP="0097490C">
      <w:pPr>
        <w:keepNext/>
        <w:spacing w:line="360" w:lineRule="auto"/>
        <w:jc w:val="center"/>
      </w:pPr>
      <w:r w:rsidRPr="00470BFB">
        <w:rPr>
          <w:noProof/>
        </w:rPr>
        <w:drawing>
          <wp:inline distT="0" distB="0" distL="0" distR="0" wp14:anchorId="44057962" wp14:editId="210E8D0E">
            <wp:extent cx="4572000" cy="2743200"/>
            <wp:effectExtent l="0" t="0" r="0" b="0"/>
            <wp:docPr id="3" name="Chart 3">
              <a:extLst xmlns:a="http://schemas.openxmlformats.org/drawingml/2006/main">
                <a:ext uri="{FF2B5EF4-FFF2-40B4-BE49-F238E27FC236}">
                  <a16:creationId xmlns:a16="http://schemas.microsoft.com/office/drawing/2014/main" id="{89BDE227-5A18-8E17-3846-E7B6BAE78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A4CAD0" w14:textId="424A5FCF" w:rsidR="0097490C" w:rsidRDefault="0097490C" w:rsidP="0097490C">
      <w:pPr>
        <w:pStyle w:val="Caption"/>
        <w:spacing w:line="360" w:lineRule="auto"/>
        <w:rPr>
          <w:rFonts w:ascii="Times New Roman" w:hAnsi="Times New Roman" w:cs="Times New Roman"/>
          <w:i/>
          <w:iCs/>
          <w:noProof/>
          <w:sz w:val="21"/>
          <w:szCs w:val="21"/>
        </w:rPr>
      </w:pPr>
      <w:r w:rsidRPr="00E318F1">
        <w:rPr>
          <w:rFonts w:ascii="Times New Roman" w:hAnsi="Times New Roman" w:cs="Times New Roman"/>
          <w:i/>
          <w:iCs/>
          <w:sz w:val="21"/>
          <w:szCs w:val="21"/>
        </w:rPr>
        <w:t>Source</w:t>
      </w:r>
      <w:r>
        <w:rPr>
          <w:rFonts w:ascii="Times New Roman" w:hAnsi="Times New Roman" w:cs="Times New Roman" w:hint="eastAsia"/>
          <w:i/>
          <w:iCs/>
          <w:noProof/>
          <w:sz w:val="21"/>
          <w:szCs w:val="21"/>
        </w:rPr>
        <w:t>:</w:t>
      </w:r>
      <w:r>
        <w:rPr>
          <w:rFonts w:ascii="Times New Roman" w:hAnsi="Times New Roman" w:cs="Times New Roman"/>
          <w:i/>
          <w:iCs/>
          <w:noProof/>
          <w:sz w:val="21"/>
          <w:szCs w:val="21"/>
        </w:rPr>
        <w:t xml:space="preserve"> </w:t>
      </w:r>
      <w:r w:rsidRPr="00E318F1">
        <w:rPr>
          <w:rFonts w:ascii="Times New Roman" w:hAnsi="Times New Roman" w:cs="Times New Roman"/>
          <w:i/>
          <w:iCs/>
          <w:noProof/>
          <w:sz w:val="21"/>
          <w:szCs w:val="21"/>
        </w:rPr>
        <w:t>Refinitiv</w:t>
      </w:r>
    </w:p>
    <w:p w14:paraId="3A4A5394" w14:textId="597827DD" w:rsidR="0097490C" w:rsidRPr="0097490C" w:rsidRDefault="0097490C" w:rsidP="00C153C9">
      <w:pPr>
        <w:spacing w:line="360" w:lineRule="auto"/>
        <w:jc w:val="both"/>
      </w:pPr>
      <w:r>
        <w:t xml:space="preserve">The huge gap between </w:t>
      </w:r>
      <w:r w:rsidR="00522213">
        <w:t>the issue</w:t>
      </w:r>
      <w:r>
        <w:t xml:space="preserve"> price and current price implies that there is </w:t>
      </w:r>
      <w:r w:rsidR="00522213">
        <w:t>a significant</w:t>
      </w:r>
      <w:r>
        <w:t xml:space="preserve"> </w:t>
      </w:r>
      <w:r w:rsidR="00522213">
        <w:t xml:space="preserve">discrepancy in </w:t>
      </w:r>
      <w:r>
        <w:t xml:space="preserve">valuation logic </w:t>
      </w:r>
      <w:r w:rsidR="00522213">
        <w:t>between</w:t>
      </w:r>
      <w:r>
        <w:t xml:space="preserve"> the market </w:t>
      </w:r>
      <w:r w:rsidR="00522213">
        <w:t>and the institutions</w:t>
      </w:r>
      <w:r w:rsidR="00EF1CC3">
        <w:t xml:space="preserve"> and between past and present.</w:t>
      </w:r>
    </w:p>
    <w:p w14:paraId="30257A25" w14:textId="1D288038" w:rsidR="000E2690" w:rsidRDefault="00665DA5" w:rsidP="00045333">
      <w:pPr>
        <w:pStyle w:val="Heading1"/>
        <w:spacing w:line="360" w:lineRule="auto"/>
        <w:rPr>
          <w:rFonts w:ascii="Times New Roman" w:hAnsi="Times New Roman" w:cs="Times New Roman"/>
          <w:szCs w:val="36"/>
        </w:rPr>
      </w:pPr>
      <w:bookmarkStart w:id="4" w:name="_Toc128218229"/>
      <w:r>
        <w:rPr>
          <w:rFonts w:ascii="Times New Roman" w:hAnsi="Times New Roman" w:cs="Times New Roman"/>
          <w:szCs w:val="36"/>
        </w:rPr>
        <w:t xml:space="preserve">1. </w:t>
      </w:r>
      <w:r w:rsidR="000E2690">
        <w:rPr>
          <w:rFonts w:ascii="Times New Roman" w:hAnsi="Times New Roman" w:cs="Times New Roman"/>
          <w:szCs w:val="36"/>
        </w:rPr>
        <w:t>Overview</w:t>
      </w:r>
      <w:bookmarkEnd w:id="4"/>
    </w:p>
    <w:p w14:paraId="0354763D" w14:textId="063D0E40" w:rsidR="000E2690" w:rsidRPr="00045333" w:rsidRDefault="00665DA5" w:rsidP="00045333">
      <w:pPr>
        <w:pStyle w:val="Heading2"/>
        <w:spacing w:line="360" w:lineRule="auto"/>
        <w:rPr>
          <w:rFonts w:ascii="Times New Roman" w:hAnsi="Times New Roman" w:cs="Times New Roman"/>
          <w:b w:val="0"/>
          <w:szCs w:val="24"/>
        </w:rPr>
      </w:pPr>
      <w:bookmarkStart w:id="5" w:name="_Toc128218230"/>
      <w:r>
        <w:rPr>
          <w:rFonts w:ascii="Times New Roman" w:hAnsi="Times New Roman" w:cs="Times New Roman"/>
          <w:b w:val="0"/>
          <w:szCs w:val="24"/>
        </w:rPr>
        <w:t xml:space="preserve">1.1 </w:t>
      </w:r>
      <w:r w:rsidR="00DD1A4A" w:rsidRPr="00DD1A4A">
        <w:rPr>
          <w:rFonts w:ascii="Times New Roman" w:hAnsi="Times New Roman" w:cs="Times New Roman"/>
          <w:b w:val="0"/>
          <w:szCs w:val="24"/>
        </w:rPr>
        <w:t>Background information of Leapmotor IPO and market competition</w:t>
      </w:r>
      <w:bookmarkEnd w:id="5"/>
    </w:p>
    <w:p w14:paraId="32C2944B" w14:textId="7A01C0DE" w:rsidR="00DD1A4A" w:rsidRPr="001C1265" w:rsidRDefault="00DD1A4A" w:rsidP="00C153C9">
      <w:pPr>
        <w:spacing w:line="360" w:lineRule="auto"/>
        <w:jc w:val="both"/>
      </w:pPr>
      <w:r w:rsidRPr="001C1265">
        <w:t>The sales of new energy vehicles in 2022 exceeded expectations at the beginning of the year, and it is expected that the sales of new energy vehicles will reach 9-9.5 million units in 2023. Among them, pure electric passenger car sales are expected to reach 5.95 million units, compared to 2022 pure electric car increased by 1 million units, of which the main increase will come from the high-end market of more than 150,000-300,000 yuan</w:t>
      </w:r>
      <w:r w:rsidR="00B93934" w:rsidRPr="00C153C9">
        <w:t>.</w:t>
      </w:r>
      <w:r w:rsidRPr="001C1265">
        <w:t xml:space="preserve"> </w:t>
      </w:r>
      <w:r w:rsidR="00B93934">
        <w:t>L</w:t>
      </w:r>
      <w:r w:rsidRPr="001C1265">
        <w:t xml:space="preserve">ow-end pure electric </w:t>
      </w:r>
      <w:r w:rsidR="00A135CB">
        <w:t xml:space="preserve">vehicle </w:t>
      </w:r>
      <w:r w:rsidRPr="001C1265">
        <w:rPr>
          <w:rFonts w:hint="eastAsia"/>
        </w:rPr>
        <w:t>m</w:t>
      </w:r>
      <w:r w:rsidRPr="001C1265">
        <w:t>arket by the penetration rate, model supply, subsidies and other factors in 2023 growth space is limited</w:t>
      </w:r>
      <w:r w:rsidR="00B93934">
        <w:t>.</w:t>
      </w:r>
      <w:r w:rsidRPr="001C1265">
        <w:t xml:space="preserve"> The market of 150-300,000 yuan will mainly benefit from the </w:t>
      </w:r>
      <w:r w:rsidRPr="001C1265">
        <w:lastRenderedPageBreak/>
        <w:t xml:space="preserve">new high-end pure electric vehicles launched by independent car companies and the sales growth of new car makers. It is expected that in 2026, new energy vehicles priced in the </w:t>
      </w:r>
      <w:proofErr w:type="gramStart"/>
      <w:r w:rsidRPr="001C1265">
        <w:t xml:space="preserve">150,000-300,000 </w:t>
      </w:r>
      <w:r w:rsidR="006461C5">
        <w:t>yuan</w:t>
      </w:r>
      <w:proofErr w:type="gramEnd"/>
      <w:r w:rsidR="006461C5">
        <w:t xml:space="preserve"> </w:t>
      </w:r>
      <w:r w:rsidRPr="001C1265">
        <w:t xml:space="preserve">price range will account for 49.1% of China's total new energy vehicle sales, becoming the main driver of growth in China's new energy vehicle market. This is exactly the main positioning of </w:t>
      </w:r>
      <w:r>
        <w:t>Leapmotor</w:t>
      </w:r>
      <w:r w:rsidRPr="001C1265">
        <w:t>, so the future development prospect is optimistic.</w:t>
      </w:r>
    </w:p>
    <w:p w14:paraId="6DBFD949" w14:textId="6872BC1D" w:rsidR="00DD1A4A" w:rsidRDefault="00DD1A4A" w:rsidP="003B015E">
      <w:pPr>
        <w:pStyle w:val="Caption"/>
        <w:keepNext/>
        <w:spacing w:line="360" w:lineRule="auto"/>
        <w:jc w:val="center"/>
        <w:rPr>
          <w:rFonts w:ascii="Times New Roman" w:hAnsi="Times New Roman" w:cs="Times New Roman"/>
          <w:i/>
          <w:iCs/>
          <w:sz w:val="21"/>
          <w:szCs w:val="21"/>
        </w:rPr>
      </w:pPr>
      <w:r>
        <w:rPr>
          <w:rFonts w:ascii="Times New Roman" w:hAnsi="Times New Roman" w:cs="Times New Roman" w:hint="eastAsia"/>
          <w:i/>
          <w:iCs/>
          <w:sz w:val="21"/>
          <w:szCs w:val="21"/>
        </w:rPr>
        <w:t>Figure</w:t>
      </w:r>
      <w:r>
        <w:rPr>
          <w:rFonts w:ascii="Times New Roman" w:hAnsi="Times New Roman" w:cs="Times New Roman"/>
          <w:i/>
          <w:iCs/>
          <w:sz w:val="21"/>
          <w:szCs w:val="21"/>
        </w:rPr>
        <w:t xml:space="preserve"> </w:t>
      </w:r>
      <w:r w:rsidR="0097490C">
        <w:rPr>
          <w:rFonts w:ascii="Times New Roman" w:hAnsi="Times New Roman" w:cs="Times New Roman"/>
          <w:i/>
          <w:iCs/>
          <w:sz w:val="21"/>
          <w:szCs w:val="21"/>
        </w:rPr>
        <w:t>2</w:t>
      </w:r>
      <w:r>
        <w:rPr>
          <w:rFonts w:ascii="Times New Roman" w:hAnsi="Times New Roman" w:cs="Times New Roman" w:hint="eastAsia"/>
          <w:i/>
          <w:iCs/>
          <w:sz w:val="21"/>
          <w:szCs w:val="21"/>
        </w:rPr>
        <w:t>：</w:t>
      </w:r>
      <w:r w:rsidRPr="00221BA1">
        <w:rPr>
          <w:rFonts w:ascii="Times New Roman" w:hAnsi="Times New Roman" w:cs="Times New Roman"/>
          <w:i/>
          <w:iCs/>
          <w:sz w:val="21"/>
          <w:szCs w:val="21"/>
        </w:rPr>
        <w:t>Sales share of new energy vehicles by price</w:t>
      </w:r>
      <w:r>
        <w:rPr>
          <w:rFonts w:ascii="Times New Roman" w:hAnsi="Times New Roman" w:cs="Times New Roman" w:hint="eastAsia"/>
          <w:i/>
          <w:iCs/>
          <w:sz w:val="21"/>
          <w:szCs w:val="21"/>
        </w:rPr>
        <w:t>（</w:t>
      </w:r>
      <w:r>
        <w:rPr>
          <w:rFonts w:ascii="Times New Roman" w:hAnsi="Times New Roman" w:cs="Times New Roman" w:hint="eastAsia"/>
          <w:i/>
          <w:iCs/>
          <w:sz w:val="21"/>
          <w:szCs w:val="21"/>
        </w:rPr>
        <w:t>in</w:t>
      </w:r>
      <w:r>
        <w:rPr>
          <w:rFonts w:ascii="Times New Roman" w:hAnsi="Times New Roman" w:cs="Times New Roman"/>
          <w:i/>
          <w:iCs/>
          <w:sz w:val="21"/>
          <w:szCs w:val="21"/>
        </w:rPr>
        <w:t xml:space="preserve"> million</w:t>
      </w:r>
      <w:r>
        <w:rPr>
          <w:rFonts w:ascii="Times New Roman" w:hAnsi="Times New Roman" w:cs="Times New Roman" w:hint="eastAsia"/>
          <w:i/>
          <w:iCs/>
          <w:sz w:val="21"/>
          <w:szCs w:val="21"/>
        </w:rPr>
        <w:t>）</w:t>
      </w:r>
    </w:p>
    <w:p w14:paraId="73FFAFC4" w14:textId="77777777" w:rsidR="00DD1A4A" w:rsidRPr="00221BA1" w:rsidRDefault="00DD1A4A" w:rsidP="003B015E">
      <w:pPr>
        <w:spacing w:line="360" w:lineRule="auto"/>
      </w:pPr>
      <w:r>
        <w:rPr>
          <w:noProof/>
        </w:rPr>
        <w:drawing>
          <wp:inline distT="0" distB="0" distL="0" distR="0" wp14:anchorId="70B1F534" wp14:editId="0490E3DA">
            <wp:extent cx="5731510" cy="3145155"/>
            <wp:effectExtent l="0" t="0" r="2540" b="0"/>
            <wp:docPr id="1" name="Chart 1">
              <a:extLst xmlns:a="http://schemas.openxmlformats.org/drawingml/2006/main">
                <a:ext uri="{FF2B5EF4-FFF2-40B4-BE49-F238E27FC236}">
                  <a16:creationId xmlns:a16="http://schemas.microsoft.com/office/drawing/2014/main" id="{4A1B7B6C-5466-1802-30E7-74E7D4B902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06E1EC" w14:textId="73ECD82A" w:rsidR="00DD1A4A" w:rsidRDefault="00DD1A4A" w:rsidP="003B015E">
      <w:pPr>
        <w:pStyle w:val="Caption"/>
        <w:spacing w:line="360" w:lineRule="auto"/>
        <w:rPr>
          <w:rFonts w:ascii="Times New Roman" w:hAnsi="Times New Roman" w:cs="Times New Roman"/>
          <w:i/>
          <w:iCs/>
          <w:sz w:val="21"/>
          <w:szCs w:val="21"/>
        </w:rPr>
      </w:pPr>
      <w:r w:rsidRPr="00221BA1">
        <w:rPr>
          <w:rFonts w:ascii="Times New Roman" w:hAnsi="Times New Roman" w:cs="Times New Roman"/>
          <w:i/>
          <w:iCs/>
          <w:sz w:val="21"/>
          <w:szCs w:val="21"/>
        </w:rPr>
        <w:t>S</w:t>
      </w:r>
      <w:r w:rsidRPr="00221BA1">
        <w:rPr>
          <w:rFonts w:ascii="Times New Roman" w:hAnsi="Times New Roman" w:cs="Times New Roman" w:hint="eastAsia"/>
          <w:i/>
          <w:iCs/>
          <w:sz w:val="21"/>
          <w:szCs w:val="21"/>
        </w:rPr>
        <w:t>ource</w:t>
      </w:r>
      <w:r w:rsidRPr="00221BA1">
        <w:rPr>
          <w:rFonts w:ascii="Times New Roman" w:hAnsi="Times New Roman" w:cs="Times New Roman" w:hint="eastAsia"/>
          <w:i/>
          <w:iCs/>
          <w:sz w:val="21"/>
          <w:szCs w:val="21"/>
        </w:rPr>
        <w:t>：</w:t>
      </w:r>
      <w:r w:rsidRPr="00221BA1">
        <w:rPr>
          <w:rFonts w:ascii="Times New Roman" w:hAnsi="Times New Roman" w:cs="Times New Roman"/>
          <w:i/>
          <w:iCs/>
          <w:sz w:val="21"/>
          <w:szCs w:val="21"/>
        </w:rPr>
        <w:t>China Association of Automobile Manufacturers</w:t>
      </w:r>
    </w:p>
    <w:p w14:paraId="26C7FEEC" w14:textId="3B419A20" w:rsidR="000E2690" w:rsidRPr="00045333" w:rsidRDefault="0041747F" w:rsidP="00045333">
      <w:pPr>
        <w:pStyle w:val="Heading2"/>
        <w:spacing w:line="360" w:lineRule="auto"/>
        <w:rPr>
          <w:rFonts w:ascii="Times New Roman" w:hAnsi="Times New Roman" w:cs="Times New Roman"/>
          <w:b w:val="0"/>
          <w:szCs w:val="24"/>
        </w:rPr>
      </w:pPr>
      <w:bookmarkStart w:id="6" w:name="_Toc128218231"/>
      <w:r>
        <w:rPr>
          <w:rFonts w:ascii="Times New Roman" w:hAnsi="Times New Roman" w:cs="Times New Roman"/>
          <w:b w:val="0"/>
          <w:szCs w:val="24"/>
        </w:rPr>
        <w:t>1.</w:t>
      </w:r>
      <w:r w:rsidR="00DD1A4A" w:rsidRPr="00DD1A4A">
        <w:rPr>
          <w:rFonts w:ascii="Times New Roman" w:hAnsi="Times New Roman" w:cs="Times New Roman"/>
          <w:b w:val="0"/>
          <w:szCs w:val="24"/>
        </w:rPr>
        <w:t>2 Future Plans &amp; Use of Funds Raised</w:t>
      </w:r>
      <w:bookmarkEnd w:id="6"/>
    </w:p>
    <w:p w14:paraId="26578875" w14:textId="77777777" w:rsidR="00DD1A4A" w:rsidRPr="001C1265" w:rsidRDefault="00DD1A4A" w:rsidP="00C153C9">
      <w:pPr>
        <w:spacing w:line="360" w:lineRule="auto"/>
        <w:jc w:val="both"/>
      </w:pPr>
      <w:r w:rsidRPr="001C1265">
        <w:t xml:space="preserve">In the future, </w:t>
      </w:r>
      <w:r>
        <w:t>Leapmotor</w:t>
      </w:r>
      <w:r w:rsidRPr="001C1265">
        <w:t xml:space="preserve"> plans to use about 40% of the IPO proceeds for R&amp;D, about 25% for enhancing production capacity, about 25% for business expansion and brand awareness, and about 10% for working capital and general corporate purposes.</w:t>
      </w:r>
    </w:p>
    <w:p w14:paraId="071AB4EB" w14:textId="08E99703" w:rsidR="00DD1A4A" w:rsidRPr="00C153C9" w:rsidRDefault="0041747F" w:rsidP="00C153C9">
      <w:pPr>
        <w:pStyle w:val="Heading3"/>
        <w:spacing w:line="360" w:lineRule="auto"/>
        <w:jc w:val="both"/>
        <w:rPr>
          <w:rFonts w:ascii="Times New Roman" w:hAnsi="Times New Roman" w:cs="Times New Roman"/>
        </w:rPr>
      </w:pPr>
      <w:bookmarkStart w:id="7" w:name="_Toc128218232"/>
      <w:r w:rsidRPr="00C153C9">
        <w:rPr>
          <w:rFonts w:ascii="Times New Roman" w:hAnsi="Times New Roman" w:cs="Times New Roman"/>
        </w:rPr>
        <w:t>1.</w:t>
      </w:r>
      <w:r w:rsidR="00DD1A4A" w:rsidRPr="00C153C9">
        <w:rPr>
          <w:rFonts w:ascii="Times New Roman" w:hAnsi="Times New Roman" w:cs="Times New Roman"/>
        </w:rPr>
        <w:t>2.1 R&amp;D level</w:t>
      </w:r>
      <w:bookmarkEnd w:id="7"/>
    </w:p>
    <w:p w14:paraId="269B48A1" w14:textId="1390B6B4" w:rsidR="00DD1A4A" w:rsidRPr="001C1265" w:rsidRDefault="00DD1A4A" w:rsidP="00C153C9">
      <w:pPr>
        <w:spacing w:line="360" w:lineRule="auto"/>
        <w:jc w:val="both"/>
      </w:pPr>
      <w:r w:rsidRPr="001C1265">
        <w:t xml:space="preserve">The Company plans to produce one to three models per year and launch eight new models by the end of 2025. The first pure electric </w:t>
      </w:r>
      <w:r w:rsidR="006461C5">
        <w:t>vehicle</w:t>
      </w:r>
      <w:r w:rsidRPr="001C1265">
        <w:t xml:space="preserve">, C0, is built on the same platform as C11, with a streamlined design and an integrated battery pack and vehicle chassis, integrating the battery cells and packs into the body to improve battery space utilization, increase mileage and save battery packaging efficiency, while also improving body rigidity and better protecting the battery pack to enhance vehicle safety. </w:t>
      </w:r>
    </w:p>
    <w:p w14:paraId="1F0E5554" w14:textId="41FD2490" w:rsidR="00DD1A4A" w:rsidRPr="000E2690" w:rsidRDefault="00DD1A4A" w:rsidP="00C153C9">
      <w:pPr>
        <w:spacing w:line="360" w:lineRule="auto"/>
        <w:jc w:val="both"/>
      </w:pPr>
      <w:r w:rsidRPr="001C1265">
        <w:lastRenderedPageBreak/>
        <w:t>Leapmotor will develop more advanced Leapmotor Pilot</w:t>
      </w:r>
      <w:r w:rsidR="00B93934">
        <w:t>,</w:t>
      </w:r>
      <w:r w:rsidRPr="001C1265">
        <w:t xml:space="preserve"> upgrade Leapmotor OS, and invest more in the development of next-generation vehicle electrification technology to provide a better smart mobility experience and improve the driving performance of smart electric vehicles. At the same time, </w:t>
      </w:r>
      <w:r>
        <w:rPr>
          <w:rFonts w:hint="eastAsia"/>
        </w:rPr>
        <w:t>they</w:t>
      </w:r>
      <w:r w:rsidRPr="001C1265">
        <w:t xml:space="preserve"> will further optimize the entire process from R&amp;D, supply chain management to EV and component production, and strengthen vertical integration and operational efficiency. </w:t>
      </w:r>
    </w:p>
    <w:p w14:paraId="75E3BD7C" w14:textId="51FC0692" w:rsidR="00DD1A4A" w:rsidRPr="00C153C9" w:rsidRDefault="0041747F" w:rsidP="00C153C9">
      <w:pPr>
        <w:pStyle w:val="Heading3"/>
        <w:spacing w:line="360" w:lineRule="auto"/>
        <w:jc w:val="both"/>
        <w:rPr>
          <w:rFonts w:ascii="Times New Roman" w:hAnsi="Times New Roman" w:cs="Times New Roman"/>
        </w:rPr>
      </w:pPr>
      <w:bookmarkStart w:id="8" w:name="_Toc128218233"/>
      <w:r w:rsidRPr="00C153C9">
        <w:rPr>
          <w:rFonts w:ascii="Times New Roman" w:hAnsi="Times New Roman" w:cs="Times New Roman"/>
        </w:rPr>
        <w:t>1.</w:t>
      </w:r>
      <w:r w:rsidR="00DD1A4A" w:rsidRPr="00C153C9">
        <w:rPr>
          <w:rFonts w:ascii="Times New Roman" w:hAnsi="Times New Roman" w:cs="Times New Roman"/>
        </w:rPr>
        <w:t>2.2 Production capacity</w:t>
      </w:r>
      <w:bookmarkEnd w:id="8"/>
    </w:p>
    <w:p w14:paraId="1B53293C" w14:textId="6E6A1AA5" w:rsidR="00DD1A4A" w:rsidRPr="001C1265" w:rsidRDefault="00DD1A4A" w:rsidP="00C153C9">
      <w:pPr>
        <w:spacing w:line="360" w:lineRule="auto"/>
        <w:jc w:val="both"/>
      </w:pPr>
      <w:r>
        <w:rPr>
          <w:rFonts w:hint="eastAsia"/>
        </w:rPr>
        <w:t>They</w:t>
      </w:r>
      <w:r w:rsidRPr="001C1265">
        <w:t xml:space="preserve"> will continue to invest in advanced intelligent and automated production facilities to further strengthen the production capacity of electric vehicles and components. </w:t>
      </w:r>
    </w:p>
    <w:p w14:paraId="578DB708" w14:textId="48279989" w:rsidR="00DD1A4A" w:rsidRPr="00C153C9" w:rsidRDefault="000E2690" w:rsidP="00C153C9">
      <w:pPr>
        <w:pStyle w:val="Heading3"/>
        <w:spacing w:line="360" w:lineRule="auto"/>
        <w:jc w:val="both"/>
        <w:rPr>
          <w:rFonts w:ascii="Times New Roman" w:hAnsi="Times New Roman" w:cs="Times New Roman"/>
        </w:rPr>
      </w:pPr>
      <w:bookmarkStart w:id="9" w:name="_Toc128218234"/>
      <w:r w:rsidRPr="00C153C9">
        <w:rPr>
          <w:rFonts w:ascii="Times New Roman" w:hAnsi="Times New Roman" w:cs="Times New Roman"/>
        </w:rPr>
        <w:t>1.</w:t>
      </w:r>
      <w:r w:rsidR="00DD1A4A" w:rsidRPr="00C153C9">
        <w:rPr>
          <w:rFonts w:ascii="Times New Roman" w:hAnsi="Times New Roman" w:cs="Times New Roman"/>
        </w:rPr>
        <w:t>2.3 Business expansion</w:t>
      </w:r>
      <w:bookmarkEnd w:id="9"/>
    </w:p>
    <w:p w14:paraId="040D5631" w14:textId="6A3AD77F" w:rsidR="0041747F" w:rsidRDefault="00DD1A4A" w:rsidP="00C153C9">
      <w:pPr>
        <w:spacing w:line="360" w:lineRule="auto"/>
        <w:jc w:val="both"/>
      </w:pPr>
      <w:r>
        <w:rPr>
          <w:rFonts w:hint="eastAsia"/>
        </w:rPr>
        <w:t>They</w:t>
      </w:r>
      <w:r w:rsidRPr="001C1265">
        <w:t xml:space="preserve"> plan to launch in-vehicle services based on pay-per-use and subscription models to develop new revenue sources. Further enrich and optimize digital services and content related to life, work and entertainment to provide users with a rich and colorful travel </w:t>
      </w:r>
      <w:proofErr w:type="gramStart"/>
      <w:r w:rsidRPr="001C1265">
        <w:t>life</w:t>
      </w:r>
      <w:proofErr w:type="gramEnd"/>
    </w:p>
    <w:p w14:paraId="296EA767" w14:textId="6FCC52BF" w:rsidR="0041747F" w:rsidRPr="00C153C9" w:rsidRDefault="000E2690" w:rsidP="00C153C9">
      <w:pPr>
        <w:pStyle w:val="Heading3"/>
        <w:spacing w:line="360" w:lineRule="auto"/>
        <w:jc w:val="both"/>
        <w:rPr>
          <w:rFonts w:ascii="Times New Roman" w:hAnsi="Times New Roman" w:cs="Times New Roman"/>
        </w:rPr>
      </w:pPr>
      <w:bookmarkStart w:id="10" w:name="_Toc128218235"/>
      <w:r w:rsidRPr="00C153C9">
        <w:rPr>
          <w:rFonts w:ascii="Times New Roman" w:hAnsi="Times New Roman" w:cs="Times New Roman"/>
        </w:rPr>
        <w:t>1.</w:t>
      </w:r>
      <w:r w:rsidR="00DD1A4A" w:rsidRPr="00C153C9">
        <w:rPr>
          <w:rFonts w:ascii="Times New Roman" w:hAnsi="Times New Roman" w:cs="Times New Roman"/>
        </w:rPr>
        <w:t>2.4 Increase brand awareness</w:t>
      </w:r>
      <w:bookmarkEnd w:id="10"/>
    </w:p>
    <w:p w14:paraId="496D8B97" w14:textId="27706F7F" w:rsidR="00DD1A4A" w:rsidRPr="001C1265" w:rsidRDefault="00DD1A4A" w:rsidP="00C153C9">
      <w:pPr>
        <w:spacing w:line="360" w:lineRule="auto"/>
        <w:jc w:val="both"/>
      </w:pPr>
      <w:r>
        <w:rPr>
          <w:rFonts w:hint="eastAsia"/>
        </w:rPr>
        <w:t>They</w:t>
      </w:r>
      <w:r w:rsidRPr="001C1265">
        <w:t xml:space="preserve"> will continue to enhance brand awareness through various online and offline marketing activities. </w:t>
      </w:r>
      <w:r>
        <w:rPr>
          <w:rFonts w:hint="eastAsia"/>
        </w:rPr>
        <w:t>They</w:t>
      </w:r>
      <w:r w:rsidRPr="001C1265">
        <w:t xml:space="preserve"> will also continue to increase the number of directly operated stores, channel partner stores and delivery and service centers to drive business growth. </w:t>
      </w:r>
    </w:p>
    <w:p w14:paraId="4317B197" w14:textId="39E4D4FF" w:rsidR="000E2690" w:rsidRPr="00045333" w:rsidRDefault="000E2690" w:rsidP="00045333">
      <w:pPr>
        <w:pStyle w:val="Heading2"/>
        <w:spacing w:line="360" w:lineRule="auto"/>
        <w:rPr>
          <w:rFonts w:ascii="Times New Roman" w:hAnsi="Times New Roman" w:cs="Times New Roman"/>
          <w:b w:val="0"/>
          <w:szCs w:val="24"/>
        </w:rPr>
      </w:pPr>
      <w:bookmarkStart w:id="11" w:name="_Toc128218236"/>
      <w:r>
        <w:rPr>
          <w:rFonts w:ascii="Times New Roman" w:hAnsi="Times New Roman" w:cs="Times New Roman"/>
          <w:b w:val="0"/>
          <w:szCs w:val="24"/>
        </w:rPr>
        <w:t>1.3</w:t>
      </w:r>
      <w:r w:rsidRPr="00DD1A4A">
        <w:rPr>
          <w:rFonts w:ascii="Times New Roman" w:hAnsi="Times New Roman" w:cs="Times New Roman"/>
          <w:b w:val="0"/>
          <w:szCs w:val="24"/>
        </w:rPr>
        <w:t xml:space="preserve"> </w:t>
      </w:r>
      <w:r w:rsidRPr="000E2690">
        <w:rPr>
          <w:rFonts w:ascii="Times New Roman" w:hAnsi="Times New Roman" w:cs="Times New Roman"/>
          <w:b w:val="0"/>
          <w:szCs w:val="24"/>
        </w:rPr>
        <w:t>Models</w:t>
      </w:r>
      <w:bookmarkEnd w:id="11"/>
    </w:p>
    <w:p w14:paraId="12E5A689" w14:textId="78DD89B7" w:rsidR="00DD1A4A" w:rsidRPr="00C153C9" w:rsidRDefault="00DD1A4A" w:rsidP="00C153C9">
      <w:pPr>
        <w:spacing w:line="360" w:lineRule="auto"/>
        <w:jc w:val="both"/>
      </w:pPr>
      <w:r w:rsidRPr="001C1265">
        <w:t xml:space="preserve">Leapmotor was incubated in Dahua Group, and after years of development, it has become a company </w:t>
      </w:r>
      <w:r w:rsidR="00730DE6">
        <w:t xml:space="preserve">with </w:t>
      </w:r>
      <w:r w:rsidRPr="001C1265">
        <w:rPr>
          <w:rFonts w:hint="eastAsia"/>
        </w:rPr>
        <w:t>m</w:t>
      </w:r>
      <w:r w:rsidRPr="001C1265">
        <w:t>ultiple models, positioned in the mid- to high-end market of 150,000-300,000 yuan, from low-end to high-end step by step. At present, the company has three models in mass production</w:t>
      </w:r>
      <w:r w:rsidR="00AA46C7">
        <w:t>.</w:t>
      </w:r>
    </w:p>
    <w:p w14:paraId="0F328248" w14:textId="485F314B" w:rsidR="00DD1A4A" w:rsidRPr="00C153C9" w:rsidRDefault="00DD1A4A" w:rsidP="00C153C9">
      <w:pPr>
        <w:spacing w:line="360" w:lineRule="auto"/>
        <w:jc w:val="both"/>
      </w:pPr>
      <w:r w:rsidRPr="00C153C9">
        <w:rPr>
          <w:b/>
          <w:bCs/>
          <w:color w:val="385623" w:themeColor="accent6" w:themeShade="80"/>
        </w:rPr>
        <w:t>Pure electric coupe S01:</w:t>
      </w:r>
      <w:r w:rsidRPr="00C153C9">
        <w:rPr>
          <w:color w:val="385623" w:themeColor="accent6" w:themeShade="80"/>
        </w:rPr>
        <w:t xml:space="preserve"> </w:t>
      </w:r>
      <w:r w:rsidRPr="00C153C9">
        <w:t>delivery will start in July 2019, priced at</w:t>
      </w:r>
      <w:r w:rsidR="006461C5" w:rsidRPr="00C153C9">
        <w:t xml:space="preserve"> </w:t>
      </w:r>
      <w:r w:rsidRPr="00C153C9">
        <w:t>129,900-149,900</w:t>
      </w:r>
      <w:r w:rsidR="006461C5" w:rsidRPr="00C153C9">
        <w:t xml:space="preserve"> yuan</w:t>
      </w:r>
      <w:r w:rsidRPr="00C153C9">
        <w:t xml:space="preserve">, with ternary lithium battery and 451km NEDC range. </w:t>
      </w:r>
    </w:p>
    <w:p w14:paraId="1FBCB397" w14:textId="2BF77EEC" w:rsidR="00DD1A4A" w:rsidRPr="00C153C9" w:rsidRDefault="00DD1A4A" w:rsidP="00C153C9">
      <w:pPr>
        <w:spacing w:line="360" w:lineRule="auto"/>
        <w:jc w:val="both"/>
      </w:pPr>
      <w:r w:rsidRPr="00C153C9">
        <w:rPr>
          <w:b/>
          <w:bCs/>
          <w:color w:val="385623" w:themeColor="accent6" w:themeShade="80"/>
        </w:rPr>
        <w:t>Micro EV T03:</w:t>
      </w:r>
      <w:r w:rsidRPr="00C153C9">
        <w:rPr>
          <w:color w:val="385623" w:themeColor="accent6" w:themeShade="80"/>
        </w:rPr>
        <w:t xml:space="preserve"> </w:t>
      </w:r>
      <w:r w:rsidRPr="00C153C9">
        <w:t>Delivered in May 2020, the vehicle is designed for the low-end market and priced at 689,000-84,900</w:t>
      </w:r>
      <w:r w:rsidR="006461C5" w:rsidRPr="00C153C9">
        <w:t xml:space="preserve"> yuan</w:t>
      </w:r>
      <w:r w:rsidRPr="00C153C9">
        <w:t xml:space="preserve">. It is equipped with AI voice assistant in a compact body and Leapmotor OS, the company's self-developed cockpit operating system, which provides navigation and in-car entertainment functions. The car is equipped with the Leapmotor Pilot 2.0 system, which provides a certain degree of driving assistance. The vehicle is also equipped with Heracles, a self-developed integrated electric drive system, which gives the vehicle a NEDC range of 403 kilometers, making it an excellent value for money. </w:t>
      </w:r>
    </w:p>
    <w:p w14:paraId="25425A82" w14:textId="45D95FE9" w:rsidR="00DD1A4A" w:rsidRPr="00C153C9" w:rsidRDefault="00DD1A4A" w:rsidP="00C153C9">
      <w:pPr>
        <w:spacing w:line="360" w:lineRule="auto"/>
        <w:jc w:val="both"/>
      </w:pPr>
      <w:r w:rsidRPr="00C153C9">
        <w:rPr>
          <w:b/>
          <w:bCs/>
          <w:color w:val="385623" w:themeColor="accent6" w:themeShade="80"/>
        </w:rPr>
        <w:lastRenderedPageBreak/>
        <w:t>Medium-sized intelligent electric SUV model C11:</w:t>
      </w:r>
      <w:r w:rsidRPr="00C153C9">
        <w:rPr>
          <w:color w:val="385623" w:themeColor="accent6" w:themeShade="80"/>
        </w:rPr>
        <w:t xml:space="preserve"> </w:t>
      </w:r>
      <w:r w:rsidRPr="00C153C9">
        <w:t xml:space="preserve">This product will be delivered in October 2021 as the main model of the company, with self-developed and self-produced battery, intelligent cockpit and self-driving system, and equipped with self-developed Leapmotor OS operating system and Leapmotor Pilot3.0 system. </w:t>
      </w:r>
    </w:p>
    <w:p w14:paraId="17BC13D6" w14:textId="35A3C539" w:rsidR="000E2690" w:rsidRPr="00045333" w:rsidRDefault="000E2690" w:rsidP="00045333">
      <w:pPr>
        <w:pStyle w:val="Heading2"/>
        <w:spacing w:line="360" w:lineRule="auto"/>
        <w:rPr>
          <w:rFonts w:ascii="Times New Roman" w:hAnsi="Times New Roman" w:cs="Times New Roman"/>
          <w:b w:val="0"/>
          <w:szCs w:val="24"/>
        </w:rPr>
      </w:pPr>
      <w:bookmarkStart w:id="12" w:name="_Toc128218237"/>
      <w:r>
        <w:rPr>
          <w:rFonts w:ascii="Times New Roman" w:hAnsi="Times New Roman" w:cs="Times New Roman"/>
          <w:b w:val="0"/>
          <w:szCs w:val="24"/>
        </w:rPr>
        <w:t>1.4</w:t>
      </w:r>
      <w:r w:rsidRPr="00DD1A4A">
        <w:rPr>
          <w:rFonts w:ascii="Times New Roman" w:hAnsi="Times New Roman" w:cs="Times New Roman"/>
          <w:b w:val="0"/>
          <w:szCs w:val="24"/>
        </w:rPr>
        <w:t xml:space="preserve"> </w:t>
      </w:r>
      <w:r w:rsidRPr="000E2690">
        <w:rPr>
          <w:rFonts w:ascii="Times New Roman" w:hAnsi="Times New Roman" w:cs="Times New Roman"/>
          <w:b w:val="0"/>
          <w:szCs w:val="24"/>
        </w:rPr>
        <w:t>Market Competitiveness Analysis</w:t>
      </w:r>
      <w:bookmarkEnd w:id="12"/>
    </w:p>
    <w:p w14:paraId="069AFA2F" w14:textId="496B3077" w:rsidR="00DD1A4A" w:rsidRPr="00C153C9" w:rsidRDefault="000E2690" w:rsidP="00C153C9">
      <w:pPr>
        <w:pStyle w:val="Heading3"/>
        <w:spacing w:line="360" w:lineRule="auto"/>
        <w:jc w:val="both"/>
        <w:rPr>
          <w:rFonts w:ascii="Times New Roman" w:hAnsi="Times New Roman" w:cs="Times New Roman"/>
        </w:rPr>
      </w:pPr>
      <w:bookmarkStart w:id="13" w:name="_Toc128218238"/>
      <w:r w:rsidRPr="00C153C9">
        <w:rPr>
          <w:rFonts w:ascii="Times New Roman" w:hAnsi="Times New Roman" w:cs="Times New Roman"/>
        </w:rPr>
        <w:t>1.</w:t>
      </w:r>
      <w:r w:rsidR="00DD1A4A" w:rsidRPr="00C153C9">
        <w:rPr>
          <w:rFonts w:ascii="Times New Roman" w:hAnsi="Times New Roman" w:cs="Times New Roman"/>
        </w:rPr>
        <w:t>4.1 Competitive advantages in R&amp;D</w:t>
      </w:r>
      <w:bookmarkEnd w:id="13"/>
    </w:p>
    <w:p w14:paraId="027C90C7" w14:textId="694F6ACB" w:rsidR="00DD1A4A" w:rsidRPr="00C153C9" w:rsidRDefault="00DD1A4A" w:rsidP="00C153C9">
      <w:pPr>
        <w:spacing w:line="360" w:lineRule="auto"/>
        <w:jc w:val="both"/>
      </w:pPr>
      <w:r w:rsidRPr="00C153C9">
        <w:t xml:space="preserve">The company is committed to developing its own electrical and electronic architecture, </w:t>
      </w:r>
      <w:r w:rsidR="006461C5" w:rsidRPr="00C153C9">
        <w:t>smart cockpit</w:t>
      </w:r>
      <w:r w:rsidRPr="00C153C9">
        <w:t xml:space="preserve">, autonomous driving, electric drive, and battery system. The company will unify the underlying interfaces, algorithms and data communication protocols of automotive systems to realize cross-platform design and development of electrical and electronic architecture, vehicle architecture and core components of electric vehicles, as well as a high degree of reuse among different models to enable more convenient OTA upgrades and lower costs. </w:t>
      </w:r>
    </w:p>
    <w:p w14:paraId="7DA63E09" w14:textId="50D0233D" w:rsidR="00DD1A4A" w:rsidRPr="00C153C9" w:rsidRDefault="00DD1A4A" w:rsidP="00C153C9">
      <w:pPr>
        <w:spacing w:line="360" w:lineRule="auto"/>
        <w:jc w:val="both"/>
      </w:pPr>
      <w:r w:rsidRPr="00C153C9">
        <w:t xml:space="preserve">Intelligence drives the centralization and reusability of electrical and electronic architecture to improve efficiency and reduce costs. A centralized electrical and electronic architecture facilitates platform-based development and rapid delivery of the company's models. The company has adopted a centralized electrical and electronic architecture in the mass-produced C11 model, under which there are three systems: intelligent driving, intelligent cabin and vehicle control. At the same time, Leapmotor also unifies the interfaces, algorithms and data protocols among the systems in this electrical and electronic architecture, thus realizing a high degree of reuse of the platform among multiple models, significantly shortening the new vehicle development process and saving the vehicle's computing power to reduce hardware costs. In addition, the company is currently developing a next-generation centralized electrical and electronic architecture, which will further enhance integration, improve efficiency and reduce costs, and allow new models to have greater expandability. </w:t>
      </w:r>
    </w:p>
    <w:p w14:paraId="6DA6EB15" w14:textId="2F651CB3" w:rsidR="00DD1A4A" w:rsidRPr="00C153C9" w:rsidRDefault="00924142" w:rsidP="00C153C9">
      <w:pPr>
        <w:pStyle w:val="Heading3"/>
        <w:spacing w:line="360" w:lineRule="auto"/>
        <w:jc w:val="both"/>
        <w:rPr>
          <w:rFonts w:ascii="Times New Roman" w:hAnsi="Times New Roman" w:cs="Times New Roman"/>
        </w:rPr>
      </w:pPr>
      <w:bookmarkStart w:id="14" w:name="_Toc128218239"/>
      <w:r w:rsidRPr="00C153C9">
        <w:rPr>
          <w:rFonts w:ascii="Times New Roman" w:hAnsi="Times New Roman" w:cs="Times New Roman" w:hint="eastAsia"/>
        </w:rPr>
        <w:t>1.4</w:t>
      </w:r>
      <w:r w:rsidR="00DD1A4A" w:rsidRPr="00C153C9">
        <w:rPr>
          <w:rFonts w:ascii="Times New Roman" w:hAnsi="Times New Roman" w:cs="Times New Roman"/>
        </w:rPr>
        <w:t>.2. Competitive advantage</w:t>
      </w:r>
      <w:r w:rsidR="006714CD" w:rsidRPr="00C153C9">
        <w:rPr>
          <w:rFonts w:ascii="Times New Roman" w:hAnsi="Times New Roman" w:cs="Times New Roman"/>
        </w:rPr>
        <w:t>s</w:t>
      </w:r>
      <w:r w:rsidR="00DD1A4A" w:rsidRPr="00C153C9">
        <w:rPr>
          <w:rFonts w:ascii="Times New Roman" w:hAnsi="Times New Roman" w:cs="Times New Roman"/>
        </w:rPr>
        <w:t xml:space="preserve"> at the channel end</w:t>
      </w:r>
      <w:bookmarkEnd w:id="14"/>
    </w:p>
    <w:p w14:paraId="379582BC" w14:textId="2F63A444" w:rsidR="00DD1A4A" w:rsidRPr="001C1265" w:rsidRDefault="00DD1A4A" w:rsidP="00C153C9">
      <w:pPr>
        <w:spacing w:line="360" w:lineRule="auto"/>
        <w:jc w:val="both"/>
      </w:pPr>
      <w:r w:rsidRPr="001C1265">
        <w:t xml:space="preserve">The company adopts the way of online APP order and offline experience store </w:t>
      </w:r>
      <w:r w:rsidR="00A135CB" w:rsidRPr="001C1265">
        <w:t>pickup and</w:t>
      </w:r>
      <w:r w:rsidRPr="001C1265">
        <w:t xml:space="preserve"> constructs the dual promotion mode of direct operation + channel partners. </w:t>
      </w:r>
    </w:p>
    <w:p w14:paraId="7DC534BE" w14:textId="77777777" w:rsidR="00DD1A4A" w:rsidRPr="00C153C9" w:rsidRDefault="00DD1A4A" w:rsidP="00C153C9">
      <w:pPr>
        <w:spacing w:line="360" w:lineRule="auto"/>
        <w:jc w:val="both"/>
      </w:pPr>
      <w:r w:rsidRPr="00C153C9">
        <w:t xml:space="preserve">In terms of customer operation, the Leapmotor APP developed by the company online can support order viewing, charging pile, vehicle remote control, community communication, online e-commerce and other functions, and currently has about 300,000 registered users. </w:t>
      </w:r>
      <w:r w:rsidRPr="00C153C9">
        <w:lastRenderedPageBreak/>
        <w:t xml:space="preserve">Offline, the company has set up many delivery centers with simple and comfortable layout and regular customer activities to create a good service experience. </w:t>
      </w:r>
    </w:p>
    <w:p w14:paraId="1185640C" w14:textId="77777777" w:rsidR="00DD1A4A" w:rsidRPr="00C153C9" w:rsidRDefault="00DD1A4A" w:rsidP="00C153C9">
      <w:pPr>
        <w:spacing w:line="360" w:lineRule="auto"/>
        <w:jc w:val="both"/>
      </w:pPr>
      <w:r w:rsidRPr="00C153C9">
        <w:t xml:space="preserve">In terms of sales model, the company adopts the method of placing orders by APP, arranging production and delivering by offline channel partners to ensure that channel partners keep minimum inventory. </w:t>
      </w:r>
    </w:p>
    <w:p w14:paraId="2A360570" w14:textId="1927C14B" w:rsidR="005052A7" w:rsidRPr="00C153C9" w:rsidRDefault="00DD1A4A" w:rsidP="00C153C9">
      <w:pPr>
        <w:spacing w:line="360" w:lineRule="auto"/>
        <w:jc w:val="both"/>
      </w:pPr>
      <w:r w:rsidRPr="00C153C9">
        <w:t xml:space="preserve">In terms of sales channel deployment, the company adopts both direct and franchised stores for promotion, and effectively manages both direct stores and partner stores through digital sales platform software. Through the cooperation with channel partners, the company has successfully expanded its sales network rapidly despite the relatively tight financial situation in the early stage. At present, 23 </w:t>
      </w:r>
      <w:proofErr w:type="gramStart"/>
      <w:r w:rsidRPr="00C153C9">
        <w:t>directly-managed</w:t>
      </w:r>
      <w:proofErr w:type="gramEnd"/>
      <w:r w:rsidRPr="00C153C9">
        <w:t xml:space="preserve"> stores and 268 channel partner stores have been formed, covering 101 cities in China, and the stores are mainly concentrated in first- and second-tier cities, which has enhanced a strong guarantee for the sales and promotion of the company's products. </w:t>
      </w:r>
    </w:p>
    <w:p w14:paraId="6F57B4E2" w14:textId="65F93BDF" w:rsidR="00045333" w:rsidRPr="00045333" w:rsidRDefault="005052A7" w:rsidP="00045333">
      <w:pPr>
        <w:pStyle w:val="Heading1"/>
        <w:spacing w:line="360" w:lineRule="auto"/>
        <w:rPr>
          <w:rFonts w:ascii="Times New Roman" w:hAnsi="Times New Roman" w:cs="Times New Roman"/>
          <w:szCs w:val="36"/>
        </w:rPr>
      </w:pPr>
      <w:bookmarkStart w:id="15" w:name="_Toc118909406"/>
      <w:bookmarkStart w:id="16" w:name="_Toc128218240"/>
      <w:r w:rsidRPr="00045333">
        <w:rPr>
          <w:rFonts w:ascii="Times New Roman" w:hAnsi="Times New Roman" w:cs="Times New Roman"/>
          <w:szCs w:val="36"/>
        </w:rPr>
        <w:t xml:space="preserve">2. </w:t>
      </w:r>
      <w:bookmarkEnd w:id="15"/>
      <w:r w:rsidRPr="00045333">
        <w:rPr>
          <w:rFonts w:ascii="Times New Roman" w:hAnsi="Times New Roman" w:cs="Times New Roman"/>
          <w:szCs w:val="36"/>
        </w:rPr>
        <w:t>Concerns about Profitability Influence the Valuation Multiple</w:t>
      </w:r>
      <w:r w:rsidR="00987E5F">
        <w:rPr>
          <w:rFonts w:ascii="Times New Roman" w:hAnsi="Times New Roman" w:cs="Times New Roman"/>
          <w:szCs w:val="36"/>
        </w:rPr>
        <w:t>s</w:t>
      </w:r>
      <w:r w:rsidRPr="00045333">
        <w:rPr>
          <w:rFonts w:ascii="Times New Roman" w:hAnsi="Times New Roman" w:cs="Times New Roman"/>
          <w:szCs w:val="36"/>
        </w:rPr>
        <w:t>.</w:t>
      </w:r>
      <w:bookmarkEnd w:id="16"/>
    </w:p>
    <w:p w14:paraId="40A459DF" w14:textId="77777777" w:rsidR="005052A7" w:rsidRPr="00470BFB" w:rsidRDefault="005052A7" w:rsidP="00C153C9">
      <w:pPr>
        <w:spacing w:line="360" w:lineRule="auto"/>
        <w:jc w:val="both"/>
      </w:pPr>
      <w:r w:rsidRPr="00470BFB">
        <w:t>Investors are losing confidence in Leapmotor and other low</w:t>
      </w:r>
      <w:r>
        <w:t>-</w:t>
      </w:r>
      <w:r w:rsidRPr="00470BFB">
        <w:t xml:space="preserve">margin NEV companies, </w:t>
      </w:r>
      <w:r>
        <w:t>lowering the valuation</w:t>
      </w:r>
      <w:r w:rsidRPr="00470BFB">
        <w:t>.</w:t>
      </w:r>
    </w:p>
    <w:p w14:paraId="0BADB8B4" w14:textId="16D9EB25" w:rsidR="005052A7" w:rsidRDefault="005052A7" w:rsidP="00C153C9">
      <w:pPr>
        <w:spacing w:line="360" w:lineRule="auto"/>
        <w:jc w:val="both"/>
      </w:pPr>
      <w:r>
        <w:rPr>
          <w:rFonts w:hint="eastAsia"/>
        </w:rPr>
        <w:t>N</w:t>
      </w:r>
      <w:r>
        <w:t xml:space="preserve">EV industry is now a red ocean. As time elapses, there is less room for the investor to imagine the things that a thriving demand will change. The profitability of NEV companies that cannot leverage the scale effect is doubtful. In the last few years, Leapmotor has paid efforts to lower the cost and improve the cost structure while </w:t>
      </w:r>
      <w:r w:rsidR="00035B7B">
        <w:t xml:space="preserve">it’s </w:t>
      </w:r>
      <w:r>
        <w:t>still far from profiting.</w:t>
      </w:r>
    </w:p>
    <w:p w14:paraId="229388B1" w14:textId="43F64D61" w:rsidR="005052A7" w:rsidRPr="00B26930" w:rsidRDefault="005052A7" w:rsidP="003B015E">
      <w:pPr>
        <w:pStyle w:val="Caption"/>
        <w:keepNext/>
        <w:spacing w:line="360" w:lineRule="auto"/>
        <w:jc w:val="center"/>
        <w:rPr>
          <w:rFonts w:ascii="Times New Roman" w:hAnsi="Times New Roman" w:cs="Times New Roman"/>
          <w:i/>
          <w:iCs/>
          <w:sz w:val="21"/>
          <w:szCs w:val="21"/>
        </w:rPr>
      </w:pPr>
      <w:r w:rsidRPr="00B26930">
        <w:rPr>
          <w:rFonts w:ascii="Times New Roman" w:hAnsi="Times New Roman" w:cs="Times New Roman"/>
          <w:i/>
          <w:iCs/>
          <w:sz w:val="21"/>
          <w:szCs w:val="21"/>
        </w:rPr>
        <w:t xml:space="preserve">Figure </w:t>
      </w:r>
      <w:r w:rsidR="003B015E">
        <w:rPr>
          <w:rFonts w:ascii="Times New Roman" w:hAnsi="Times New Roman" w:cs="Times New Roman"/>
          <w:i/>
          <w:iCs/>
          <w:sz w:val="21"/>
          <w:szCs w:val="21"/>
        </w:rPr>
        <w:t>3</w:t>
      </w:r>
      <w:r w:rsidRPr="00B26930">
        <w:rPr>
          <w:rFonts w:ascii="Times New Roman" w:hAnsi="Times New Roman" w:cs="Times New Roman"/>
          <w:i/>
          <w:iCs/>
          <w:sz w:val="21"/>
          <w:szCs w:val="21"/>
        </w:rPr>
        <w:t>: Profitability Metrics</w:t>
      </w:r>
    </w:p>
    <w:tbl>
      <w:tblPr>
        <w:tblStyle w:val="IBSG1"/>
        <w:tblW w:w="5000" w:type="pct"/>
        <w:jc w:val="center"/>
        <w:tblBorders>
          <w:top w:val="single" w:sz="12" w:space="0" w:color="003300"/>
          <w:left w:val="single" w:sz="12" w:space="0" w:color="003300"/>
          <w:bottom w:val="single" w:sz="12" w:space="0" w:color="003300"/>
          <w:right w:val="single" w:sz="12" w:space="0" w:color="003300"/>
        </w:tblBorders>
        <w:tblLook w:val="04A0" w:firstRow="1" w:lastRow="0" w:firstColumn="1" w:lastColumn="0" w:noHBand="0" w:noVBand="1"/>
      </w:tblPr>
      <w:tblGrid>
        <w:gridCol w:w="2669"/>
        <w:gridCol w:w="1348"/>
        <w:gridCol w:w="1348"/>
        <w:gridCol w:w="1211"/>
        <w:gridCol w:w="1211"/>
        <w:gridCol w:w="1209"/>
      </w:tblGrid>
      <w:tr w:rsidR="005052A7" w14:paraId="272A08B2" w14:textId="77777777" w:rsidTr="005F7FF9">
        <w:trPr>
          <w:cnfStyle w:val="100000000000" w:firstRow="1" w:lastRow="0" w:firstColumn="0" w:lastColumn="0" w:oddVBand="0" w:evenVBand="0" w:oddHBand="0" w:evenHBand="0" w:firstRowFirstColumn="0" w:firstRowLastColumn="0" w:lastRowFirstColumn="0" w:lastRowLastColumn="0"/>
          <w:trHeight w:val="270"/>
          <w:tblHeader/>
          <w:jc w:val="center"/>
        </w:trPr>
        <w:tc>
          <w:tcPr>
            <w:tcW w:w="1484" w:type="pct"/>
            <w:noWrap/>
            <w:hideMark/>
          </w:tcPr>
          <w:p w14:paraId="10EFA3BA" w14:textId="77777777" w:rsidR="005052A7" w:rsidRPr="00E318F1" w:rsidRDefault="005052A7" w:rsidP="003B015E">
            <w:pPr>
              <w:spacing w:line="360" w:lineRule="auto"/>
              <w:rPr>
                <w:szCs w:val="21"/>
              </w:rPr>
            </w:pPr>
          </w:p>
        </w:tc>
        <w:tc>
          <w:tcPr>
            <w:tcW w:w="749" w:type="pct"/>
            <w:noWrap/>
            <w:hideMark/>
          </w:tcPr>
          <w:p w14:paraId="5468DD9A" w14:textId="77777777" w:rsidR="005052A7" w:rsidRPr="00E318F1" w:rsidRDefault="005052A7" w:rsidP="003B015E">
            <w:pPr>
              <w:spacing w:line="360" w:lineRule="auto"/>
              <w:rPr>
                <w:bCs/>
                <w:szCs w:val="21"/>
              </w:rPr>
            </w:pPr>
            <w:r w:rsidRPr="00E318F1">
              <w:rPr>
                <w:bCs/>
                <w:szCs w:val="21"/>
              </w:rPr>
              <w:t>FY19</w:t>
            </w:r>
          </w:p>
        </w:tc>
        <w:tc>
          <w:tcPr>
            <w:tcW w:w="749" w:type="pct"/>
            <w:noWrap/>
            <w:hideMark/>
          </w:tcPr>
          <w:p w14:paraId="560A3E47" w14:textId="77777777" w:rsidR="005052A7" w:rsidRPr="00E318F1" w:rsidRDefault="005052A7" w:rsidP="003B015E">
            <w:pPr>
              <w:spacing w:line="360" w:lineRule="auto"/>
              <w:rPr>
                <w:bCs/>
                <w:szCs w:val="21"/>
              </w:rPr>
            </w:pPr>
            <w:r w:rsidRPr="00E318F1">
              <w:rPr>
                <w:bCs/>
                <w:szCs w:val="21"/>
              </w:rPr>
              <w:t>FY20</w:t>
            </w:r>
          </w:p>
        </w:tc>
        <w:tc>
          <w:tcPr>
            <w:tcW w:w="673" w:type="pct"/>
            <w:noWrap/>
            <w:hideMark/>
          </w:tcPr>
          <w:p w14:paraId="620401C2" w14:textId="77777777" w:rsidR="005052A7" w:rsidRPr="00E318F1" w:rsidRDefault="005052A7" w:rsidP="003B015E">
            <w:pPr>
              <w:spacing w:line="360" w:lineRule="auto"/>
              <w:rPr>
                <w:bCs/>
                <w:szCs w:val="21"/>
              </w:rPr>
            </w:pPr>
            <w:r w:rsidRPr="00E318F1">
              <w:rPr>
                <w:bCs/>
                <w:szCs w:val="21"/>
              </w:rPr>
              <w:t>FY21</w:t>
            </w:r>
          </w:p>
        </w:tc>
        <w:tc>
          <w:tcPr>
            <w:tcW w:w="673" w:type="pct"/>
            <w:noWrap/>
            <w:hideMark/>
          </w:tcPr>
          <w:p w14:paraId="4EC452C2" w14:textId="77777777" w:rsidR="005052A7" w:rsidRPr="00E318F1" w:rsidRDefault="005052A7" w:rsidP="003B015E">
            <w:pPr>
              <w:spacing w:line="360" w:lineRule="auto"/>
              <w:rPr>
                <w:bCs/>
                <w:szCs w:val="21"/>
              </w:rPr>
            </w:pPr>
            <w:r w:rsidRPr="00E318F1">
              <w:rPr>
                <w:bCs/>
                <w:szCs w:val="21"/>
              </w:rPr>
              <w:t>1Q22</w:t>
            </w:r>
          </w:p>
        </w:tc>
        <w:tc>
          <w:tcPr>
            <w:tcW w:w="673" w:type="pct"/>
            <w:noWrap/>
            <w:hideMark/>
          </w:tcPr>
          <w:p w14:paraId="5CA7A9CD" w14:textId="77777777" w:rsidR="005052A7" w:rsidRPr="00E318F1" w:rsidRDefault="005052A7" w:rsidP="003B015E">
            <w:pPr>
              <w:spacing w:line="360" w:lineRule="auto"/>
              <w:rPr>
                <w:bCs/>
                <w:szCs w:val="21"/>
              </w:rPr>
            </w:pPr>
            <w:r w:rsidRPr="00E318F1">
              <w:rPr>
                <w:bCs/>
                <w:szCs w:val="21"/>
              </w:rPr>
              <w:t>2Q22</w:t>
            </w:r>
          </w:p>
        </w:tc>
      </w:tr>
      <w:tr w:rsidR="005052A7" w14:paraId="702E472B" w14:textId="77777777" w:rsidTr="005F7FF9">
        <w:trPr>
          <w:cnfStyle w:val="000000100000" w:firstRow="0" w:lastRow="0" w:firstColumn="0" w:lastColumn="0" w:oddVBand="0" w:evenVBand="0" w:oddHBand="1" w:evenHBand="0" w:firstRowFirstColumn="0" w:firstRowLastColumn="0" w:lastRowFirstColumn="0" w:lastRowLastColumn="0"/>
          <w:trHeight w:val="270"/>
          <w:jc w:val="center"/>
        </w:trPr>
        <w:tc>
          <w:tcPr>
            <w:tcW w:w="1484" w:type="pct"/>
            <w:noWrap/>
            <w:hideMark/>
          </w:tcPr>
          <w:p w14:paraId="129C6BBC" w14:textId="77777777" w:rsidR="005052A7" w:rsidRPr="008D39F9" w:rsidRDefault="005052A7" w:rsidP="003B015E">
            <w:pPr>
              <w:spacing w:line="360" w:lineRule="auto"/>
              <w:rPr>
                <w:b/>
                <w:bCs/>
                <w:color w:val="000000"/>
                <w:szCs w:val="21"/>
              </w:rPr>
            </w:pPr>
            <w:r w:rsidRPr="008D39F9">
              <w:rPr>
                <w:b/>
                <w:bCs/>
                <w:color w:val="000000"/>
                <w:szCs w:val="21"/>
              </w:rPr>
              <w:t>Gross Margin</w:t>
            </w:r>
          </w:p>
        </w:tc>
        <w:tc>
          <w:tcPr>
            <w:tcW w:w="749" w:type="pct"/>
            <w:noWrap/>
            <w:hideMark/>
          </w:tcPr>
          <w:p w14:paraId="15DDC153" w14:textId="77777777" w:rsidR="005052A7" w:rsidRDefault="005052A7" w:rsidP="003B015E">
            <w:pPr>
              <w:spacing w:line="360" w:lineRule="auto"/>
              <w:jc w:val="right"/>
              <w:rPr>
                <w:color w:val="000000"/>
                <w:szCs w:val="21"/>
              </w:rPr>
            </w:pPr>
            <w:r>
              <w:rPr>
                <w:color w:val="000000"/>
                <w:szCs w:val="21"/>
              </w:rPr>
              <w:t>-95.70%</w:t>
            </w:r>
          </w:p>
        </w:tc>
        <w:tc>
          <w:tcPr>
            <w:tcW w:w="749" w:type="pct"/>
            <w:noWrap/>
            <w:hideMark/>
          </w:tcPr>
          <w:p w14:paraId="774E3F34" w14:textId="77777777" w:rsidR="005052A7" w:rsidRDefault="005052A7" w:rsidP="003B015E">
            <w:pPr>
              <w:spacing w:line="360" w:lineRule="auto"/>
              <w:jc w:val="right"/>
              <w:rPr>
                <w:color w:val="000000"/>
                <w:szCs w:val="21"/>
              </w:rPr>
            </w:pPr>
            <w:r>
              <w:rPr>
                <w:color w:val="000000"/>
                <w:szCs w:val="21"/>
              </w:rPr>
              <w:t>-50.60%</w:t>
            </w:r>
          </w:p>
        </w:tc>
        <w:tc>
          <w:tcPr>
            <w:tcW w:w="673" w:type="pct"/>
            <w:noWrap/>
            <w:hideMark/>
          </w:tcPr>
          <w:p w14:paraId="0FDB949F" w14:textId="77777777" w:rsidR="005052A7" w:rsidRDefault="005052A7" w:rsidP="003B015E">
            <w:pPr>
              <w:spacing w:line="360" w:lineRule="auto"/>
              <w:jc w:val="right"/>
              <w:rPr>
                <w:color w:val="000000"/>
                <w:szCs w:val="21"/>
              </w:rPr>
            </w:pPr>
            <w:r>
              <w:rPr>
                <w:color w:val="000000"/>
                <w:szCs w:val="21"/>
              </w:rPr>
              <w:t>-44.30%</w:t>
            </w:r>
          </w:p>
        </w:tc>
        <w:tc>
          <w:tcPr>
            <w:tcW w:w="673" w:type="pct"/>
            <w:noWrap/>
            <w:hideMark/>
          </w:tcPr>
          <w:p w14:paraId="75E14C6F" w14:textId="77777777" w:rsidR="005052A7" w:rsidRDefault="005052A7" w:rsidP="003B015E">
            <w:pPr>
              <w:spacing w:line="360" w:lineRule="auto"/>
              <w:jc w:val="right"/>
              <w:rPr>
                <w:color w:val="000000"/>
                <w:szCs w:val="21"/>
              </w:rPr>
            </w:pPr>
            <w:r>
              <w:rPr>
                <w:color w:val="000000"/>
                <w:szCs w:val="21"/>
              </w:rPr>
              <w:t>-26.60%</w:t>
            </w:r>
          </w:p>
        </w:tc>
        <w:tc>
          <w:tcPr>
            <w:tcW w:w="673" w:type="pct"/>
            <w:noWrap/>
            <w:hideMark/>
          </w:tcPr>
          <w:p w14:paraId="5F3E32C3" w14:textId="77777777" w:rsidR="005052A7" w:rsidRDefault="005052A7" w:rsidP="003B015E">
            <w:pPr>
              <w:spacing w:line="360" w:lineRule="auto"/>
              <w:jc w:val="right"/>
              <w:rPr>
                <w:color w:val="000000"/>
                <w:szCs w:val="21"/>
              </w:rPr>
            </w:pPr>
            <w:r>
              <w:rPr>
                <w:color w:val="000000"/>
                <w:szCs w:val="21"/>
              </w:rPr>
              <w:t>-25.50%</w:t>
            </w:r>
          </w:p>
        </w:tc>
      </w:tr>
      <w:tr w:rsidR="005052A7" w14:paraId="24D3F0BB" w14:textId="77777777" w:rsidTr="005F7FF9">
        <w:trPr>
          <w:cnfStyle w:val="000000010000" w:firstRow="0" w:lastRow="0" w:firstColumn="0" w:lastColumn="0" w:oddVBand="0" w:evenVBand="0" w:oddHBand="0" w:evenHBand="1" w:firstRowFirstColumn="0" w:firstRowLastColumn="0" w:lastRowFirstColumn="0" w:lastRowLastColumn="0"/>
          <w:trHeight w:val="270"/>
          <w:jc w:val="center"/>
        </w:trPr>
        <w:tc>
          <w:tcPr>
            <w:tcW w:w="1484" w:type="pct"/>
            <w:noWrap/>
            <w:hideMark/>
          </w:tcPr>
          <w:p w14:paraId="3A6D1EC7" w14:textId="77777777" w:rsidR="005052A7" w:rsidRPr="008D39F9" w:rsidRDefault="005052A7" w:rsidP="003B015E">
            <w:pPr>
              <w:spacing w:line="360" w:lineRule="auto"/>
              <w:rPr>
                <w:b/>
                <w:bCs/>
                <w:color w:val="000000"/>
                <w:szCs w:val="21"/>
              </w:rPr>
            </w:pPr>
            <w:r w:rsidRPr="008D39F9">
              <w:rPr>
                <w:b/>
                <w:bCs/>
                <w:color w:val="000000"/>
                <w:szCs w:val="21"/>
              </w:rPr>
              <w:t>Operating Margin</w:t>
            </w:r>
          </w:p>
        </w:tc>
        <w:tc>
          <w:tcPr>
            <w:tcW w:w="749" w:type="pct"/>
            <w:noWrap/>
            <w:hideMark/>
          </w:tcPr>
          <w:p w14:paraId="07429056" w14:textId="77777777" w:rsidR="005052A7" w:rsidRDefault="005052A7" w:rsidP="003B015E">
            <w:pPr>
              <w:spacing w:line="360" w:lineRule="auto"/>
              <w:jc w:val="right"/>
              <w:rPr>
                <w:color w:val="000000"/>
                <w:szCs w:val="21"/>
              </w:rPr>
            </w:pPr>
            <w:r>
              <w:rPr>
                <w:color w:val="000000"/>
                <w:szCs w:val="21"/>
              </w:rPr>
              <w:t>-624.90%</w:t>
            </w:r>
          </w:p>
        </w:tc>
        <w:tc>
          <w:tcPr>
            <w:tcW w:w="749" w:type="pct"/>
            <w:noWrap/>
            <w:hideMark/>
          </w:tcPr>
          <w:p w14:paraId="1FA7F721" w14:textId="77777777" w:rsidR="005052A7" w:rsidRDefault="005052A7" w:rsidP="003B015E">
            <w:pPr>
              <w:spacing w:line="360" w:lineRule="auto"/>
              <w:jc w:val="right"/>
              <w:rPr>
                <w:color w:val="000000"/>
                <w:szCs w:val="21"/>
              </w:rPr>
            </w:pPr>
            <w:r>
              <w:rPr>
                <w:color w:val="000000"/>
                <w:szCs w:val="21"/>
              </w:rPr>
              <w:t>-137.70%</w:t>
            </w:r>
          </w:p>
        </w:tc>
        <w:tc>
          <w:tcPr>
            <w:tcW w:w="673" w:type="pct"/>
            <w:noWrap/>
            <w:hideMark/>
          </w:tcPr>
          <w:p w14:paraId="09C07632" w14:textId="77777777" w:rsidR="005052A7" w:rsidRDefault="005052A7" w:rsidP="003B015E">
            <w:pPr>
              <w:spacing w:line="360" w:lineRule="auto"/>
              <w:jc w:val="right"/>
              <w:rPr>
                <w:color w:val="000000"/>
                <w:szCs w:val="21"/>
              </w:rPr>
            </w:pPr>
            <w:r>
              <w:rPr>
                <w:color w:val="000000"/>
                <w:szCs w:val="21"/>
              </w:rPr>
              <w:t>-91.60%</w:t>
            </w:r>
          </w:p>
        </w:tc>
        <w:tc>
          <w:tcPr>
            <w:tcW w:w="673" w:type="pct"/>
            <w:noWrap/>
            <w:hideMark/>
          </w:tcPr>
          <w:p w14:paraId="37832166" w14:textId="77777777" w:rsidR="005052A7" w:rsidRDefault="005052A7" w:rsidP="003B015E">
            <w:pPr>
              <w:spacing w:line="360" w:lineRule="auto"/>
              <w:jc w:val="right"/>
              <w:rPr>
                <w:color w:val="000000"/>
                <w:szCs w:val="21"/>
              </w:rPr>
            </w:pPr>
            <w:r>
              <w:rPr>
                <w:color w:val="000000"/>
                <w:szCs w:val="21"/>
              </w:rPr>
              <w:t>-53.80%</w:t>
            </w:r>
          </w:p>
        </w:tc>
        <w:tc>
          <w:tcPr>
            <w:tcW w:w="673" w:type="pct"/>
            <w:noWrap/>
            <w:hideMark/>
          </w:tcPr>
          <w:p w14:paraId="3CA5199A" w14:textId="77777777" w:rsidR="005052A7" w:rsidRDefault="005052A7" w:rsidP="003B015E">
            <w:pPr>
              <w:spacing w:line="360" w:lineRule="auto"/>
              <w:jc w:val="right"/>
              <w:rPr>
                <w:color w:val="000000"/>
                <w:szCs w:val="21"/>
              </w:rPr>
            </w:pPr>
            <w:r>
              <w:rPr>
                <w:color w:val="000000"/>
                <w:szCs w:val="21"/>
              </w:rPr>
              <w:t>-46.00%</w:t>
            </w:r>
          </w:p>
        </w:tc>
      </w:tr>
      <w:tr w:rsidR="005052A7" w14:paraId="3B3AF4B4" w14:textId="77777777" w:rsidTr="005F7FF9">
        <w:trPr>
          <w:cnfStyle w:val="000000100000" w:firstRow="0" w:lastRow="0" w:firstColumn="0" w:lastColumn="0" w:oddVBand="0" w:evenVBand="0" w:oddHBand="1" w:evenHBand="0" w:firstRowFirstColumn="0" w:firstRowLastColumn="0" w:lastRowFirstColumn="0" w:lastRowLastColumn="0"/>
          <w:trHeight w:val="280"/>
          <w:jc w:val="center"/>
        </w:trPr>
        <w:tc>
          <w:tcPr>
            <w:tcW w:w="1484" w:type="pct"/>
            <w:noWrap/>
            <w:hideMark/>
          </w:tcPr>
          <w:p w14:paraId="71C6E9DB" w14:textId="77777777" w:rsidR="005052A7" w:rsidRPr="008D39F9" w:rsidRDefault="005052A7" w:rsidP="003B015E">
            <w:pPr>
              <w:spacing w:line="360" w:lineRule="auto"/>
              <w:rPr>
                <w:b/>
                <w:bCs/>
                <w:color w:val="000000"/>
                <w:szCs w:val="21"/>
              </w:rPr>
            </w:pPr>
            <w:r w:rsidRPr="008D39F9">
              <w:rPr>
                <w:b/>
                <w:bCs/>
                <w:color w:val="000000"/>
                <w:szCs w:val="21"/>
              </w:rPr>
              <w:t>Net Margin</w:t>
            </w:r>
          </w:p>
        </w:tc>
        <w:tc>
          <w:tcPr>
            <w:tcW w:w="749" w:type="pct"/>
            <w:noWrap/>
            <w:hideMark/>
          </w:tcPr>
          <w:p w14:paraId="7706720A" w14:textId="77777777" w:rsidR="005052A7" w:rsidRDefault="005052A7" w:rsidP="003B015E">
            <w:pPr>
              <w:spacing w:line="360" w:lineRule="auto"/>
              <w:jc w:val="right"/>
              <w:rPr>
                <w:color w:val="000000"/>
                <w:szCs w:val="21"/>
              </w:rPr>
            </w:pPr>
            <w:r>
              <w:rPr>
                <w:color w:val="000000"/>
                <w:szCs w:val="21"/>
              </w:rPr>
              <w:t>-770.40%</w:t>
            </w:r>
          </w:p>
        </w:tc>
        <w:tc>
          <w:tcPr>
            <w:tcW w:w="749" w:type="pct"/>
            <w:noWrap/>
            <w:hideMark/>
          </w:tcPr>
          <w:p w14:paraId="4D51D0A9" w14:textId="77777777" w:rsidR="005052A7" w:rsidRDefault="005052A7" w:rsidP="003B015E">
            <w:pPr>
              <w:spacing w:line="360" w:lineRule="auto"/>
              <w:jc w:val="right"/>
              <w:rPr>
                <w:color w:val="000000"/>
                <w:szCs w:val="21"/>
              </w:rPr>
            </w:pPr>
            <w:r>
              <w:rPr>
                <w:color w:val="000000"/>
                <w:szCs w:val="21"/>
              </w:rPr>
              <w:t>-174.30%</w:t>
            </w:r>
          </w:p>
        </w:tc>
        <w:tc>
          <w:tcPr>
            <w:tcW w:w="673" w:type="pct"/>
            <w:noWrap/>
            <w:hideMark/>
          </w:tcPr>
          <w:p w14:paraId="56BEB3F1" w14:textId="77777777" w:rsidR="005052A7" w:rsidRDefault="005052A7" w:rsidP="003B015E">
            <w:pPr>
              <w:spacing w:line="360" w:lineRule="auto"/>
              <w:jc w:val="right"/>
              <w:rPr>
                <w:color w:val="000000"/>
                <w:szCs w:val="21"/>
              </w:rPr>
            </w:pPr>
            <w:r>
              <w:rPr>
                <w:color w:val="000000"/>
                <w:szCs w:val="21"/>
              </w:rPr>
              <w:t>-90.90%</w:t>
            </w:r>
          </w:p>
        </w:tc>
        <w:tc>
          <w:tcPr>
            <w:tcW w:w="673" w:type="pct"/>
            <w:noWrap/>
            <w:hideMark/>
          </w:tcPr>
          <w:p w14:paraId="6D0A0881" w14:textId="77777777" w:rsidR="005052A7" w:rsidRDefault="005052A7" w:rsidP="003B015E">
            <w:pPr>
              <w:spacing w:line="360" w:lineRule="auto"/>
              <w:jc w:val="right"/>
              <w:rPr>
                <w:color w:val="000000"/>
                <w:szCs w:val="21"/>
              </w:rPr>
            </w:pPr>
            <w:r>
              <w:rPr>
                <w:color w:val="000000"/>
                <w:szCs w:val="21"/>
              </w:rPr>
              <w:t>-52.30%</w:t>
            </w:r>
          </w:p>
        </w:tc>
        <w:tc>
          <w:tcPr>
            <w:tcW w:w="673" w:type="pct"/>
            <w:noWrap/>
            <w:hideMark/>
          </w:tcPr>
          <w:p w14:paraId="34F5228B" w14:textId="77777777" w:rsidR="005052A7" w:rsidRDefault="005052A7" w:rsidP="003B015E">
            <w:pPr>
              <w:keepNext/>
              <w:spacing w:line="360" w:lineRule="auto"/>
              <w:jc w:val="right"/>
              <w:rPr>
                <w:color w:val="000000"/>
                <w:szCs w:val="21"/>
              </w:rPr>
            </w:pPr>
            <w:r>
              <w:rPr>
                <w:color w:val="000000"/>
                <w:szCs w:val="21"/>
              </w:rPr>
              <w:t>-45.40%</w:t>
            </w:r>
          </w:p>
        </w:tc>
      </w:tr>
    </w:tbl>
    <w:p w14:paraId="5FCA7ECC" w14:textId="77777777" w:rsidR="005052A7" w:rsidRDefault="005052A7" w:rsidP="003B015E">
      <w:pPr>
        <w:pStyle w:val="Caption"/>
        <w:spacing w:line="360" w:lineRule="auto"/>
        <w:rPr>
          <w:rFonts w:ascii="Times New Roman" w:hAnsi="Times New Roman" w:cs="Times New Roman"/>
          <w:i/>
          <w:iCs/>
          <w:sz w:val="21"/>
          <w:szCs w:val="21"/>
        </w:rPr>
      </w:pPr>
      <w:r w:rsidRPr="00B26930">
        <w:rPr>
          <w:rFonts w:ascii="Times New Roman" w:hAnsi="Times New Roman" w:cs="Times New Roman"/>
          <w:i/>
          <w:iCs/>
          <w:sz w:val="21"/>
          <w:szCs w:val="21"/>
        </w:rPr>
        <w:t>Source</w:t>
      </w:r>
      <w:r>
        <w:rPr>
          <w:rFonts w:ascii="Times New Roman" w:hAnsi="Times New Roman" w:cs="Times New Roman"/>
          <w:i/>
          <w:iCs/>
          <w:sz w:val="21"/>
          <w:szCs w:val="21"/>
        </w:rPr>
        <w:t>:</w:t>
      </w:r>
      <w:r w:rsidRPr="00B26930">
        <w:rPr>
          <w:rFonts w:ascii="Times New Roman" w:hAnsi="Times New Roman" w:cs="Times New Roman"/>
          <w:i/>
          <w:iCs/>
          <w:sz w:val="21"/>
          <w:szCs w:val="21"/>
        </w:rPr>
        <w:t xml:space="preserve"> Filings</w:t>
      </w:r>
    </w:p>
    <w:p w14:paraId="0EEBB152" w14:textId="464BA018" w:rsidR="005052A7" w:rsidRPr="00EE2682" w:rsidRDefault="005052A7" w:rsidP="00C153C9">
      <w:pPr>
        <w:spacing w:line="360" w:lineRule="auto"/>
        <w:jc w:val="both"/>
        <w:rPr>
          <w:rFonts w:eastAsiaTheme="minorEastAsia"/>
        </w:rPr>
      </w:pPr>
      <w:r>
        <w:t xml:space="preserve">Leapmotor is not the only company that suffers from the profitability challenge. </w:t>
      </w:r>
      <w:r w:rsidRPr="00B26930">
        <w:t>Weltmeister</w:t>
      </w:r>
      <w:r>
        <w:t xml:space="preserve"> Auto is another low-price NEV company that plans to list in the HKEX through a back-door listing. As the most comparable company to Leapmotor, Weltmeister </w:t>
      </w:r>
      <w:r w:rsidR="004074EA">
        <w:t>has similar profitability</w:t>
      </w:r>
      <w:r>
        <w:t xml:space="preserve">. </w:t>
      </w:r>
      <w:r>
        <w:lastRenderedPageBreak/>
        <w:t>Moreover, most of the other NEV companies targeting a different price range and client base have low gross margin</w:t>
      </w:r>
      <w:r w:rsidR="00D93333">
        <w:t>s</w:t>
      </w:r>
      <w:r>
        <w:t xml:space="preserve"> and net loss</w:t>
      </w:r>
      <w:r w:rsidR="00D93333">
        <w:t>es</w:t>
      </w:r>
      <w:r>
        <w:t xml:space="preserve">. </w:t>
      </w:r>
    </w:p>
    <w:p w14:paraId="239F8028" w14:textId="28B156CE" w:rsidR="005052A7" w:rsidRPr="00AD3E1C" w:rsidRDefault="005052A7" w:rsidP="003B015E">
      <w:pPr>
        <w:pStyle w:val="Caption"/>
        <w:keepNext/>
        <w:spacing w:line="360" w:lineRule="auto"/>
        <w:jc w:val="center"/>
        <w:rPr>
          <w:rFonts w:ascii="Times New Roman" w:hAnsi="Times New Roman" w:cs="Times New Roman"/>
          <w:i/>
          <w:iCs/>
          <w:sz w:val="21"/>
          <w:szCs w:val="21"/>
        </w:rPr>
      </w:pPr>
      <w:r w:rsidRPr="00AD3E1C">
        <w:rPr>
          <w:rFonts w:ascii="Times New Roman" w:hAnsi="Times New Roman" w:cs="Times New Roman"/>
          <w:i/>
          <w:iCs/>
          <w:sz w:val="21"/>
          <w:szCs w:val="21"/>
        </w:rPr>
        <w:t xml:space="preserve">Figure </w:t>
      </w:r>
      <w:r w:rsidR="003B015E">
        <w:rPr>
          <w:rFonts w:ascii="Times New Roman" w:hAnsi="Times New Roman" w:cs="Times New Roman"/>
          <w:i/>
          <w:iCs/>
          <w:sz w:val="21"/>
          <w:szCs w:val="21"/>
        </w:rPr>
        <w:t>4</w:t>
      </w:r>
      <w:r w:rsidRPr="00AD3E1C">
        <w:rPr>
          <w:rFonts w:ascii="Times New Roman" w:hAnsi="Times New Roman" w:cs="Times New Roman"/>
          <w:i/>
          <w:iCs/>
          <w:sz w:val="21"/>
          <w:szCs w:val="21"/>
        </w:rPr>
        <w:t>: Gross Margin of NEV Companies</w:t>
      </w:r>
    </w:p>
    <w:tbl>
      <w:tblPr>
        <w:tblStyle w:val="IBSG1"/>
        <w:tblW w:w="9000" w:type="dxa"/>
        <w:tblLook w:val="04A0" w:firstRow="1" w:lastRow="0" w:firstColumn="1" w:lastColumn="0" w:noHBand="0" w:noVBand="1"/>
      </w:tblPr>
      <w:tblGrid>
        <w:gridCol w:w="680"/>
        <w:gridCol w:w="1230"/>
        <w:gridCol w:w="1390"/>
        <w:gridCol w:w="1900"/>
        <w:gridCol w:w="1900"/>
        <w:gridCol w:w="1900"/>
      </w:tblGrid>
      <w:tr w:rsidR="005052A7" w:rsidRPr="00704AD9" w14:paraId="6B4AF216" w14:textId="77777777" w:rsidTr="009334D7">
        <w:trPr>
          <w:cnfStyle w:val="100000000000" w:firstRow="1" w:lastRow="0" w:firstColumn="0" w:lastColumn="0" w:oddVBand="0" w:evenVBand="0" w:oddHBand="0" w:evenHBand="0" w:firstRowFirstColumn="0" w:firstRowLastColumn="0" w:lastRowFirstColumn="0" w:lastRowLastColumn="0"/>
          <w:trHeight w:val="300"/>
        </w:trPr>
        <w:tc>
          <w:tcPr>
            <w:tcW w:w="680" w:type="dxa"/>
            <w:vMerge w:val="restart"/>
            <w:noWrap/>
            <w:hideMark/>
          </w:tcPr>
          <w:p w14:paraId="39044C62" w14:textId="77777777" w:rsidR="005052A7" w:rsidRPr="00704AD9" w:rsidRDefault="005052A7" w:rsidP="003B015E">
            <w:pPr>
              <w:spacing w:line="360" w:lineRule="auto"/>
              <w:jc w:val="center"/>
              <w:rPr>
                <w:rFonts w:eastAsia="等线"/>
                <w:szCs w:val="21"/>
              </w:rPr>
            </w:pPr>
            <w:r w:rsidRPr="00704AD9">
              <w:rPr>
                <w:rFonts w:eastAsia="等线"/>
                <w:szCs w:val="21"/>
              </w:rPr>
              <w:t>No.</w:t>
            </w:r>
          </w:p>
        </w:tc>
        <w:tc>
          <w:tcPr>
            <w:tcW w:w="1103" w:type="dxa"/>
            <w:vMerge w:val="restart"/>
            <w:noWrap/>
            <w:hideMark/>
          </w:tcPr>
          <w:p w14:paraId="74F31ADF" w14:textId="77777777" w:rsidR="005052A7" w:rsidRPr="00704AD9" w:rsidRDefault="005052A7" w:rsidP="003B015E">
            <w:pPr>
              <w:spacing w:line="360" w:lineRule="auto"/>
              <w:rPr>
                <w:rFonts w:eastAsia="等线"/>
                <w:szCs w:val="21"/>
              </w:rPr>
            </w:pPr>
            <w:r w:rsidRPr="0023051B">
              <w:rPr>
                <w:rFonts w:eastAsia="宋体"/>
                <w:szCs w:val="21"/>
              </w:rPr>
              <w:t>Name</w:t>
            </w:r>
          </w:p>
        </w:tc>
        <w:tc>
          <w:tcPr>
            <w:tcW w:w="1517" w:type="dxa"/>
            <w:vMerge w:val="restart"/>
            <w:hideMark/>
          </w:tcPr>
          <w:p w14:paraId="2D5AE3F6" w14:textId="77777777" w:rsidR="005052A7" w:rsidRPr="00704AD9" w:rsidRDefault="005052A7" w:rsidP="003B015E">
            <w:pPr>
              <w:spacing w:line="360" w:lineRule="auto"/>
              <w:jc w:val="center"/>
              <w:rPr>
                <w:rFonts w:eastAsia="等线"/>
                <w:szCs w:val="21"/>
              </w:rPr>
            </w:pPr>
            <w:r w:rsidRPr="00704AD9">
              <w:rPr>
                <w:rFonts w:eastAsia="等线"/>
                <w:szCs w:val="21"/>
              </w:rPr>
              <w:t>EV Revenue Share (2021)</w:t>
            </w:r>
          </w:p>
        </w:tc>
        <w:tc>
          <w:tcPr>
            <w:tcW w:w="5700" w:type="dxa"/>
            <w:gridSpan w:val="3"/>
            <w:noWrap/>
            <w:hideMark/>
          </w:tcPr>
          <w:p w14:paraId="12E80D17" w14:textId="77777777" w:rsidR="005052A7" w:rsidRPr="00704AD9" w:rsidRDefault="005052A7" w:rsidP="003B015E">
            <w:pPr>
              <w:spacing w:line="360" w:lineRule="auto"/>
              <w:jc w:val="center"/>
              <w:rPr>
                <w:rFonts w:eastAsia="等线"/>
                <w:szCs w:val="21"/>
              </w:rPr>
            </w:pPr>
            <w:r w:rsidRPr="00704AD9">
              <w:rPr>
                <w:rFonts w:eastAsia="等线"/>
                <w:szCs w:val="21"/>
              </w:rPr>
              <w:t>Gross Margin for EV</w:t>
            </w:r>
          </w:p>
        </w:tc>
      </w:tr>
      <w:tr w:rsidR="005052A7" w:rsidRPr="00704AD9" w14:paraId="7313AC6D" w14:textId="77777777" w:rsidTr="009334D7">
        <w:trPr>
          <w:cnfStyle w:val="000000100000" w:firstRow="0" w:lastRow="0" w:firstColumn="0" w:lastColumn="0" w:oddVBand="0" w:evenVBand="0" w:oddHBand="1" w:evenHBand="0" w:firstRowFirstColumn="0" w:firstRowLastColumn="0" w:lastRowFirstColumn="0" w:lastRowLastColumn="0"/>
          <w:trHeight w:val="270"/>
        </w:trPr>
        <w:tc>
          <w:tcPr>
            <w:tcW w:w="0" w:type="auto"/>
            <w:vMerge/>
            <w:hideMark/>
          </w:tcPr>
          <w:p w14:paraId="353621D1" w14:textId="77777777" w:rsidR="005052A7" w:rsidRPr="00704AD9" w:rsidRDefault="005052A7" w:rsidP="003B015E">
            <w:pPr>
              <w:spacing w:line="360" w:lineRule="auto"/>
              <w:rPr>
                <w:rFonts w:eastAsia="等线"/>
                <w:color w:val="FFFFFF" w:themeColor="background1"/>
                <w:szCs w:val="21"/>
              </w:rPr>
            </w:pPr>
          </w:p>
        </w:tc>
        <w:tc>
          <w:tcPr>
            <w:tcW w:w="0" w:type="auto"/>
            <w:vMerge/>
            <w:hideMark/>
          </w:tcPr>
          <w:p w14:paraId="78BC1116" w14:textId="77777777" w:rsidR="005052A7" w:rsidRPr="00704AD9" w:rsidRDefault="005052A7" w:rsidP="003B015E">
            <w:pPr>
              <w:spacing w:line="360" w:lineRule="auto"/>
              <w:rPr>
                <w:rFonts w:eastAsia="等线"/>
                <w:color w:val="FFFFFF" w:themeColor="background1"/>
                <w:szCs w:val="21"/>
              </w:rPr>
            </w:pPr>
          </w:p>
        </w:tc>
        <w:tc>
          <w:tcPr>
            <w:tcW w:w="0" w:type="auto"/>
            <w:vMerge/>
            <w:hideMark/>
          </w:tcPr>
          <w:p w14:paraId="61E861BD" w14:textId="77777777" w:rsidR="005052A7" w:rsidRPr="00704AD9" w:rsidRDefault="005052A7" w:rsidP="003B015E">
            <w:pPr>
              <w:spacing w:line="360" w:lineRule="auto"/>
              <w:rPr>
                <w:rFonts w:eastAsia="等线"/>
                <w:color w:val="FFFFFF" w:themeColor="background1"/>
                <w:szCs w:val="21"/>
              </w:rPr>
            </w:pPr>
          </w:p>
        </w:tc>
        <w:tc>
          <w:tcPr>
            <w:tcW w:w="0" w:type="auto"/>
            <w:shd w:val="clear" w:color="auto" w:fill="003300"/>
            <w:noWrap/>
            <w:hideMark/>
          </w:tcPr>
          <w:p w14:paraId="2AFA8D77" w14:textId="77777777" w:rsidR="005052A7" w:rsidRPr="00704AD9" w:rsidRDefault="005052A7" w:rsidP="003B015E">
            <w:pPr>
              <w:spacing w:line="360" w:lineRule="auto"/>
              <w:jc w:val="right"/>
              <w:rPr>
                <w:rFonts w:eastAsia="等线"/>
                <w:b/>
                <w:bCs/>
                <w:color w:val="FFFFFF" w:themeColor="background1"/>
                <w:szCs w:val="21"/>
              </w:rPr>
            </w:pPr>
            <w:r w:rsidRPr="00704AD9">
              <w:rPr>
                <w:rFonts w:eastAsia="等线"/>
                <w:b/>
                <w:bCs/>
                <w:color w:val="FFFFFF" w:themeColor="background1"/>
                <w:szCs w:val="21"/>
              </w:rPr>
              <w:t>2021</w:t>
            </w:r>
          </w:p>
        </w:tc>
        <w:tc>
          <w:tcPr>
            <w:tcW w:w="0" w:type="auto"/>
            <w:shd w:val="clear" w:color="auto" w:fill="003300"/>
            <w:noWrap/>
            <w:hideMark/>
          </w:tcPr>
          <w:p w14:paraId="6911E718" w14:textId="77777777" w:rsidR="005052A7" w:rsidRPr="00704AD9" w:rsidRDefault="005052A7" w:rsidP="003B015E">
            <w:pPr>
              <w:spacing w:line="360" w:lineRule="auto"/>
              <w:jc w:val="right"/>
              <w:rPr>
                <w:rFonts w:eastAsia="等线"/>
                <w:b/>
                <w:bCs/>
                <w:color w:val="FFFFFF" w:themeColor="background1"/>
                <w:szCs w:val="21"/>
              </w:rPr>
            </w:pPr>
            <w:r w:rsidRPr="00704AD9">
              <w:rPr>
                <w:rFonts w:eastAsia="等线"/>
                <w:b/>
                <w:bCs/>
                <w:color w:val="FFFFFF" w:themeColor="background1"/>
                <w:szCs w:val="21"/>
              </w:rPr>
              <w:t>2020</w:t>
            </w:r>
          </w:p>
        </w:tc>
        <w:tc>
          <w:tcPr>
            <w:tcW w:w="0" w:type="auto"/>
            <w:shd w:val="clear" w:color="auto" w:fill="003300"/>
            <w:noWrap/>
            <w:hideMark/>
          </w:tcPr>
          <w:p w14:paraId="6EDB6DE4" w14:textId="77777777" w:rsidR="005052A7" w:rsidRPr="00704AD9" w:rsidRDefault="005052A7" w:rsidP="003B015E">
            <w:pPr>
              <w:spacing w:line="360" w:lineRule="auto"/>
              <w:jc w:val="right"/>
              <w:rPr>
                <w:rFonts w:eastAsia="等线"/>
                <w:b/>
                <w:bCs/>
                <w:color w:val="FFFFFF" w:themeColor="background1"/>
                <w:szCs w:val="21"/>
              </w:rPr>
            </w:pPr>
            <w:r w:rsidRPr="00704AD9">
              <w:rPr>
                <w:rFonts w:eastAsia="等线"/>
                <w:b/>
                <w:bCs/>
                <w:color w:val="FFFFFF" w:themeColor="background1"/>
                <w:szCs w:val="21"/>
              </w:rPr>
              <w:t>2019</w:t>
            </w:r>
          </w:p>
        </w:tc>
      </w:tr>
      <w:tr w:rsidR="005052A7" w:rsidRPr="00704AD9" w14:paraId="043F7F77" w14:textId="77777777" w:rsidTr="009334D7">
        <w:trPr>
          <w:cnfStyle w:val="000000010000" w:firstRow="0" w:lastRow="0" w:firstColumn="0" w:lastColumn="0" w:oddVBand="0" w:evenVBand="0" w:oddHBand="0" w:evenHBand="1" w:firstRowFirstColumn="0" w:firstRowLastColumn="0" w:lastRowFirstColumn="0" w:lastRowLastColumn="0"/>
          <w:trHeight w:val="270"/>
        </w:trPr>
        <w:tc>
          <w:tcPr>
            <w:tcW w:w="0" w:type="auto"/>
            <w:noWrap/>
            <w:hideMark/>
          </w:tcPr>
          <w:p w14:paraId="54CAC15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w:t>
            </w:r>
          </w:p>
        </w:tc>
        <w:tc>
          <w:tcPr>
            <w:tcW w:w="0" w:type="auto"/>
            <w:noWrap/>
            <w:hideMark/>
          </w:tcPr>
          <w:p w14:paraId="016713AD"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NIO</w:t>
            </w:r>
          </w:p>
        </w:tc>
        <w:tc>
          <w:tcPr>
            <w:tcW w:w="0" w:type="auto"/>
            <w:noWrap/>
            <w:hideMark/>
          </w:tcPr>
          <w:p w14:paraId="6A6A7FC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96.74%</w:t>
            </w:r>
          </w:p>
        </w:tc>
        <w:tc>
          <w:tcPr>
            <w:tcW w:w="0" w:type="auto"/>
            <w:noWrap/>
            <w:hideMark/>
          </w:tcPr>
          <w:p w14:paraId="12B3F9E4"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20.56%</w:t>
            </w:r>
          </w:p>
        </w:tc>
        <w:tc>
          <w:tcPr>
            <w:tcW w:w="0" w:type="auto"/>
            <w:noWrap/>
            <w:hideMark/>
          </w:tcPr>
          <w:p w14:paraId="1D86588D"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16.36%</w:t>
            </w:r>
          </w:p>
        </w:tc>
        <w:tc>
          <w:tcPr>
            <w:tcW w:w="0" w:type="auto"/>
            <w:noWrap/>
            <w:hideMark/>
          </w:tcPr>
          <w:p w14:paraId="45FFDFF4"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0.50%</w:t>
            </w:r>
          </w:p>
        </w:tc>
      </w:tr>
      <w:tr w:rsidR="005052A7" w:rsidRPr="00704AD9" w14:paraId="151F3B0B" w14:textId="77777777" w:rsidTr="009334D7">
        <w:trPr>
          <w:cnfStyle w:val="000000100000" w:firstRow="0" w:lastRow="0" w:firstColumn="0" w:lastColumn="0" w:oddVBand="0" w:evenVBand="0" w:oddHBand="1" w:evenHBand="0" w:firstRowFirstColumn="0" w:firstRowLastColumn="0" w:lastRowFirstColumn="0" w:lastRowLastColumn="0"/>
          <w:trHeight w:val="270"/>
        </w:trPr>
        <w:tc>
          <w:tcPr>
            <w:tcW w:w="0" w:type="auto"/>
            <w:noWrap/>
            <w:hideMark/>
          </w:tcPr>
          <w:p w14:paraId="1309BA52"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2</w:t>
            </w:r>
          </w:p>
        </w:tc>
        <w:tc>
          <w:tcPr>
            <w:tcW w:w="0" w:type="auto"/>
            <w:noWrap/>
            <w:hideMark/>
          </w:tcPr>
          <w:p w14:paraId="773D9734"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XPEV</w:t>
            </w:r>
          </w:p>
        </w:tc>
        <w:tc>
          <w:tcPr>
            <w:tcW w:w="0" w:type="auto"/>
            <w:noWrap/>
            <w:hideMark/>
          </w:tcPr>
          <w:p w14:paraId="10DEA7AB"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95.49%</w:t>
            </w:r>
          </w:p>
        </w:tc>
        <w:tc>
          <w:tcPr>
            <w:tcW w:w="0" w:type="auto"/>
            <w:noWrap/>
            <w:hideMark/>
          </w:tcPr>
          <w:p w14:paraId="48D315AD"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12.50%</w:t>
            </w:r>
          </w:p>
        </w:tc>
        <w:tc>
          <w:tcPr>
            <w:tcW w:w="0" w:type="auto"/>
            <w:noWrap/>
            <w:hideMark/>
          </w:tcPr>
          <w:p w14:paraId="64F35D6B"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3.54%</w:t>
            </w:r>
          </w:p>
        </w:tc>
        <w:tc>
          <w:tcPr>
            <w:tcW w:w="0" w:type="auto"/>
            <w:noWrap/>
            <w:hideMark/>
          </w:tcPr>
          <w:p w14:paraId="6753CE53"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w:t>
            </w:r>
          </w:p>
        </w:tc>
      </w:tr>
      <w:tr w:rsidR="005052A7" w:rsidRPr="00704AD9" w14:paraId="3678087C" w14:textId="77777777" w:rsidTr="009334D7">
        <w:trPr>
          <w:cnfStyle w:val="000000010000" w:firstRow="0" w:lastRow="0" w:firstColumn="0" w:lastColumn="0" w:oddVBand="0" w:evenVBand="0" w:oddHBand="0" w:evenHBand="1" w:firstRowFirstColumn="0" w:firstRowLastColumn="0" w:lastRowFirstColumn="0" w:lastRowLastColumn="0"/>
          <w:trHeight w:val="270"/>
        </w:trPr>
        <w:tc>
          <w:tcPr>
            <w:tcW w:w="0" w:type="auto"/>
            <w:noWrap/>
            <w:hideMark/>
          </w:tcPr>
          <w:p w14:paraId="6A28D642"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3</w:t>
            </w:r>
          </w:p>
        </w:tc>
        <w:tc>
          <w:tcPr>
            <w:tcW w:w="0" w:type="auto"/>
            <w:noWrap/>
            <w:hideMark/>
          </w:tcPr>
          <w:p w14:paraId="3BB083D5"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BYD</w:t>
            </w:r>
          </w:p>
        </w:tc>
        <w:tc>
          <w:tcPr>
            <w:tcW w:w="0" w:type="auto"/>
            <w:noWrap/>
            <w:hideMark/>
          </w:tcPr>
          <w:p w14:paraId="7DBE64C2"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52.04%</w:t>
            </w:r>
          </w:p>
        </w:tc>
        <w:tc>
          <w:tcPr>
            <w:tcW w:w="0" w:type="auto"/>
            <w:noWrap/>
            <w:hideMark/>
          </w:tcPr>
          <w:p w14:paraId="0C2C5347"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17.39%</w:t>
            </w:r>
          </w:p>
        </w:tc>
        <w:tc>
          <w:tcPr>
            <w:tcW w:w="0" w:type="auto"/>
            <w:noWrap/>
            <w:hideMark/>
          </w:tcPr>
          <w:p w14:paraId="1B83746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25.20%</w:t>
            </w:r>
          </w:p>
        </w:tc>
        <w:tc>
          <w:tcPr>
            <w:tcW w:w="0" w:type="auto"/>
            <w:noWrap/>
            <w:hideMark/>
          </w:tcPr>
          <w:p w14:paraId="1D147FD0"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21.88%</w:t>
            </w:r>
          </w:p>
        </w:tc>
      </w:tr>
      <w:tr w:rsidR="005052A7" w:rsidRPr="00704AD9" w14:paraId="37462605" w14:textId="77777777" w:rsidTr="009334D7">
        <w:trPr>
          <w:cnfStyle w:val="000000100000" w:firstRow="0" w:lastRow="0" w:firstColumn="0" w:lastColumn="0" w:oddVBand="0" w:evenVBand="0" w:oddHBand="1" w:evenHBand="0" w:firstRowFirstColumn="0" w:firstRowLastColumn="0" w:lastRowFirstColumn="0" w:lastRowLastColumn="0"/>
          <w:trHeight w:val="270"/>
        </w:trPr>
        <w:tc>
          <w:tcPr>
            <w:tcW w:w="0" w:type="auto"/>
            <w:noWrap/>
            <w:hideMark/>
          </w:tcPr>
          <w:p w14:paraId="35EA402F"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4</w:t>
            </w:r>
          </w:p>
        </w:tc>
        <w:tc>
          <w:tcPr>
            <w:tcW w:w="0" w:type="auto"/>
            <w:noWrap/>
            <w:hideMark/>
          </w:tcPr>
          <w:p w14:paraId="76AD1B52" w14:textId="77777777" w:rsidR="005052A7" w:rsidRPr="00704AD9" w:rsidRDefault="005052A7" w:rsidP="003B015E">
            <w:pPr>
              <w:spacing w:line="360" w:lineRule="auto"/>
              <w:rPr>
                <w:rFonts w:eastAsia="等线"/>
                <w:color w:val="000000"/>
                <w:szCs w:val="21"/>
              </w:rPr>
            </w:pPr>
            <w:proofErr w:type="spellStart"/>
            <w:r w:rsidRPr="00704AD9">
              <w:rPr>
                <w:rFonts w:eastAsia="等线"/>
                <w:color w:val="000000"/>
                <w:szCs w:val="21"/>
              </w:rPr>
              <w:t>DongFeng</w:t>
            </w:r>
            <w:proofErr w:type="spellEnd"/>
          </w:p>
        </w:tc>
        <w:tc>
          <w:tcPr>
            <w:tcW w:w="0" w:type="auto"/>
            <w:noWrap/>
            <w:hideMark/>
          </w:tcPr>
          <w:p w14:paraId="69FE073B"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88.50%</w:t>
            </w:r>
          </w:p>
        </w:tc>
        <w:tc>
          <w:tcPr>
            <w:tcW w:w="0" w:type="auto"/>
            <w:noWrap/>
            <w:hideMark/>
          </w:tcPr>
          <w:p w14:paraId="516858BF"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3.60%</w:t>
            </w:r>
          </w:p>
        </w:tc>
        <w:tc>
          <w:tcPr>
            <w:tcW w:w="0" w:type="auto"/>
            <w:noWrap/>
            <w:hideMark/>
          </w:tcPr>
          <w:p w14:paraId="2B2169F6"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13.24%</w:t>
            </w:r>
          </w:p>
        </w:tc>
        <w:tc>
          <w:tcPr>
            <w:tcW w:w="0" w:type="auto"/>
            <w:noWrap/>
            <w:hideMark/>
          </w:tcPr>
          <w:p w14:paraId="3BEABC4A"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13.20%</w:t>
            </w:r>
          </w:p>
        </w:tc>
      </w:tr>
      <w:tr w:rsidR="005052A7" w:rsidRPr="00704AD9" w14:paraId="38AEE416" w14:textId="77777777" w:rsidTr="009334D7">
        <w:trPr>
          <w:cnfStyle w:val="000000010000" w:firstRow="0" w:lastRow="0" w:firstColumn="0" w:lastColumn="0" w:oddVBand="0" w:evenVBand="0" w:oddHBand="0" w:evenHBand="1" w:firstRowFirstColumn="0" w:firstRowLastColumn="0" w:lastRowFirstColumn="0" w:lastRowLastColumn="0"/>
          <w:trHeight w:val="270"/>
        </w:trPr>
        <w:tc>
          <w:tcPr>
            <w:tcW w:w="0" w:type="auto"/>
            <w:noWrap/>
            <w:hideMark/>
          </w:tcPr>
          <w:p w14:paraId="192D5E1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5</w:t>
            </w:r>
          </w:p>
        </w:tc>
        <w:tc>
          <w:tcPr>
            <w:tcW w:w="0" w:type="auto"/>
            <w:noWrap/>
            <w:hideMark/>
          </w:tcPr>
          <w:p w14:paraId="7C7E7A41"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BAIC</w:t>
            </w:r>
          </w:p>
        </w:tc>
        <w:tc>
          <w:tcPr>
            <w:tcW w:w="0" w:type="auto"/>
            <w:noWrap/>
            <w:hideMark/>
          </w:tcPr>
          <w:p w14:paraId="1B2505C7"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57.31%</w:t>
            </w:r>
          </w:p>
        </w:tc>
        <w:tc>
          <w:tcPr>
            <w:tcW w:w="0" w:type="auto"/>
            <w:noWrap/>
            <w:hideMark/>
          </w:tcPr>
          <w:p w14:paraId="765B6800"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-32.73%</w:t>
            </w:r>
          </w:p>
        </w:tc>
        <w:tc>
          <w:tcPr>
            <w:tcW w:w="0" w:type="auto"/>
            <w:noWrap/>
            <w:hideMark/>
          </w:tcPr>
          <w:p w14:paraId="2BB1B77F"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-55.64%</w:t>
            </w:r>
          </w:p>
        </w:tc>
        <w:tc>
          <w:tcPr>
            <w:tcW w:w="0" w:type="auto"/>
            <w:noWrap/>
            <w:hideMark/>
          </w:tcPr>
          <w:p w14:paraId="5BD94167"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11.51%</w:t>
            </w:r>
          </w:p>
        </w:tc>
      </w:tr>
      <w:tr w:rsidR="005052A7" w:rsidRPr="00704AD9" w14:paraId="2B90D80D" w14:textId="77777777" w:rsidTr="009334D7">
        <w:trPr>
          <w:cnfStyle w:val="000000100000" w:firstRow="0" w:lastRow="0" w:firstColumn="0" w:lastColumn="0" w:oddVBand="0" w:evenVBand="0" w:oddHBand="1" w:evenHBand="0" w:firstRowFirstColumn="0" w:firstRowLastColumn="0" w:lastRowFirstColumn="0" w:lastRowLastColumn="0"/>
          <w:trHeight w:val="270"/>
        </w:trPr>
        <w:tc>
          <w:tcPr>
            <w:tcW w:w="0" w:type="auto"/>
            <w:noWrap/>
            <w:hideMark/>
          </w:tcPr>
          <w:p w14:paraId="2870E767"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6</w:t>
            </w:r>
          </w:p>
        </w:tc>
        <w:tc>
          <w:tcPr>
            <w:tcW w:w="0" w:type="auto"/>
            <w:noWrap/>
            <w:hideMark/>
          </w:tcPr>
          <w:p w14:paraId="0E6A11DE" w14:textId="77777777" w:rsidR="005052A7" w:rsidRPr="00704AD9" w:rsidRDefault="005052A7" w:rsidP="003B015E">
            <w:pPr>
              <w:spacing w:line="360" w:lineRule="auto"/>
              <w:rPr>
                <w:rFonts w:eastAsia="等线"/>
                <w:color w:val="000000"/>
                <w:szCs w:val="21"/>
              </w:rPr>
            </w:pPr>
            <w:proofErr w:type="spellStart"/>
            <w:r w:rsidRPr="00704AD9">
              <w:rPr>
                <w:rFonts w:eastAsia="等线"/>
                <w:color w:val="000000"/>
                <w:szCs w:val="21"/>
              </w:rPr>
              <w:t>Geely</w:t>
            </w:r>
            <w:proofErr w:type="spellEnd"/>
          </w:p>
        </w:tc>
        <w:tc>
          <w:tcPr>
            <w:tcW w:w="0" w:type="auto"/>
            <w:noWrap/>
            <w:hideMark/>
          </w:tcPr>
          <w:p w14:paraId="163C3503"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99.60%</w:t>
            </w:r>
          </w:p>
        </w:tc>
        <w:tc>
          <w:tcPr>
            <w:tcW w:w="0" w:type="auto"/>
            <w:noWrap/>
            <w:hideMark/>
          </w:tcPr>
          <w:p w14:paraId="1ECA72E2"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17.14%</w:t>
            </w:r>
          </w:p>
        </w:tc>
        <w:tc>
          <w:tcPr>
            <w:tcW w:w="0" w:type="auto"/>
            <w:noWrap/>
            <w:hideMark/>
          </w:tcPr>
          <w:p w14:paraId="57A603D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-2.48%</w:t>
            </w:r>
          </w:p>
        </w:tc>
        <w:tc>
          <w:tcPr>
            <w:tcW w:w="0" w:type="auto"/>
            <w:noWrap/>
            <w:hideMark/>
          </w:tcPr>
          <w:p w14:paraId="16ED6037"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3.52%</w:t>
            </w:r>
          </w:p>
        </w:tc>
      </w:tr>
      <w:tr w:rsidR="005052A7" w:rsidRPr="00704AD9" w14:paraId="6C450FE2" w14:textId="77777777" w:rsidTr="009334D7">
        <w:trPr>
          <w:cnfStyle w:val="000000010000" w:firstRow="0" w:lastRow="0" w:firstColumn="0" w:lastColumn="0" w:oddVBand="0" w:evenVBand="0" w:oddHBand="0" w:evenHBand="1" w:firstRowFirstColumn="0" w:firstRowLastColumn="0" w:lastRowFirstColumn="0" w:lastRowLastColumn="0"/>
          <w:trHeight w:val="270"/>
        </w:trPr>
        <w:tc>
          <w:tcPr>
            <w:tcW w:w="0" w:type="auto"/>
            <w:noWrap/>
            <w:hideMark/>
          </w:tcPr>
          <w:p w14:paraId="6EBD3BCB"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7</w:t>
            </w:r>
          </w:p>
        </w:tc>
        <w:tc>
          <w:tcPr>
            <w:tcW w:w="0" w:type="auto"/>
            <w:noWrap/>
            <w:hideMark/>
          </w:tcPr>
          <w:p w14:paraId="6CABC91D"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JAC</w:t>
            </w:r>
          </w:p>
        </w:tc>
        <w:tc>
          <w:tcPr>
            <w:tcW w:w="0" w:type="auto"/>
            <w:noWrap/>
            <w:hideMark/>
          </w:tcPr>
          <w:p w14:paraId="154F4CCE"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84.05%</w:t>
            </w:r>
          </w:p>
        </w:tc>
        <w:tc>
          <w:tcPr>
            <w:tcW w:w="0" w:type="auto"/>
            <w:noWrap/>
            <w:hideMark/>
          </w:tcPr>
          <w:p w14:paraId="1E424AA3"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6.46%</w:t>
            </w:r>
          </w:p>
        </w:tc>
        <w:tc>
          <w:tcPr>
            <w:tcW w:w="0" w:type="auto"/>
            <w:noWrap/>
            <w:hideMark/>
          </w:tcPr>
          <w:p w14:paraId="703613D9"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0.00%</w:t>
            </w:r>
          </w:p>
        </w:tc>
        <w:tc>
          <w:tcPr>
            <w:tcW w:w="0" w:type="auto"/>
            <w:noWrap/>
            <w:hideMark/>
          </w:tcPr>
          <w:p w14:paraId="65A4545B"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0.00%</w:t>
            </w:r>
          </w:p>
        </w:tc>
      </w:tr>
      <w:tr w:rsidR="005052A7" w:rsidRPr="00704AD9" w14:paraId="73352277" w14:textId="77777777" w:rsidTr="009334D7">
        <w:trPr>
          <w:cnfStyle w:val="000000100000" w:firstRow="0" w:lastRow="0" w:firstColumn="0" w:lastColumn="0" w:oddVBand="0" w:evenVBand="0" w:oddHBand="1" w:evenHBand="0" w:firstRowFirstColumn="0" w:firstRowLastColumn="0" w:lastRowFirstColumn="0" w:lastRowLastColumn="0"/>
          <w:trHeight w:val="270"/>
        </w:trPr>
        <w:tc>
          <w:tcPr>
            <w:tcW w:w="0" w:type="auto"/>
            <w:noWrap/>
            <w:hideMark/>
          </w:tcPr>
          <w:p w14:paraId="307F2F5D"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8</w:t>
            </w:r>
          </w:p>
        </w:tc>
        <w:tc>
          <w:tcPr>
            <w:tcW w:w="0" w:type="auto"/>
            <w:noWrap/>
            <w:hideMark/>
          </w:tcPr>
          <w:p w14:paraId="1A48C9BF"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Chana</w:t>
            </w:r>
          </w:p>
        </w:tc>
        <w:tc>
          <w:tcPr>
            <w:tcW w:w="0" w:type="auto"/>
            <w:noWrap/>
            <w:hideMark/>
          </w:tcPr>
          <w:p w14:paraId="75705862"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94.39%</w:t>
            </w:r>
          </w:p>
        </w:tc>
        <w:tc>
          <w:tcPr>
            <w:tcW w:w="0" w:type="auto"/>
            <w:noWrap/>
            <w:hideMark/>
          </w:tcPr>
          <w:p w14:paraId="71FBAA0D"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15.45%</w:t>
            </w:r>
          </w:p>
        </w:tc>
        <w:tc>
          <w:tcPr>
            <w:tcW w:w="0" w:type="auto"/>
            <w:noWrap/>
            <w:hideMark/>
          </w:tcPr>
          <w:p w14:paraId="5EB797B4"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13.65%</w:t>
            </w:r>
          </w:p>
        </w:tc>
        <w:tc>
          <w:tcPr>
            <w:tcW w:w="0" w:type="auto"/>
            <w:noWrap/>
            <w:hideMark/>
          </w:tcPr>
          <w:p w14:paraId="4443AC48"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12.39%</w:t>
            </w:r>
          </w:p>
        </w:tc>
      </w:tr>
      <w:tr w:rsidR="005052A7" w:rsidRPr="00704AD9" w14:paraId="7E170BB0" w14:textId="77777777" w:rsidTr="009334D7">
        <w:trPr>
          <w:cnfStyle w:val="000000010000" w:firstRow="0" w:lastRow="0" w:firstColumn="0" w:lastColumn="0" w:oddVBand="0" w:evenVBand="0" w:oddHBand="0" w:evenHBand="1" w:firstRowFirstColumn="0" w:firstRowLastColumn="0" w:lastRowFirstColumn="0" w:lastRowLastColumn="0"/>
          <w:trHeight w:val="270"/>
        </w:trPr>
        <w:tc>
          <w:tcPr>
            <w:tcW w:w="0" w:type="auto"/>
            <w:noWrap/>
            <w:hideMark/>
          </w:tcPr>
          <w:p w14:paraId="5878270A" w14:textId="77777777" w:rsidR="005052A7" w:rsidRPr="00704AD9" w:rsidRDefault="005052A7" w:rsidP="003B015E">
            <w:pPr>
              <w:spacing w:line="360" w:lineRule="auto"/>
              <w:jc w:val="right"/>
              <w:rPr>
                <w:rFonts w:eastAsia="等线"/>
                <w:color w:val="000000"/>
                <w:szCs w:val="21"/>
              </w:rPr>
            </w:pPr>
            <w:r>
              <w:rPr>
                <w:rFonts w:eastAsia="等线"/>
                <w:color w:val="000000"/>
                <w:szCs w:val="21"/>
              </w:rPr>
              <w:t>9</w:t>
            </w:r>
          </w:p>
        </w:tc>
        <w:tc>
          <w:tcPr>
            <w:tcW w:w="0" w:type="auto"/>
            <w:noWrap/>
            <w:hideMark/>
          </w:tcPr>
          <w:p w14:paraId="147E958F" w14:textId="77777777" w:rsidR="005052A7" w:rsidRPr="00704AD9" w:rsidRDefault="005052A7" w:rsidP="003B015E">
            <w:pPr>
              <w:spacing w:line="360" w:lineRule="auto"/>
              <w:rPr>
                <w:rFonts w:eastAsia="等线"/>
                <w:color w:val="000000"/>
                <w:szCs w:val="21"/>
              </w:rPr>
            </w:pPr>
            <w:r w:rsidRPr="00704AD9">
              <w:rPr>
                <w:rFonts w:eastAsia="等线"/>
                <w:color w:val="000000"/>
                <w:szCs w:val="21"/>
              </w:rPr>
              <w:t>WM</w:t>
            </w:r>
          </w:p>
        </w:tc>
        <w:tc>
          <w:tcPr>
            <w:tcW w:w="0" w:type="auto"/>
            <w:noWrap/>
            <w:hideMark/>
          </w:tcPr>
          <w:p w14:paraId="573C4A24"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90.65%</w:t>
            </w:r>
          </w:p>
        </w:tc>
        <w:tc>
          <w:tcPr>
            <w:tcW w:w="0" w:type="auto"/>
            <w:noWrap/>
            <w:hideMark/>
          </w:tcPr>
          <w:p w14:paraId="3EF533F3"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-41.10%</w:t>
            </w:r>
          </w:p>
        </w:tc>
        <w:tc>
          <w:tcPr>
            <w:tcW w:w="0" w:type="auto"/>
            <w:noWrap/>
            <w:hideMark/>
          </w:tcPr>
          <w:p w14:paraId="5FD6C83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-43.50%</w:t>
            </w:r>
          </w:p>
        </w:tc>
        <w:tc>
          <w:tcPr>
            <w:tcW w:w="0" w:type="auto"/>
            <w:noWrap/>
            <w:hideMark/>
          </w:tcPr>
          <w:p w14:paraId="4DCAF49D"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-58.30%</w:t>
            </w:r>
          </w:p>
        </w:tc>
      </w:tr>
      <w:tr w:rsidR="005052A7" w:rsidRPr="00704AD9" w14:paraId="70261124" w14:textId="77777777" w:rsidTr="009334D7">
        <w:trPr>
          <w:cnfStyle w:val="000000100000" w:firstRow="0" w:lastRow="0" w:firstColumn="0" w:lastColumn="0" w:oddVBand="0" w:evenVBand="0" w:oddHBand="1" w:evenHBand="0" w:firstRowFirstColumn="0" w:firstRowLastColumn="0" w:lastRowFirstColumn="0" w:lastRowLastColumn="0"/>
          <w:trHeight w:val="280"/>
        </w:trPr>
        <w:tc>
          <w:tcPr>
            <w:tcW w:w="0" w:type="auto"/>
            <w:gridSpan w:val="3"/>
            <w:noWrap/>
            <w:hideMark/>
          </w:tcPr>
          <w:p w14:paraId="55286B47" w14:textId="77777777" w:rsidR="005052A7" w:rsidRPr="00704AD9" w:rsidRDefault="005052A7" w:rsidP="003B015E">
            <w:pPr>
              <w:spacing w:line="360" w:lineRule="auto"/>
              <w:jc w:val="center"/>
              <w:rPr>
                <w:rFonts w:eastAsia="等线"/>
                <w:color w:val="000000"/>
                <w:szCs w:val="21"/>
              </w:rPr>
            </w:pPr>
            <w:r w:rsidRPr="00704AD9">
              <w:rPr>
                <w:rFonts w:eastAsia="等线"/>
                <w:color w:val="000000"/>
                <w:szCs w:val="21"/>
              </w:rPr>
              <w:t>Aver</w:t>
            </w:r>
            <w:r>
              <w:rPr>
                <w:rFonts w:eastAsia="等线"/>
                <w:color w:val="000000"/>
                <w:szCs w:val="21"/>
              </w:rPr>
              <w:t>age</w:t>
            </w:r>
          </w:p>
        </w:tc>
        <w:tc>
          <w:tcPr>
            <w:tcW w:w="0" w:type="auto"/>
            <w:noWrap/>
            <w:hideMark/>
          </w:tcPr>
          <w:p w14:paraId="0AA864E1"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2.14%</w:t>
            </w:r>
          </w:p>
        </w:tc>
        <w:tc>
          <w:tcPr>
            <w:tcW w:w="0" w:type="auto"/>
            <w:noWrap/>
            <w:hideMark/>
          </w:tcPr>
          <w:p w14:paraId="7932B64B" w14:textId="77777777" w:rsidR="005052A7" w:rsidRPr="00704AD9" w:rsidRDefault="005052A7" w:rsidP="003B015E">
            <w:pPr>
              <w:spacing w:line="360" w:lineRule="auto"/>
              <w:jc w:val="right"/>
              <w:rPr>
                <w:rFonts w:eastAsia="等线"/>
                <w:color w:val="000000"/>
                <w:szCs w:val="21"/>
              </w:rPr>
            </w:pPr>
            <w:r w:rsidRPr="00704AD9">
              <w:rPr>
                <w:rFonts w:eastAsia="等线"/>
                <w:color w:val="000000"/>
                <w:szCs w:val="21"/>
              </w:rPr>
              <w:t>-3.29%</w:t>
            </w:r>
          </w:p>
        </w:tc>
        <w:tc>
          <w:tcPr>
            <w:tcW w:w="0" w:type="auto"/>
            <w:noWrap/>
            <w:hideMark/>
          </w:tcPr>
          <w:p w14:paraId="2988620B" w14:textId="77777777" w:rsidR="005052A7" w:rsidRPr="00704AD9" w:rsidRDefault="005052A7" w:rsidP="003B015E">
            <w:pPr>
              <w:keepNext/>
              <w:spacing w:line="360" w:lineRule="auto"/>
              <w:jc w:val="right"/>
              <w:rPr>
                <w:rFonts w:eastAsia="等线"/>
                <w:color w:val="000000"/>
                <w:szCs w:val="21"/>
              </w:rPr>
            </w:pPr>
            <w:r w:rsidRPr="00704AD9">
              <w:rPr>
                <w:rFonts w:eastAsia="等线"/>
                <w:color w:val="000000"/>
                <w:szCs w:val="21"/>
              </w:rPr>
              <w:t>0.59%</w:t>
            </w:r>
          </w:p>
        </w:tc>
      </w:tr>
    </w:tbl>
    <w:p w14:paraId="7F6C876A" w14:textId="77777777" w:rsidR="005052A7" w:rsidRPr="00AD3E1C" w:rsidRDefault="005052A7" w:rsidP="003B015E">
      <w:pPr>
        <w:pStyle w:val="Caption"/>
        <w:spacing w:line="360" w:lineRule="auto"/>
        <w:rPr>
          <w:rFonts w:ascii="Times New Roman" w:hAnsi="Times New Roman" w:cs="Times New Roman"/>
          <w:i/>
          <w:iCs/>
          <w:sz w:val="21"/>
          <w:szCs w:val="21"/>
        </w:rPr>
      </w:pPr>
      <w:bookmarkStart w:id="17" w:name="OLE_LINK1"/>
      <w:r w:rsidRPr="00AD3E1C">
        <w:rPr>
          <w:rFonts w:ascii="Times New Roman" w:hAnsi="Times New Roman" w:cs="Times New Roman"/>
          <w:i/>
          <w:iCs/>
          <w:sz w:val="21"/>
          <w:szCs w:val="21"/>
        </w:rPr>
        <w:t>Source: Filings</w:t>
      </w:r>
    </w:p>
    <w:bookmarkEnd w:id="17"/>
    <w:p w14:paraId="0193D8BC" w14:textId="078749BB" w:rsidR="005052A7" w:rsidRDefault="005052A7" w:rsidP="00C153C9">
      <w:pPr>
        <w:spacing w:line="360" w:lineRule="auto"/>
        <w:jc w:val="both"/>
      </w:pPr>
      <w:r>
        <w:rPr>
          <w:rFonts w:hint="eastAsia"/>
        </w:rPr>
        <w:t>Th</w:t>
      </w:r>
      <w:r>
        <w:t xml:space="preserve">e key to improving the margin is to optimize the cost structure with scale effect as a company operating in a heavy asset industry. </w:t>
      </w:r>
      <w:r>
        <w:rPr>
          <w:rFonts w:hint="eastAsia"/>
        </w:rPr>
        <w:t>T</w:t>
      </w:r>
      <w:r>
        <w:t xml:space="preserve">he per-car revenue side has little opportunity to increase as the market is competitive. The industry leader </w:t>
      </w:r>
      <w:r w:rsidRPr="00C55023">
        <w:t xml:space="preserve">Tesla announced </w:t>
      </w:r>
      <w:r>
        <w:t>significant</w:t>
      </w:r>
      <w:r w:rsidRPr="00C55023">
        <w:t xml:space="preserve"> price cuts across its model lineup </w:t>
      </w:r>
      <w:r>
        <w:t>at the begging of 2023,</w:t>
      </w:r>
      <w:r w:rsidRPr="00C55023">
        <w:t xml:space="preserve"> with prices falling from 3,000</w:t>
      </w:r>
      <w:r w:rsidR="006461C5">
        <w:t xml:space="preserve"> yuan</w:t>
      </w:r>
      <w:r w:rsidRPr="00C55023">
        <w:t xml:space="preserve"> (on the base-grade Model 3) to 13,000</w:t>
      </w:r>
      <w:r w:rsidR="006461C5">
        <w:t xml:space="preserve"> yuan</w:t>
      </w:r>
      <w:r w:rsidRPr="00C55023">
        <w:t xml:space="preserve"> (for the base Model Y)</w:t>
      </w:r>
      <w:r>
        <w:t xml:space="preserve">, which future exert pressure on the price of NEV. Increasing prices also disobey the philosophy of the common strategy of the NEV companies, which focuses on occupying more market share and lowering the cost on a larger scale. </w:t>
      </w:r>
    </w:p>
    <w:p w14:paraId="1FEE5514" w14:textId="77777777" w:rsidR="005052A7" w:rsidRDefault="005052A7" w:rsidP="00C153C9">
      <w:pPr>
        <w:spacing w:line="360" w:lineRule="auto"/>
        <w:jc w:val="both"/>
      </w:pPr>
      <w:r>
        <w:rPr>
          <w:rFonts w:hint="eastAsia"/>
        </w:rPr>
        <w:t>T</w:t>
      </w:r>
      <w:r>
        <w:t>he components of cars, i.e., batteries, also show no clue to lower their price given the strong demand. Leapmotor is hardly profitable after purchasing all the raw materials at such a price. It seems that the scale effect is the only saver.</w:t>
      </w:r>
    </w:p>
    <w:p w14:paraId="15429D43" w14:textId="7E0AFF6F" w:rsidR="005052A7" w:rsidRPr="001E3F8B" w:rsidRDefault="005052A7" w:rsidP="003B015E">
      <w:pPr>
        <w:pStyle w:val="Caption"/>
        <w:keepNext/>
        <w:spacing w:line="360" w:lineRule="auto"/>
        <w:rPr>
          <w:rFonts w:ascii="Times New Roman" w:hAnsi="Times New Roman" w:cs="Times New Roman"/>
          <w:i/>
          <w:iCs/>
          <w:sz w:val="21"/>
          <w:szCs w:val="21"/>
        </w:rPr>
      </w:pPr>
      <w:r w:rsidRPr="001E3F8B">
        <w:rPr>
          <w:rFonts w:ascii="Times New Roman" w:hAnsi="Times New Roman" w:cs="Times New Roman"/>
          <w:i/>
          <w:iCs/>
          <w:sz w:val="21"/>
          <w:szCs w:val="21"/>
        </w:rPr>
        <w:lastRenderedPageBreak/>
        <w:t xml:space="preserve">Figure </w:t>
      </w:r>
      <w:r w:rsidR="003B015E">
        <w:rPr>
          <w:rFonts w:ascii="Times New Roman" w:hAnsi="Times New Roman" w:cs="Times New Roman"/>
          <w:i/>
          <w:iCs/>
          <w:sz w:val="21"/>
          <w:szCs w:val="21"/>
        </w:rPr>
        <w:t>5</w:t>
      </w:r>
      <w:r w:rsidRPr="001E3F8B">
        <w:rPr>
          <w:rFonts w:ascii="Times New Roman" w:hAnsi="Times New Roman" w:cs="Times New Roman"/>
          <w:i/>
          <w:iCs/>
          <w:sz w:val="21"/>
          <w:szCs w:val="21"/>
        </w:rPr>
        <w:t xml:space="preserve">: Models Delivered in each </w:t>
      </w:r>
      <w:proofErr w:type="gramStart"/>
      <w:r w:rsidRPr="001E3F8B">
        <w:rPr>
          <w:rFonts w:ascii="Times New Roman" w:hAnsi="Times New Roman" w:cs="Times New Roman"/>
          <w:i/>
          <w:iCs/>
          <w:sz w:val="21"/>
          <w:szCs w:val="21"/>
        </w:rPr>
        <w:t>Quarter</w:t>
      </w:r>
      <w:proofErr w:type="gramEnd"/>
    </w:p>
    <w:p w14:paraId="3797CCC6" w14:textId="77777777" w:rsidR="005052A7" w:rsidRDefault="005052A7" w:rsidP="003B015E">
      <w:pPr>
        <w:keepNext/>
        <w:spacing w:line="360" w:lineRule="auto"/>
        <w:ind w:firstLine="420"/>
      </w:pPr>
      <w:r>
        <w:rPr>
          <w:noProof/>
        </w:rPr>
        <w:drawing>
          <wp:inline distT="0" distB="0" distL="0" distR="0" wp14:anchorId="559DF9BE" wp14:editId="2882C94A">
            <wp:extent cx="5274310" cy="2133600"/>
            <wp:effectExtent l="0" t="0" r="2540" b="0"/>
            <wp:docPr id="6" name="Chart 6">
              <a:extLst xmlns:a="http://schemas.openxmlformats.org/drawingml/2006/main">
                <a:ext uri="{FF2B5EF4-FFF2-40B4-BE49-F238E27FC236}">
                  <a16:creationId xmlns:a16="http://schemas.microsoft.com/office/drawing/2014/main" id="{B7CDBF82-7709-3677-5B3E-631797795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979751" w14:textId="77777777" w:rsidR="005052A7" w:rsidRDefault="005052A7" w:rsidP="003B015E">
      <w:pPr>
        <w:pStyle w:val="Caption"/>
        <w:spacing w:line="360" w:lineRule="auto"/>
      </w:pPr>
      <w:r w:rsidRPr="001E3F8B">
        <w:rPr>
          <w:rFonts w:ascii="Times New Roman" w:hAnsi="Times New Roman" w:cs="Times New Roman"/>
          <w:i/>
          <w:iCs/>
          <w:sz w:val="21"/>
          <w:szCs w:val="21"/>
        </w:rPr>
        <w:t>Source: Filings, Unofficial Announcement Made by Leapmotor</w:t>
      </w:r>
    </w:p>
    <w:p w14:paraId="3394D63E" w14:textId="77777777" w:rsidR="005052A7" w:rsidRDefault="005052A7" w:rsidP="00C153C9">
      <w:pPr>
        <w:spacing w:line="360" w:lineRule="auto"/>
        <w:jc w:val="both"/>
      </w:pPr>
      <w:r>
        <w:rPr>
          <w:rFonts w:hint="eastAsia"/>
        </w:rPr>
        <w:t>T</w:t>
      </w:r>
      <w:r>
        <w:t>he performance in sales growth will be satisfying in 2022. The drop in models sold in the last quarter draws our attention. Even the cyclicality of the Auto industry shows that it is usual to reach the top in terms of sales in the third quarter, the sales in the last quarter still look not satisfying. It is a question of whether the improvement of gross margin in 1H21 is sustainable if the sales drop, especially in the more challenging market conditions in 2023.</w:t>
      </w:r>
    </w:p>
    <w:p w14:paraId="6FEBDDDD" w14:textId="41FEA7BA" w:rsidR="0097490C" w:rsidRDefault="005052A7" w:rsidP="00C153C9">
      <w:pPr>
        <w:spacing w:line="360" w:lineRule="auto"/>
        <w:jc w:val="both"/>
      </w:pPr>
      <w:r>
        <w:t>The standard approach to value NEV companies is the P/S ratio. It measures both expected growth and projected profit structure. We should note that the current P/S balance of Leapmotor is above average among the comparable companies, implying a higher expected increase which should be released in the next several years.</w:t>
      </w:r>
    </w:p>
    <w:p w14:paraId="3954C96F" w14:textId="5E7CBFD5" w:rsidR="005052A7" w:rsidRDefault="005052A7" w:rsidP="003B015E">
      <w:pPr>
        <w:pStyle w:val="Caption"/>
        <w:keepNext/>
        <w:spacing w:line="360" w:lineRule="auto"/>
        <w:jc w:val="center"/>
      </w:pPr>
      <w:r w:rsidRPr="00AD3E1C">
        <w:rPr>
          <w:rFonts w:ascii="Times New Roman" w:hAnsi="Times New Roman" w:cs="Times New Roman"/>
          <w:i/>
          <w:iCs/>
          <w:sz w:val="21"/>
          <w:szCs w:val="21"/>
        </w:rPr>
        <w:lastRenderedPageBreak/>
        <w:t xml:space="preserve">Figure </w:t>
      </w:r>
      <w:r w:rsidR="00A22A1F">
        <w:rPr>
          <w:rFonts w:ascii="Times New Roman" w:hAnsi="Times New Roman" w:cs="Times New Roman"/>
          <w:i/>
          <w:iCs/>
          <w:sz w:val="21"/>
          <w:szCs w:val="21"/>
        </w:rPr>
        <w:t>6</w:t>
      </w:r>
      <w:r w:rsidRPr="00AD3E1C">
        <w:rPr>
          <w:rFonts w:ascii="Times New Roman" w:hAnsi="Times New Roman" w:cs="Times New Roman"/>
          <w:i/>
          <w:iCs/>
          <w:sz w:val="21"/>
          <w:szCs w:val="21"/>
        </w:rPr>
        <w:t>: P/S Ratios of Comparable Companies: Graph</w:t>
      </w:r>
    </w:p>
    <w:p w14:paraId="04C08A75" w14:textId="2BC22B07" w:rsidR="005052A7" w:rsidRDefault="000C45F0" w:rsidP="003B015E">
      <w:pPr>
        <w:keepNext/>
        <w:spacing w:line="360" w:lineRule="auto"/>
        <w:jc w:val="center"/>
      </w:pPr>
      <w:r>
        <w:rPr>
          <w:noProof/>
        </w:rPr>
        <w:drawing>
          <wp:inline distT="0" distB="0" distL="0" distR="0" wp14:anchorId="52F97A97" wp14:editId="47E0E4E5">
            <wp:extent cx="5066361" cy="3105895"/>
            <wp:effectExtent l="0" t="0" r="1270" b="18415"/>
            <wp:docPr id="4" name="Chart 4">
              <a:extLst xmlns:a="http://schemas.openxmlformats.org/drawingml/2006/main">
                <a:ext uri="{FF2B5EF4-FFF2-40B4-BE49-F238E27FC236}">
                  <a16:creationId xmlns:a16="http://schemas.microsoft.com/office/drawing/2014/main" id="{16EF9F13-2861-0028-29E9-9D4282BE63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490A8D" w14:textId="6A818E51" w:rsidR="005052A7" w:rsidRPr="00A22A1F" w:rsidRDefault="005052A7" w:rsidP="00A22A1F">
      <w:pPr>
        <w:pStyle w:val="Caption"/>
        <w:spacing w:line="360" w:lineRule="auto"/>
        <w:rPr>
          <w:rFonts w:ascii="Times New Roman" w:hAnsi="Times New Roman" w:cs="Times New Roman"/>
          <w:i/>
          <w:iCs/>
          <w:sz w:val="21"/>
          <w:szCs w:val="21"/>
        </w:rPr>
      </w:pPr>
      <w:r w:rsidRPr="00AD3E1C">
        <w:rPr>
          <w:rFonts w:ascii="Times New Roman" w:hAnsi="Times New Roman" w:cs="Times New Roman"/>
          <w:i/>
          <w:iCs/>
          <w:sz w:val="21"/>
          <w:szCs w:val="21"/>
        </w:rPr>
        <w:t>Source: Refinitiv</w:t>
      </w:r>
    </w:p>
    <w:p w14:paraId="4271373E" w14:textId="7B643FA7" w:rsidR="00170CD2" w:rsidRPr="00045333" w:rsidRDefault="005052A7" w:rsidP="00045333">
      <w:pPr>
        <w:pStyle w:val="Heading1"/>
        <w:spacing w:line="360" w:lineRule="auto"/>
        <w:rPr>
          <w:rFonts w:ascii="Times New Roman" w:hAnsi="Times New Roman" w:cs="Times New Roman"/>
          <w:szCs w:val="36"/>
        </w:rPr>
      </w:pPr>
      <w:bookmarkStart w:id="18" w:name="_Toc128218241"/>
      <w:r w:rsidRPr="005052A7">
        <w:rPr>
          <w:rFonts w:ascii="Times New Roman" w:hAnsi="Times New Roman" w:cs="Times New Roman"/>
          <w:szCs w:val="36"/>
        </w:rPr>
        <w:t>3. Valuation</w:t>
      </w:r>
      <w:bookmarkEnd w:id="18"/>
    </w:p>
    <w:p w14:paraId="5B15B2A4" w14:textId="29B93D4B" w:rsidR="00E47729" w:rsidRPr="00170CD2" w:rsidRDefault="00170CD2" w:rsidP="003B015E">
      <w:pPr>
        <w:pStyle w:val="Heading2"/>
        <w:spacing w:line="360" w:lineRule="auto"/>
        <w:rPr>
          <w:rFonts w:ascii="Times New Roman" w:hAnsi="Times New Roman" w:cs="Times New Roman"/>
          <w:b w:val="0"/>
          <w:szCs w:val="24"/>
        </w:rPr>
      </w:pPr>
      <w:bookmarkStart w:id="19" w:name="_Toc128218242"/>
      <w:r>
        <w:rPr>
          <w:rFonts w:ascii="Times New Roman" w:hAnsi="Times New Roman" w:cs="Times New Roman"/>
          <w:b w:val="0"/>
          <w:szCs w:val="24"/>
        </w:rPr>
        <w:t>3</w:t>
      </w:r>
      <w:r w:rsidR="00E47729">
        <w:rPr>
          <w:rFonts w:ascii="Times New Roman" w:hAnsi="Times New Roman" w:cs="Times New Roman"/>
          <w:b w:val="0"/>
          <w:szCs w:val="24"/>
        </w:rPr>
        <w:t>.1 Operation analysis</w:t>
      </w:r>
      <w:bookmarkEnd w:id="19"/>
    </w:p>
    <w:p w14:paraId="5F9A2606" w14:textId="26E19240" w:rsidR="00045333" w:rsidRPr="00C153C9" w:rsidRDefault="001730A2" w:rsidP="00C153C9">
      <w:pPr>
        <w:spacing w:line="360" w:lineRule="auto"/>
        <w:jc w:val="both"/>
      </w:pPr>
      <w:r w:rsidRPr="00C153C9">
        <w:t>Leapmotor</w:t>
      </w:r>
      <w:r w:rsidR="005052A7" w:rsidRPr="00C153C9">
        <w:t xml:space="preserve"> currently has three main business categories, namely, car and parts sales, car regulatory credit sales and services, which account for 97.66%, 2.30% and 0.04% in 2021.</w:t>
      </w:r>
    </w:p>
    <w:p w14:paraId="6519235C" w14:textId="20360F3E" w:rsidR="00045333" w:rsidRPr="00045333" w:rsidRDefault="00045333" w:rsidP="00045333">
      <w:pPr>
        <w:spacing w:line="360" w:lineRule="auto"/>
        <w:rPr>
          <w:rFonts w:eastAsia="宋体"/>
          <w:bCs/>
          <w:color w:val="003300"/>
        </w:rPr>
      </w:pPr>
      <w:r w:rsidRPr="00045333">
        <w:rPr>
          <w:rFonts w:eastAsia="宋体" w:hint="eastAsia"/>
          <w:bCs/>
          <w:color w:val="003300"/>
        </w:rPr>
        <w:t>3</w:t>
      </w:r>
      <w:r w:rsidRPr="00045333">
        <w:rPr>
          <w:rFonts w:eastAsia="宋体"/>
          <w:bCs/>
          <w:color w:val="003300"/>
        </w:rPr>
        <w:t>.1.1 Revenue from sales of automobiles and parts</w:t>
      </w:r>
    </w:p>
    <w:p w14:paraId="395B26B9" w14:textId="4FB24D6C" w:rsidR="005052A7" w:rsidRPr="00C153C9" w:rsidRDefault="005052A7" w:rsidP="00C153C9">
      <w:pPr>
        <w:spacing w:line="360" w:lineRule="auto"/>
        <w:jc w:val="both"/>
      </w:pPr>
      <w:r w:rsidRPr="00C153C9">
        <w:t xml:space="preserve">Revenue from sales of automobiles and parts is mainly from two models: micro electric car T03, medium-sized smart electric SUV model C11, the pure electric coupe S01 launched in 2019 has only 72 deliveries in the first three quarters of 2022, and </w:t>
      </w:r>
      <w:r w:rsidR="001730A2" w:rsidRPr="00C153C9">
        <w:t>Leapmotor</w:t>
      </w:r>
      <w:r w:rsidRPr="00C153C9">
        <w:t xml:space="preserve"> is expected to abandon the S01 model in the future, while the smart pure electric large </w:t>
      </w:r>
      <w:r w:rsidR="006461C5" w:rsidRPr="00C153C9">
        <w:t>vehicle</w:t>
      </w:r>
      <w:r w:rsidRPr="00C153C9">
        <w:t xml:space="preserve"> C01 only started on September 28, 2022 deliveries, still waiting for sales to creep up. From the current product array of </w:t>
      </w:r>
      <w:r w:rsidR="001730A2" w:rsidRPr="00C153C9">
        <w:t>Leapmotor</w:t>
      </w:r>
      <w:r w:rsidRPr="00C153C9">
        <w:t xml:space="preserve">, the product array is relatively complete, and both mid- and high-end models and low-end models have strong competitiveness. Among the mid-range and high-end models, there are SUV model C11 with </w:t>
      </w:r>
      <w:r w:rsidR="00A83FEA" w:rsidRPr="00C153C9">
        <w:t xml:space="preserve">a </w:t>
      </w:r>
      <w:r w:rsidRPr="00C153C9">
        <w:t xml:space="preserve">mature reputation and </w:t>
      </w:r>
      <w:r w:rsidR="00A83FEA" w:rsidRPr="00C153C9">
        <w:t xml:space="preserve">is </w:t>
      </w:r>
      <w:r w:rsidRPr="00C153C9">
        <w:t xml:space="preserve">still on the rise, as well as the promising </w:t>
      </w:r>
      <w:r w:rsidR="006461C5" w:rsidRPr="00C153C9">
        <w:t>vehicle</w:t>
      </w:r>
      <w:r w:rsidRPr="00C153C9">
        <w:t xml:space="preserve"> product C01. Among the mid-range and low-end models, there is the T03 model with strong market competitiveness and growing market share.</w:t>
      </w:r>
    </w:p>
    <w:p w14:paraId="1B130140" w14:textId="503F6B39" w:rsidR="00D553AE" w:rsidRPr="00D553AE" w:rsidRDefault="00D553AE" w:rsidP="00D553AE">
      <w:pPr>
        <w:spacing w:line="360" w:lineRule="auto"/>
        <w:rPr>
          <w:rFonts w:eastAsia="宋体"/>
          <w:bCs/>
          <w:color w:val="003300"/>
        </w:rPr>
      </w:pPr>
      <w:r w:rsidRPr="00045333">
        <w:rPr>
          <w:rFonts w:eastAsia="宋体" w:hint="eastAsia"/>
          <w:bCs/>
          <w:color w:val="003300"/>
        </w:rPr>
        <w:t>3</w:t>
      </w:r>
      <w:r w:rsidRPr="00045333">
        <w:rPr>
          <w:rFonts w:eastAsia="宋体"/>
          <w:bCs/>
          <w:color w:val="003300"/>
        </w:rPr>
        <w:t>.1.</w:t>
      </w:r>
      <w:r>
        <w:rPr>
          <w:rFonts w:eastAsia="宋体"/>
          <w:bCs/>
          <w:color w:val="003300"/>
        </w:rPr>
        <w:t>2</w:t>
      </w:r>
      <w:r w:rsidRPr="00045333">
        <w:rPr>
          <w:rFonts w:eastAsia="宋体"/>
          <w:bCs/>
          <w:color w:val="003300"/>
        </w:rPr>
        <w:t xml:space="preserve"> Revenue from </w:t>
      </w:r>
      <w:r w:rsidRPr="00D553AE">
        <w:rPr>
          <w:rFonts w:eastAsia="宋体"/>
          <w:bCs/>
          <w:color w:val="003300"/>
        </w:rPr>
        <w:t>auto regulatory points sales</w:t>
      </w:r>
    </w:p>
    <w:p w14:paraId="48B7442C" w14:textId="615B5CF5" w:rsidR="00D553AE" w:rsidRPr="00C153C9" w:rsidRDefault="005052A7" w:rsidP="00C153C9">
      <w:pPr>
        <w:spacing w:line="360" w:lineRule="auto"/>
        <w:jc w:val="both"/>
      </w:pPr>
      <w:r w:rsidRPr="00C153C9">
        <w:lastRenderedPageBreak/>
        <w:t xml:space="preserve">The revenue of auto regulatory points sales is mainly from the trade of positive points balance of auto production. The positive points production is related to both auto sales and the actual value of average fuel consumption, and the climb of </w:t>
      </w:r>
      <w:proofErr w:type="spellStart"/>
      <w:r w:rsidR="001730A2" w:rsidRPr="00C153C9">
        <w:t>Leapmotor</w:t>
      </w:r>
      <w:r w:rsidRPr="00C153C9">
        <w:t>'s</w:t>
      </w:r>
      <w:proofErr w:type="spellEnd"/>
      <w:r w:rsidRPr="00C153C9">
        <w:t xml:space="preserve"> future sales will pull </w:t>
      </w:r>
      <w:proofErr w:type="spellStart"/>
      <w:r w:rsidR="001730A2" w:rsidRPr="00C153C9">
        <w:t>Leapmotor</w:t>
      </w:r>
      <w:r w:rsidRPr="00C153C9">
        <w:t>'s</w:t>
      </w:r>
      <w:proofErr w:type="spellEnd"/>
      <w:r w:rsidRPr="00C153C9">
        <w:t xml:space="preserve"> positive points. Although the average unit price of double points has continued to rise since 2018, reaching 2,500-3,000 </w:t>
      </w:r>
      <w:r w:rsidR="003B4816" w:rsidRPr="00C153C9">
        <w:rPr>
          <w:rFonts w:hint="eastAsia"/>
        </w:rPr>
        <w:t>yuan</w:t>
      </w:r>
      <w:r w:rsidR="003B4816" w:rsidRPr="00C153C9">
        <w:t xml:space="preserve"> </w:t>
      </w:r>
      <w:r w:rsidRPr="00C153C9">
        <w:t>per point in 2021, with the super-speed development of new energy vehicles, the situation that the supply of positive points exceeds the demand will soon pass</w:t>
      </w:r>
      <w:r w:rsidR="00A83FEA" w:rsidRPr="00C153C9">
        <w:t>,</w:t>
      </w:r>
      <w:r w:rsidRPr="00C153C9">
        <w:t xml:space="preserve"> and the price of positive points will keep decreasing. According to the comments of the Ministry of Industry and Information Technology in the Decision on Revising the Parallel Management Measures of Average Fuel Consumption of Passenger Vehicle Enterprises and New Energy Vehicle Points (Draft for Comments) (hereinafter referred to as "Draft for Comments"), which mentions the new points trading adjustment mechanism, the points price should remain stable after hitting the bottom.</w:t>
      </w:r>
    </w:p>
    <w:p w14:paraId="6CFD6033" w14:textId="3FD34B14" w:rsidR="00D553AE" w:rsidRPr="00C153C9" w:rsidRDefault="00D553AE" w:rsidP="00C153C9">
      <w:pPr>
        <w:pStyle w:val="Heading3"/>
        <w:spacing w:line="360" w:lineRule="auto"/>
        <w:jc w:val="both"/>
        <w:rPr>
          <w:rFonts w:ascii="Times New Roman" w:hAnsi="Times New Roman" w:cs="Times New Roman"/>
        </w:rPr>
      </w:pPr>
      <w:bookmarkStart w:id="20" w:name="_Toc128218243"/>
      <w:r w:rsidRPr="00C153C9">
        <w:rPr>
          <w:rFonts w:ascii="Times New Roman" w:hAnsi="Times New Roman" w:cs="Times New Roman" w:hint="eastAsia"/>
        </w:rPr>
        <w:t>3</w:t>
      </w:r>
      <w:r w:rsidRPr="00C153C9">
        <w:rPr>
          <w:rFonts w:ascii="Times New Roman" w:hAnsi="Times New Roman" w:cs="Times New Roman"/>
        </w:rPr>
        <w:t>.1.3 Revenue from Service revenue</w:t>
      </w:r>
      <w:bookmarkEnd w:id="20"/>
    </w:p>
    <w:p w14:paraId="6DBD7035" w14:textId="073D9A76" w:rsidR="00170CD2" w:rsidRPr="00C153C9" w:rsidRDefault="005052A7" w:rsidP="00C153C9">
      <w:pPr>
        <w:spacing w:line="360" w:lineRule="auto"/>
        <w:jc w:val="both"/>
      </w:pPr>
      <w:r w:rsidRPr="00C153C9">
        <w:t xml:space="preserve">Service revenue mainly comes from value-added services for mid-to-high-end models, </w:t>
      </w:r>
      <w:r w:rsidR="00A83FEA" w:rsidRPr="00C153C9">
        <w:t>warranties</w:t>
      </w:r>
      <w:r w:rsidRPr="00C153C9">
        <w:t xml:space="preserve">, car networking, roadside assistance, etc. With the launch of the C11, value-added service revenue is only beginning to form a significant part of earnings. If </w:t>
      </w:r>
      <w:r w:rsidR="001730A2" w:rsidRPr="00C153C9">
        <w:t>Leapmotor</w:t>
      </w:r>
      <w:r w:rsidRPr="00C153C9">
        <w:t xml:space="preserve"> focuses on transitioning to the mid-to-high end in the future, service revenue will continue to make up a higher percentage of </w:t>
      </w:r>
      <w:proofErr w:type="spellStart"/>
      <w:r w:rsidR="001730A2" w:rsidRPr="00C153C9">
        <w:t>Leapmotor</w:t>
      </w:r>
      <w:r w:rsidRPr="00C153C9">
        <w:t>'s</w:t>
      </w:r>
      <w:proofErr w:type="spellEnd"/>
      <w:r w:rsidRPr="00C153C9">
        <w:t xml:space="preserve"> revenue.</w:t>
      </w:r>
    </w:p>
    <w:p w14:paraId="44D4781D" w14:textId="3C8E4064" w:rsidR="00170CD2" w:rsidRPr="00170CD2" w:rsidRDefault="00170CD2" w:rsidP="003B015E">
      <w:pPr>
        <w:pStyle w:val="Heading2"/>
        <w:spacing w:line="360" w:lineRule="auto"/>
        <w:rPr>
          <w:rFonts w:ascii="Times New Roman" w:hAnsi="Times New Roman" w:cs="Times New Roman"/>
          <w:b w:val="0"/>
          <w:szCs w:val="24"/>
        </w:rPr>
      </w:pPr>
      <w:bookmarkStart w:id="21" w:name="_Toc128218244"/>
      <w:r>
        <w:rPr>
          <w:rFonts w:ascii="Times New Roman" w:hAnsi="Times New Roman" w:cs="Times New Roman"/>
          <w:b w:val="0"/>
          <w:szCs w:val="24"/>
        </w:rPr>
        <w:t xml:space="preserve">3.2 </w:t>
      </w:r>
      <w:r w:rsidRPr="00170CD2">
        <w:rPr>
          <w:rFonts w:ascii="Times New Roman" w:hAnsi="Times New Roman" w:cs="Times New Roman"/>
          <w:b w:val="0"/>
          <w:szCs w:val="24"/>
        </w:rPr>
        <w:t>Key assumptions</w:t>
      </w:r>
      <w:bookmarkEnd w:id="21"/>
    </w:p>
    <w:p w14:paraId="4CE2FE92" w14:textId="59ACED56" w:rsidR="005052A7" w:rsidRPr="00C153C9" w:rsidRDefault="005052A7" w:rsidP="00C153C9">
      <w:pPr>
        <w:pStyle w:val="Heading3"/>
        <w:spacing w:line="360" w:lineRule="auto"/>
        <w:jc w:val="both"/>
        <w:rPr>
          <w:rFonts w:ascii="Times New Roman" w:hAnsi="Times New Roman" w:cs="Times New Roman"/>
        </w:rPr>
      </w:pPr>
      <w:bookmarkStart w:id="22" w:name="_Toc128218245"/>
      <w:r w:rsidRPr="00C153C9">
        <w:rPr>
          <w:rFonts w:ascii="Times New Roman" w:hAnsi="Times New Roman" w:cs="Times New Roman"/>
        </w:rPr>
        <w:t>3.2.1 Sales Growth of new energy vehicle in China</w:t>
      </w:r>
      <w:bookmarkEnd w:id="22"/>
    </w:p>
    <w:p w14:paraId="1504DF74" w14:textId="090A16C6" w:rsidR="005052A7" w:rsidRPr="00C153C9" w:rsidRDefault="005052A7" w:rsidP="00C153C9">
      <w:pPr>
        <w:spacing w:line="360" w:lineRule="auto"/>
        <w:jc w:val="both"/>
      </w:pPr>
      <w:r w:rsidRPr="00C153C9">
        <w:t>In 2021 and 2022, China's new energy vehicle market spurts forward with growth rates of 159.7% and 83%, respectively. However, with the withdrawal of new energy vehicle subsidies and the increased coverage of the main audience for new energy vehicles, it is expected that the growth rate of new energy vehicle sales in the next few years will be difficult to maintain at the current high level. According to IDC's latest report, "2022-2026 China New Energy Vehicle Market Trends Forecast", the growth rate of new energy vehicles is forecasted to be 22.9% and 20.9% in 2023 and 2024, respectively.</w:t>
      </w:r>
    </w:p>
    <w:p w14:paraId="76FD341D" w14:textId="77777777" w:rsidR="005052A7" w:rsidRPr="00C153C9" w:rsidRDefault="005052A7" w:rsidP="00C153C9">
      <w:pPr>
        <w:pStyle w:val="Heading3"/>
        <w:spacing w:line="360" w:lineRule="auto"/>
        <w:jc w:val="both"/>
        <w:rPr>
          <w:rFonts w:ascii="Times New Roman" w:hAnsi="Times New Roman" w:cs="Times New Roman"/>
        </w:rPr>
      </w:pPr>
      <w:bookmarkStart w:id="23" w:name="_Toc128218246"/>
      <w:r w:rsidRPr="00C153C9">
        <w:rPr>
          <w:rFonts w:ascii="Times New Roman" w:hAnsi="Times New Roman" w:cs="Times New Roman"/>
        </w:rPr>
        <w:t>3.2.2 Vehicle and parts sales revenue</w:t>
      </w:r>
      <w:bookmarkEnd w:id="23"/>
    </w:p>
    <w:p w14:paraId="6AC5279B" w14:textId="73B56488" w:rsidR="005052A7" w:rsidRPr="00C153C9" w:rsidRDefault="005052A7" w:rsidP="00C153C9">
      <w:pPr>
        <w:spacing w:line="360" w:lineRule="auto"/>
        <w:jc w:val="both"/>
      </w:pPr>
      <w:r w:rsidRPr="00C153C9">
        <w:t xml:space="preserve">For a more accurate forecast, we have divided </w:t>
      </w:r>
      <w:proofErr w:type="spellStart"/>
      <w:r w:rsidR="001730A2" w:rsidRPr="00C153C9">
        <w:t>Leapmotor</w:t>
      </w:r>
      <w:r w:rsidRPr="00C153C9">
        <w:t>'s</w:t>
      </w:r>
      <w:proofErr w:type="spellEnd"/>
      <w:r w:rsidRPr="00C153C9">
        <w:t xml:space="preserve"> new energy vehicles into two categories, A-type vehicles (80,000-150,000</w:t>
      </w:r>
      <w:r w:rsidR="006C497E" w:rsidRPr="00C153C9">
        <w:t xml:space="preserve"> yuan</w:t>
      </w:r>
      <w:r w:rsidRPr="00C153C9">
        <w:t>, representing model T03) and B-type vehicles (150,000-300,000</w:t>
      </w:r>
      <w:r w:rsidR="006C497E" w:rsidRPr="00C153C9">
        <w:t xml:space="preserve"> yuan</w:t>
      </w:r>
      <w:r w:rsidRPr="00C153C9">
        <w:t xml:space="preserve">, representing model C11). According to the </w:t>
      </w:r>
      <w:r w:rsidR="001730A2" w:rsidRPr="00C153C9">
        <w:t>Leapmotor</w:t>
      </w:r>
      <w:r w:rsidRPr="00C153C9">
        <w:t xml:space="preserve"> car </w:t>
      </w:r>
      <w:r w:rsidRPr="00C153C9">
        <w:lastRenderedPageBreak/>
        <w:t>prospectus, the China New Energy Vehicle Industry Association and the China Passenger Vehicle Market Information Joint Committee have made a forecast of China's new energy vehicle sales by price range and its corresponding share. By looking at the overall sales volume of new energy vehicles in China and the share of different price ranges, we can get the forecast of new energy vehicle sales in different price ranges in the coming years.</w:t>
      </w:r>
    </w:p>
    <w:p w14:paraId="288D54E1" w14:textId="17B7B1B0" w:rsidR="005052A7" w:rsidRPr="00C153C9" w:rsidRDefault="005052A7" w:rsidP="00C153C9">
      <w:pPr>
        <w:spacing w:line="360" w:lineRule="auto"/>
        <w:jc w:val="both"/>
      </w:pPr>
      <w:r w:rsidRPr="00C153C9">
        <w:t xml:space="preserve">In order to obtain the sales volume of different classes of </w:t>
      </w:r>
      <w:r w:rsidR="001730A2" w:rsidRPr="00C153C9">
        <w:t>Leapmotor</w:t>
      </w:r>
      <w:r w:rsidRPr="00C153C9">
        <w:t xml:space="preserve"> vehicles, we have made separate assumptions for the market share of </w:t>
      </w:r>
      <w:proofErr w:type="spellStart"/>
      <w:r w:rsidR="001730A2" w:rsidRPr="00C153C9">
        <w:t>Leapmotor</w:t>
      </w:r>
      <w:r w:rsidRPr="00C153C9">
        <w:t>'s</w:t>
      </w:r>
      <w:proofErr w:type="spellEnd"/>
      <w:r w:rsidRPr="00C153C9">
        <w:t xml:space="preserve"> A-class and B-class vehicles, which is necessary considering the technical requirements and audiences of different classes of vehicles.</w:t>
      </w:r>
    </w:p>
    <w:p w14:paraId="68F5F710" w14:textId="7D240931" w:rsidR="00D553AE" w:rsidRPr="00C153C9" w:rsidRDefault="005052A7" w:rsidP="00C153C9">
      <w:pPr>
        <w:spacing w:line="360" w:lineRule="auto"/>
        <w:jc w:val="both"/>
      </w:pPr>
      <w:r w:rsidRPr="00C153C9">
        <w:t xml:space="preserve">After getting the sales volume of different classes of </w:t>
      </w:r>
      <w:r w:rsidR="001730A2" w:rsidRPr="00C153C9">
        <w:t>Leapmotor</w:t>
      </w:r>
      <w:r w:rsidRPr="00C153C9">
        <w:t xml:space="preserve"> vehicles, multiplying the sales price of the corresponding class of vehicles, we can get the sales revenue of </w:t>
      </w:r>
      <w:r w:rsidR="001730A2" w:rsidRPr="00C153C9">
        <w:t>Leapmotor</w:t>
      </w:r>
      <w:r w:rsidRPr="00C153C9">
        <w:t xml:space="preserve"> vehicles and parts.</w:t>
      </w:r>
    </w:p>
    <w:p w14:paraId="372C9A7C" w14:textId="6DA20EF0" w:rsidR="00D553AE" w:rsidRPr="00D553AE" w:rsidRDefault="00D553AE" w:rsidP="00D553AE">
      <w:pPr>
        <w:pStyle w:val="Caption"/>
        <w:keepNext/>
        <w:spacing w:line="360" w:lineRule="auto"/>
        <w:rPr>
          <w:rFonts w:ascii="Times New Roman" w:hAnsi="Times New Roman" w:cs="Times New Roman"/>
          <w:i/>
          <w:iCs/>
          <w:sz w:val="21"/>
          <w:szCs w:val="21"/>
        </w:rPr>
      </w:pPr>
      <w:r w:rsidRPr="00E16079">
        <w:rPr>
          <w:rFonts w:ascii="Times New Roman" w:hAnsi="Times New Roman" w:cs="Times New Roman"/>
          <w:i/>
          <w:iCs/>
          <w:sz w:val="21"/>
          <w:szCs w:val="21"/>
        </w:rPr>
        <w:t>F</w:t>
      </w:r>
      <w:r w:rsidRPr="00AD3E1C">
        <w:rPr>
          <w:rFonts w:ascii="Times New Roman" w:hAnsi="Times New Roman" w:cs="Times New Roman"/>
          <w:i/>
          <w:iCs/>
          <w:sz w:val="21"/>
          <w:szCs w:val="21"/>
        </w:rPr>
        <w:t xml:space="preserve">igure </w:t>
      </w:r>
      <w:r w:rsidR="00A22A1F">
        <w:rPr>
          <w:rFonts w:ascii="Times New Roman" w:hAnsi="Times New Roman" w:cs="Times New Roman"/>
          <w:i/>
          <w:iCs/>
          <w:sz w:val="21"/>
          <w:szCs w:val="21"/>
        </w:rPr>
        <w:t>7</w:t>
      </w:r>
      <w:r w:rsidRPr="00AD3E1C">
        <w:rPr>
          <w:rFonts w:ascii="Times New Roman" w:hAnsi="Times New Roman" w:cs="Times New Roman"/>
          <w:i/>
          <w:iCs/>
          <w:sz w:val="21"/>
          <w:szCs w:val="21"/>
        </w:rPr>
        <w:t xml:space="preserve">: </w:t>
      </w:r>
      <w:r>
        <w:rPr>
          <w:rFonts w:ascii="Times New Roman" w:hAnsi="Times New Roman" w:cs="Times New Roman"/>
          <w:i/>
          <w:iCs/>
          <w:sz w:val="21"/>
          <w:szCs w:val="21"/>
        </w:rPr>
        <w:t>T</w:t>
      </w:r>
      <w:r>
        <w:rPr>
          <w:rFonts w:ascii="Times New Roman" w:hAnsi="Times New Roman" w:cs="Times New Roman" w:hint="eastAsia"/>
          <w:i/>
          <w:iCs/>
          <w:sz w:val="21"/>
          <w:szCs w:val="21"/>
        </w:rPr>
        <w:t>he</w:t>
      </w:r>
      <w:r>
        <w:rPr>
          <w:rFonts w:ascii="Times New Roman" w:hAnsi="Times New Roman" w:cs="Times New Roman"/>
          <w:i/>
          <w:iCs/>
          <w:sz w:val="21"/>
          <w:szCs w:val="21"/>
        </w:rPr>
        <w:t xml:space="preserve"> calculation of </w:t>
      </w:r>
      <w:r w:rsidR="001730A2">
        <w:rPr>
          <w:rFonts w:ascii="Times New Roman" w:hAnsi="Times New Roman" w:cs="Times New Roman"/>
          <w:i/>
          <w:iCs/>
          <w:sz w:val="21"/>
          <w:szCs w:val="21"/>
        </w:rPr>
        <w:t>Leapmotor</w:t>
      </w:r>
      <w:r>
        <w:rPr>
          <w:rFonts w:ascii="Times New Roman" w:hAnsi="Times New Roman" w:cs="Times New Roman"/>
          <w:i/>
          <w:iCs/>
          <w:sz w:val="21"/>
          <w:szCs w:val="21"/>
        </w:rPr>
        <w:t xml:space="preserve"> vehicle and parts sales revenue</w:t>
      </w:r>
    </w:p>
    <w:tbl>
      <w:tblPr>
        <w:tblStyle w:val="IBSG1"/>
        <w:tblW w:w="0" w:type="auto"/>
        <w:tblLook w:val="04A0" w:firstRow="1" w:lastRow="0" w:firstColumn="1" w:lastColumn="0" w:noHBand="0" w:noVBand="1"/>
      </w:tblPr>
      <w:tblGrid>
        <w:gridCol w:w="8996"/>
      </w:tblGrid>
      <w:tr w:rsidR="00D553AE" w14:paraId="7455B084" w14:textId="77777777" w:rsidTr="006F4055">
        <w:trPr>
          <w:cnfStyle w:val="100000000000" w:firstRow="1" w:lastRow="0" w:firstColumn="0" w:lastColumn="0" w:oddVBand="0" w:evenVBand="0" w:oddHBand="0" w:evenHBand="0" w:firstRowFirstColumn="0" w:firstRowLastColumn="0" w:lastRowFirstColumn="0" w:lastRowLastColumn="0"/>
        </w:trPr>
        <w:tc>
          <w:tcPr>
            <w:tcW w:w="8996" w:type="dxa"/>
          </w:tcPr>
          <w:p w14:paraId="1E245ECD" w14:textId="2B949C20" w:rsidR="00D553AE" w:rsidRDefault="001730A2" w:rsidP="003B015E">
            <w:pPr>
              <w:spacing w:line="360" w:lineRule="auto"/>
              <w:rPr>
                <w:bCs/>
              </w:rPr>
            </w:pPr>
            <w:r>
              <w:rPr>
                <w:bCs/>
              </w:rPr>
              <w:t>Leapmotor</w:t>
            </w:r>
            <w:r w:rsidR="00D553AE" w:rsidRPr="006E2C13">
              <w:rPr>
                <w:bCs/>
              </w:rPr>
              <w:t xml:space="preserve"> vehicle and parts sales revenue</w:t>
            </w:r>
          </w:p>
        </w:tc>
      </w:tr>
      <w:tr w:rsidR="00D553AE" w14:paraId="3D4A4F35" w14:textId="77777777" w:rsidTr="006F4055">
        <w:trPr>
          <w:cnfStyle w:val="000000100000" w:firstRow="0" w:lastRow="0" w:firstColumn="0" w:lastColumn="0" w:oddVBand="0" w:evenVBand="0" w:oddHBand="1" w:evenHBand="0" w:firstRowFirstColumn="0" w:firstRowLastColumn="0" w:lastRowFirstColumn="0" w:lastRowLastColumn="0"/>
        </w:trPr>
        <w:tc>
          <w:tcPr>
            <w:tcW w:w="8996" w:type="dxa"/>
          </w:tcPr>
          <w:p w14:paraId="1661B430" w14:textId="59F4FE40" w:rsidR="00D553AE" w:rsidRPr="00D553AE" w:rsidRDefault="00D553AE" w:rsidP="003B015E">
            <w:pPr>
              <w:spacing w:line="360" w:lineRule="auto"/>
              <w:rPr>
                <w:rFonts w:eastAsiaTheme="minorEastAsia"/>
                <w:bCs/>
              </w:rPr>
            </w:pPr>
            <w:r>
              <w:rPr>
                <w:rFonts w:eastAsiaTheme="minorEastAsia" w:hint="eastAsia"/>
                <w:bCs/>
              </w:rPr>
              <w:t>=</w:t>
            </w:r>
            <w:r w:rsidRPr="006E2C13">
              <w:rPr>
                <w:bCs/>
              </w:rPr>
              <w:t xml:space="preserve"> China's new energy vehicle sales</w:t>
            </w:r>
          </w:p>
        </w:tc>
      </w:tr>
      <w:tr w:rsidR="00D553AE" w14:paraId="74AD4D6A" w14:textId="77777777" w:rsidTr="006F4055">
        <w:trPr>
          <w:cnfStyle w:val="000000010000" w:firstRow="0" w:lastRow="0" w:firstColumn="0" w:lastColumn="0" w:oddVBand="0" w:evenVBand="0" w:oddHBand="0" w:evenHBand="1" w:firstRowFirstColumn="0" w:firstRowLastColumn="0" w:lastRowFirstColumn="0" w:lastRowLastColumn="0"/>
        </w:trPr>
        <w:tc>
          <w:tcPr>
            <w:tcW w:w="8996" w:type="dxa"/>
          </w:tcPr>
          <w:p w14:paraId="66CD7FD0" w14:textId="25587B46" w:rsidR="00D553AE" w:rsidRPr="00D553AE" w:rsidRDefault="00D553AE" w:rsidP="003B015E">
            <w:pPr>
              <w:spacing w:line="360" w:lineRule="auto"/>
              <w:rPr>
                <w:rFonts w:eastAsiaTheme="minorEastAsia"/>
                <w:bCs/>
              </w:rPr>
            </w:pPr>
            <w:r>
              <w:rPr>
                <w:rFonts w:eastAsiaTheme="minorEastAsia" w:hint="eastAsia"/>
                <w:bCs/>
              </w:rPr>
              <w:t>×</w:t>
            </w:r>
            <w:r>
              <w:rPr>
                <w:bCs/>
              </w:rPr>
              <w:t>T</w:t>
            </w:r>
            <w:r w:rsidRPr="006E2C13">
              <w:rPr>
                <w:bCs/>
              </w:rPr>
              <w:t>he proportion of vehicle sales in different price ranges</w:t>
            </w:r>
          </w:p>
        </w:tc>
      </w:tr>
      <w:tr w:rsidR="00D553AE" w14:paraId="3C56A6BC" w14:textId="77777777" w:rsidTr="006F4055">
        <w:trPr>
          <w:cnfStyle w:val="000000100000" w:firstRow="0" w:lastRow="0" w:firstColumn="0" w:lastColumn="0" w:oddVBand="0" w:evenVBand="0" w:oddHBand="1" w:evenHBand="0" w:firstRowFirstColumn="0" w:firstRowLastColumn="0" w:lastRowFirstColumn="0" w:lastRowLastColumn="0"/>
        </w:trPr>
        <w:tc>
          <w:tcPr>
            <w:tcW w:w="8996" w:type="dxa"/>
          </w:tcPr>
          <w:p w14:paraId="377FC934" w14:textId="7F36318B" w:rsidR="00D553AE" w:rsidRPr="00D553AE" w:rsidRDefault="00D553AE" w:rsidP="003B015E">
            <w:pPr>
              <w:spacing w:line="360" w:lineRule="auto"/>
              <w:rPr>
                <w:bCs/>
              </w:rPr>
            </w:pPr>
            <w:r>
              <w:rPr>
                <w:rFonts w:eastAsiaTheme="minorEastAsia" w:hint="eastAsia"/>
                <w:bCs/>
              </w:rPr>
              <w:t>×</w:t>
            </w:r>
            <w:r>
              <w:rPr>
                <w:bCs/>
              </w:rPr>
              <w:t>T</w:t>
            </w:r>
            <w:r w:rsidRPr="006E2C13">
              <w:rPr>
                <w:bCs/>
              </w:rPr>
              <w:t xml:space="preserve">he market share of </w:t>
            </w:r>
            <w:r w:rsidR="001730A2">
              <w:rPr>
                <w:bCs/>
              </w:rPr>
              <w:t>Leapmotor</w:t>
            </w:r>
            <w:r w:rsidRPr="006E2C13">
              <w:rPr>
                <w:bCs/>
              </w:rPr>
              <w:t xml:space="preserve"> vehicles in the corresponding range</w:t>
            </w:r>
          </w:p>
        </w:tc>
      </w:tr>
      <w:tr w:rsidR="00D553AE" w14:paraId="3FB35412" w14:textId="77777777" w:rsidTr="006F4055">
        <w:trPr>
          <w:cnfStyle w:val="000000010000" w:firstRow="0" w:lastRow="0" w:firstColumn="0" w:lastColumn="0" w:oddVBand="0" w:evenVBand="0" w:oddHBand="0" w:evenHBand="1" w:firstRowFirstColumn="0" w:firstRowLastColumn="0" w:lastRowFirstColumn="0" w:lastRowLastColumn="0"/>
        </w:trPr>
        <w:tc>
          <w:tcPr>
            <w:tcW w:w="8996" w:type="dxa"/>
          </w:tcPr>
          <w:p w14:paraId="634741C7" w14:textId="5D178AFE" w:rsidR="00D553AE" w:rsidRDefault="00D553AE" w:rsidP="003B015E">
            <w:pPr>
              <w:spacing w:line="360" w:lineRule="auto"/>
              <w:rPr>
                <w:bCs/>
              </w:rPr>
            </w:pPr>
            <w:r>
              <w:rPr>
                <w:rFonts w:eastAsiaTheme="minorEastAsia" w:hint="eastAsia"/>
                <w:bCs/>
              </w:rPr>
              <w:t>×</w:t>
            </w:r>
            <w:r>
              <w:rPr>
                <w:bCs/>
              </w:rPr>
              <w:t>T</w:t>
            </w:r>
            <w:r w:rsidRPr="006E2C13">
              <w:rPr>
                <w:bCs/>
              </w:rPr>
              <w:t xml:space="preserve">he selling price of </w:t>
            </w:r>
            <w:r w:rsidR="001730A2">
              <w:rPr>
                <w:bCs/>
              </w:rPr>
              <w:t>Leapmotor</w:t>
            </w:r>
            <w:r w:rsidRPr="006E2C13">
              <w:rPr>
                <w:bCs/>
              </w:rPr>
              <w:t xml:space="preserve"> vehicles in the corresponding range</w:t>
            </w:r>
          </w:p>
        </w:tc>
      </w:tr>
    </w:tbl>
    <w:p w14:paraId="28D9CE1F" w14:textId="54F2D950" w:rsidR="006F4055" w:rsidRPr="006F4055" w:rsidRDefault="006F4055" w:rsidP="006F4055">
      <w:pPr>
        <w:pStyle w:val="Caption"/>
        <w:spacing w:line="360" w:lineRule="auto"/>
        <w:rPr>
          <w:rFonts w:ascii="Times New Roman" w:hAnsi="Times New Roman" w:cs="Times New Roman"/>
          <w:i/>
          <w:iCs/>
          <w:sz w:val="21"/>
          <w:szCs w:val="21"/>
        </w:rPr>
      </w:pPr>
      <w:r w:rsidRPr="00AD3E1C">
        <w:rPr>
          <w:rFonts w:ascii="Times New Roman" w:hAnsi="Times New Roman" w:cs="Times New Roman"/>
          <w:i/>
          <w:iCs/>
          <w:sz w:val="21"/>
          <w:szCs w:val="21"/>
        </w:rPr>
        <w:t>Source: Filings</w:t>
      </w:r>
    </w:p>
    <w:p w14:paraId="79506C08" w14:textId="1A862F85" w:rsidR="005052A7" w:rsidRPr="00C153C9" w:rsidRDefault="005052A7" w:rsidP="00C153C9">
      <w:pPr>
        <w:pStyle w:val="Heading3"/>
        <w:spacing w:line="360" w:lineRule="auto"/>
        <w:jc w:val="both"/>
        <w:rPr>
          <w:rFonts w:ascii="Times New Roman" w:hAnsi="Times New Roman" w:cs="Times New Roman"/>
        </w:rPr>
      </w:pPr>
      <w:bookmarkStart w:id="24" w:name="_Toc128218247"/>
      <w:r w:rsidRPr="00C153C9">
        <w:rPr>
          <w:rFonts w:ascii="Times New Roman" w:hAnsi="Times New Roman" w:cs="Times New Roman"/>
        </w:rPr>
        <w:t xml:space="preserve">3.2.3 Market share of </w:t>
      </w:r>
      <w:r w:rsidR="001730A2" w:rsidRPr="00C153C9">
        <w:rPr>
          <w:rFonts w:ascii="Times New Roman" w:hAnsi="Times New Roman" w:cs="Times New Roman"/>
        </w:rPr>
        <w:t>Leapmotor</w:t>
      </w:r>
      <w:r w:rsidRPr="00C153C9">
        <w:rPr>
          <w:rFonts w:ascii="Times New Roman" w:hAnsi="Times New Roman" w:cs="Times New Roman"/>
        </w:rPr>
        <w:t xml:space="preserve"> vehicles at different price points</w:t>
      </w:r>
      <w:bookmarkEnd w:id="24"/>
    </w:p>
    <w:p w14:paraId="651B6569" w14:textId="22352DD9" w:rsidR="005052A7" w:rsidRPr="00C153C9" w:rsidRDefault="004C4487" w:rsidP="00C153C9">
      <w:pPr>
        <w:spacing w:line="360" w:lineRule="auto"/>
        <w:jc w:val="both"/>
      </w:pPr>
      <w:r w:rsidRPr="00C153C9">
        <w:t>To</w:t>
      </w:r>
      <w:r w:rsidR="005052A7" w:rsidRPr="00C153C9">
        <w:t xml:space="preserve"> obtain the sales volume of different classes of </w:t>
      </w:r>
      <w:r w:rsidR="001730A2" w:rsidRPr="00C153C9">
        <w:t>Leapmotor</w:t>
      </w:r>
      <w:r w:rsidR="005052A7" w:rsidRPr="00C153C9">
        <w:t xml:space="preserve"> vehicles, we have made separate assumptions for the market share of </w:t>
      </w:r>
      <w:proofErr w:type="spellStart"/>
      <w:r w:rsidR="001730A2" w:rsidRPr="00C153C9">
        <w:t>Leapmotor</w:t>
      </w:r>
      <w:r w:rsidR="005052A7" w:rsidRPr="00C153C9">
        <w:t>'s</w:t>
      </w:r>
      <w:proofErr w:type="spellEnd"/>
      <w:r w:rsidR="005052A7" w:rsidRPr="00C153C9">
        <w:t xml:space="preserve"> A-class and B-class vehicles, which is necessary considering the technical requirements and audiences of different classes of vehicles.</w:t>
      </w:r>
    </w:p>
    <w:p w14:paraId="1D4D6FEF" w14:textId="77777777" w:rsidR="005052A7" w:rsidRPr="006E2C13" w:rsidRDefault="005052A7" w:rsidP="003B015E">
      <w:pPr>
        <w:spacing w:line="360" w:lineRule="auto"/>
        <w:ind w:firstLine="420"/>
        <w:rPr>
          <w:bCs/>
        </w:rPr>
      </w:pPr>
      <w:r w:rsidRPr="006E2C13">
        <w:rPr>
          <w:bCs/>
        </w:rPr>
        <w:t>(1) Under normal operating assumptions</w:t>
      </w:r>
    </w:p>
    <w:p w14:paraId="3ECBF592" w14:textId="13262F46" w:rsidR="005052A7" w:rsidRPr="00C153C9" w:rsidRDefault="005052A7" w:rsidP="00C153C9">
      <w:pPr>
        <w:spacing w:line="360" w:lineRule="auto"/>
        <w:jc w:val="both"/>
      </w:pPr>
      <w:r w:rsidRPr="00C153C9">
        <w:t xml:space="preserve">According to the disclosure in the prospectus, </w:t>
      </w:r>
      <w:r w:rsidR="001730A2" w:rsidRPr="00C153C9">
        <w:t>Leapmotor</w:t>
      </w:r>
      <w:r w:rsidRPr="00C153C9">
        <w:t xml:space="preserve"> plans to focus on the mid-to-high-end market in the future, so the market share in the </w:t>
      </w:r>
      <w:proofErr w:type="gramStart"/>
      <w:r w:rsidRPr="00C153C9">
        <w:t xml:space="preserve">80,000-150,000 </w:t>
      </w:r>
      <w:r w:rsidR="006C497E" w:rsidRPr="00C153C9">
        <w:t>yuan</w:t>
      </w:r>
      <w:proofErr w:type="gramEnd"/>
      <w:r w:rsidRPr="00C153C9">
        <w:t xml:space="preserve"> range will gradually decrease with the introduction of no new models and will be 4.4%/4.2%/4.0% in 2022/2023/2024, respectively. The market share of the mid-to high-end models in the</w:t>
      </w:r>
      <w:r w:rsidR="006C497E" w:rsidRPr="00C153C9">
        <w:t xml:space="preserve"> </w:t>
      </w:r>
      <w:proofErr w:type="gramStart"/>
      <w:r w:rsidRPr="00C153C9">
        <w:t xml:space="preserve">150,000-300,000 </w:t>
      </w:r>
      <w:r w:rsidR="006C497E" w:rsidRPr="00C153C9">
        <w:t>yuan</w:t>
      </w:r>
      <w:proofErr w:type="gramEnd"/>
      <w:r w:rsidR="006C497E" w:rsidRPr="00C153C9">
        <w:t xml:space="preserve"> </w:t>
      </w:r>
      <w:r w:rsidRPr="00C153C9">
        <w:t xml:space="preserve">range is expected to maintain a small and stable growth, at 1.7%/2.4%/3.0% in 2022/2023/2024, respectively, because of the fierce competition in the main battlefield of NXL (short for </w:t>
      </w:r>
      <w:proofErr w:type="spellStart"/>
      <w:r w:rsidRPr="00C153C9">
        <w:t>Nio</w:t>
      </w:r>
      <w:proofErr w:type="spellEnd"/>
      <w:r w:rsidRPr="00C153C9">
        <w:t xml:space="preserve">, XPeng and Li), and </w:t>
      </w:r>
      <w:proofErr w:type="spellStart"/>
      <w:r w:rsidR="001730A2" w:rsidRPr="00C153C9">
        <w:t>Leapmotor</w:t>
      </w:r>
      <w:r w:rsidRPr="00C153C9">
        <w:t>'s</w:t>
      </w:r>
      <w:proofErr w:type="spellEnd"/>
      <w:r w:rsidRPr="00C153C9">
        <w:t xml:space="preserve"> lack of experience in mid- to high-end models.</w:t>
      </w:r>
    </w:p>
    <w:p w14:paraId="3198C266" w14:textId="4BC70EC8" w:rsidR="005052A7" w:rsidRPr="006E2C13" w:rsidRDefault="005052A7" w:rsidP="003B015E">
      <w:pPr>
        <w:spacing w:line="360" w:lineRule="auto"/>
        <w:ind w:firstLine="420"/>
        <w:rPr>
          <w:bCs/>
        </w:rPr>
      </w:pPr>
      <w:r w:rsidRPr="006E2C13">
        <w:rPr>
          <w:bCs/>
        </w:rPr>
        <w:lastRenderedPageBreak/>
        <w:t>(2) Under the assumption of transition to mid-to</w:t>
      </w:r>
      <w:r w:rsidR="00522213">
        <w:rPr>
          <w:bCs/>
        </w:rPr>
        <w:t>-</w:t>
      </w:r>
      <w:r w:rsidRPr="006E2C13">
        <w:rPr>
          <w:bCs/>
        </w:rPr>
        <w:t>low-end</w:t>
      </w:r>
    </w:p>
    <w:p w14:paraId="4C668D29" w14:textId="3D6E08E7" w:rsidR="005052A7" w:rsidRPr="00C153C9" w:rsidRDefault="005052A7" w:rsidP="00C153C9">
      <w:pPr>
        <w:spacing w:line="360" w:lineRule="auto"/>
        <w:jc w:val="both"/>
      </w:pPr>
      <w:r w:rsidRPr="00C153C9">
        <w:t xml:space="preserve">Although </w:t>
      </w:r>
      <w:proofErr w:type="spellStart"/>
      <w:r w:rsidR="001730A2" w:rsidRPr="00C153C9">
        <w:t>Leapmotor</w:t>
      </w:r>
      <w:r w:rsidRPr="00C153C9">
        <w:t>'s</w:t>
      </w:r>
      <w:proofErr w:type="spellEnd"/>
      <w:r w:rsidRPr="00C153C9">
        <w:t xml:space="preserve"> vehicle sales in 2022 are promising, 58% of them will come from the T03, a miniature electric car launched in 2020, which is not in line with </w:t>
      </w:r>
      <w:proofErr w:type="spellStart"/>
      <w:r w:rsidR="001730A2" w:rsidRPr="00C153C9">
        <w:t>Leapmotor</w:t>
      </w:r>
      <w:r w:rsidRPr="00C153C9">
        <w:t>'s</w:t>
      </w:r>
      <w:proofErr w:type="spellEnd"/>
      <w:r w:rsidRPr="00C153C9">
        <w:t xml:space="preserve"> vision to focus on the mid-range and high-end. Under this assumption, </w:t>
      </w:r>
      <w:r w:rsidR="007555E5" w:rsidRPr="00C153C9">
        <w:t xml:space="preserve">due to the lack of competitiveness caused by low R&amp;D investment </w:t>
      </w:r>
      <w:r w:rsidR="001730A2" w:rsidRPr="00C153C9">
        <w:t>Leapmotor</w:t>
      </w:r>
      <w:r w:rsidRPr="00C153C9">
        <w:t xml:space="preserve"> abandons the mid-to-high-end market and </w:t>
      </w:r>
      <w:r w:rsidR="007555E5" w:rsidRPr="00C153C9">
        <w:t>focuses</w:t>
      </w:r>
      <w:r w:rsidRPr="00C153C9">
        <w:t xml:space="preserve"> on the A-segment cars in the </w:t>
      </w:r>
      <w:proofErr w:type="gramStart"/>
      <w:r w:rsidRPr="00C153C9">
        <w:t xml:space="preserve">80,000-150,000 </w:t>
      </w:r>
      <w:r w:rsidR="006461C5" w:rsidRPr="00C153C9">
        <w:t>yuan</w:t>
      </w:r>
      <w:proofErr w:type="gramEnd"/>
      <w:r w:rsidR="006461C5" w:rsidRPr="00C153C9">
        <w:t xml:space="preserve"> </w:t>
      </w:r>
      <w:r w:rsidRPr="00C153C9">
        <w:t>range.</w:t>
      </w:r>
    </w:p>
    <w:p w14:paraId="15422A06" w14:textId="61B69F6F" w:rsidR="005052A7" w:rsidRPr="00C153C9" w:rsidRDefault="005052A7" w:rsidP="00C153C9">
      <w:pPr>
        <w:spacing w:line="360" w:lineRule="auto"/>
        <w:jc w:val="both"/>
      </w:pPr>
      <w:r w:rsidRPr="00C153C9">
        <w:t xml:space="preserve">The market share in the </w:t>
      </w:r>
      <w:proofErr w:type="gramStart"/>
      <w:r w:rsidRPr="00C153C9">
        <w:t xml:space="preserve">150,000-300,000 </w:t>
      </w:r>
      <w:r w:rsidR="006C497E" w:rsidRPr="00C153C9">
        <w:t>yuan</w:t>
      </w:r>
      <w:proofErr w:type="gramEnd"/>
      <w:r w:rsidRPr="00C153C9">
        <w:t xml:space="preserve"> range decreases due to </w:t>
      </w:r>
      <w:r w:rsidR="007555E5" w:rsidRPr="00C153C9">
        <w:t>attention</w:t>
      </w:r>
      <w:r w:rsidRPr="00C153C9">
        <w:t xml:space="preserve"> shift and is 1.7%/1.2%/0.8% in 2022/2023/2024, respectively. As for the </w:t>
      </w:r>
      <w:proofErr w:type="gramStart"/>
      <w:r w:rsidRPr="00C153C9">
        <w:t>80,000-150,000 yuan</w:t>
      </w:r>
      <w:proofErr w:type="gramEnd"/>
      <w:r w:rsidRPr="00C153C9">
        <w:t xml:space="preserve"> range, which is the main launching point, </w:t>
      </w:r>
      <w:r w:rsidR="001730A2" w:rsidRPr="00C153C9">
        <w:t>Leapmotor</w:t>
      </w:r>
      <w:r w:rsidRPr="00C153C9">
        <w:t xml:space="preserve"> has significant technical advantages and faster market share growth, 4.4%/10%/15% in 2022/2023/2024, respectively.</w:t>
      </w:r>
    </w:p>
    <w:p w14:paraId="21A2E5AD" w14:textId="70F4C573" w:rsidR="0060384C" w:rsidRPr="00C153C9" w:rsidRDefault="0060384C" w:rsidP="00C153C9">
      <w:pPr>
        <w:pStyle w:val="Heading3"/>
        <w:spacing w:line="360" w:lineRule="auto"/>
        <w:jc w:val="both"/>
        <w:rPr>
          <w:rFonts w:ascii="Times New Roman" w:hAnsi="Times New Roman" w:cs="Times New Roman"/>
        </w:rPr>
      </w:pPr>
      <w:bookmarkStart w:id="25" w:name="_Toc128218248"/>
      <w:r w:rsidRPr="00C153C9">
        <w:rPr>
          <w:rFonts w:ascii="Times New Roman" w:hAnsi="Times New Roman" w:cs="Times New Roman"/>
        </w:rPr>
        <w:t xml:space="preserve">3.2.4 </w:t>
      </w:r>
      <w:r w:rsidR="006461C5" w:rsidRPr="00C153C9">
        <w:rPr>
          <w:rFonts w:ascii="Times New Roman" w:hAnsi="Times New Roman" w:cs="Times New Roman"/>
        </w:rPr>
        <w:t>Cost of Equity (</w:t>
      </w:r>
      <w:r w:rsidRPr="00C153C9">
        <w:rPr>
          <w:rFonts w:ascii="Times New Roman" w:hAnsi="Times New Roman" w:cs="Times New Roman" w:hint="eastAsia"/>
        </w:rPr>
        <w:t>β</w:t>
      </w:r>
      <w:r w:rsidRPr="00C153C9">
        <w:rPr>
          <w:rFonts w:ascii="Times New Roman" w:hAnsi="Times New Roman" w:cs="Times New Roman" w:hint="eastAsia"/>
        </w:rPr>
        <w:t>c</w:t>
      </w:r>
      <w:r w:rsidRPr="00C153C9">
        <w:rPr>
          <w:rFonts w:ascii="Times New Roman" w:hAnsi="Times New Roman" w:cs="Times New Roman"/>
        </w:rPr>
        <w:t>oefficient</w:t>
      </w:r>
      <w:r w:rsidR="006461C5" w:rsidRPr="00C153C9">
        <w:rPr>
          <w:rFonts w:ascii="Times New Roman" w:hAnsi="Times New Roman" w:cs="Times New Roman"/>
        </w:rPr>
        <w:t>)</w:t>
      </w:r>
      <w:bookmarkEnd w:id="25"/>
    </w:p>
    <w:p w14:paraId="0CA77A56" w14:textId="282576AE" w:rsidR="0060384C" w:rsidRPr="00C153C9" w:rsidRDefault="007E4151" w:rsidP="00C153C9">
      <w:pPr>
        <w:spacing w:line="360" w:lineRule="auto"/>
        <w:jc w:val="both"/>
      </w:pPr>
      <w:r w:rsidRPr="00C153C9">
        <w:t>To</w:t>
      </w:r>
      <w:r w:rsidR="0060384C" w:rsidRPr="00C153C9">
        <w:t xml:space="preserve"> get the WACC of </w:t>
      </w:r>
      <w:r w:rsidR="001730A2" w:rsidRPr="00C153C9">
        <w:t>Leapmotor</w:t>
      </w:r>
      <w:r w:rsidR="0060384C" w:rsidRPr="00C153C9">
        <w:t xml:space="preserve">, the Hong Kong-listed new energy vehicle companies Li, NIO and XPeng, which are similar to </w:t>
      </w:r>
      <w:r w:rsidR="001730A2" w:rsidRPr="00C153C9">
        <w:t>Leapmotor</w:t>
      </w:r>
      <w:r w:rsidR="0060384C" w:rsidRPr="00C153C9">
        <w:t xml:space="preserve">, are selected, and the unleveraged beta coefficient of </w:t>
      </w:r>
      <w:r w:rsidR="001730A2" w:rsidRPr="00C153C9">
        <w:t>Leapmotor</w:t>
      </w:r>
      <w:r w:rsidR="0060384C" w:rsidRPr="00C153C9">
        <w:t xml:space="preserve"> is obtained as 1.38.</w:t>
      </w:r>
    </w:p>
    <w:p w14:paraId="7D09559D" w14:textId="4046B1E0" w:rsidR="00D553AE" w:rsidRPr="00D553AE" w:rsidRDefault="00D553AE" w:rsidP="00D553AE">
      <w:pPr>
        <w:pStyle w:val="Caption"/>
        <w:keepNext/>
        <w:spacing w:line="360" w:lineRule="auto"/>
        <w:rPr>
          <w:rFonts w:ascii="Times New Roman" w:hAnsi="Times New Roman" w:cs="Times New Roman"/>
          <w:i/>
          <w:iCs/>
          <w:sz w:val="21"/>
          <w:szCs w:val="21"/>
        </w:rPr>
      </w:pPr>
      <w:r w:rsidRPr="00E16079">
        <w:rPr>
          <w:rFonts w:ascii="Times New Roman" w:hAnsi="Times New Roman" w:cs="Times New Roman"/>
          <w:i/>
          <w:iCs/>
          <w:sz w:val="21"/>
          <w:szCs w:val="21"/>
        </w:rPr>
        <w:t>F</w:t>
      </w:r>
      <w:r w:rsidRPr="00AD3E1C">
        <w:rPr>
          <w:rFonts w:ascii="Times New Roman" w:hAnsi="Times New Roman" w:cs="Times New Roman"/>
          <w:i/>
          <w:iCs/>
          <w:sz w:val="21"/>
          <w:szCs w:val="21"/>
        </w:rPr>
        <w:t xml:space="preserve">igure </w:t>
      </w:r>
      <w:r>
        <w:rPr>
          <w:rFonts w:ascii="Times New Roman" w:hAnsi="Times New Roman" w:cs="Times New Roman"/>
          <w:i/>
          <w:iCs/>
          <w:sz w:val="21"/>
          <w:szCs w:val="21"/>
        </w:rPr>
        <w:t>9</w:t>
      </w:r>
      <w:r w:rsidRPr="00AD3E1C">
        <w:rPr>
          <w:rFonts w:ascii="Times New Roman" w:hAnsi="Times New Roman" w:cs="Times New Roman"/>
          <w:i/>
          <w:iCs/>
          <w:sz w:val="21"/>
          <w:szCs w:val="21"/>
        </w:rPr>
        <w:t xml:space="preserve">: </w:t>
      </w:r>
      <w:r>
        <w:rPr>
          <w:rFonts w:ascii="Times New Roman" w:hAnsi="Times New Roman" w:cs="Times New Roman"/>
          <w:i/>
          <w:iCs/>
          <w:sz w:val="21"/>
          <w:szCs w:val="21"/>
        </w:rPr>
        <w:t>T</w:t>
      </w:r>
      <w:r>
        <w:rPr>
          <w:rFonts w:ascii="Times New Roman" w:hAnsi="Times New Roman" w:cs="Times New Roman" w:hint="eastAsia"/>
          <w:i/>
          <w:iCs/>
          <w:sz w:val="21"/>
          <w:szCs w:val="21"/>
        </w:rPr>
        <w:t>he</w:t>
      </w:r>
      <w:r>
        <w:rPr>
          <w:rFonts w:ascii="Times New Roman" w:hAnsi="Times New Roman" w:cs="Times New Roman"/>
          <w:i/>
          <w:iCs/>
          <w:sz w:val="21"/>
          <w:szCs w:val="21"/>
        </w:rPr>
        <w:t xml:space="preserve"> calculation of </w:t>
      </w:r>
      <w:r w:rsidR="001730A2">
        <w:rPr>
          <w:rFonts w:ascii="Times New Roman" w:hAnsi="Times New Roman" w:cs="Times New Roman"/>
          <w:i/>
          <w:iCs/>
          <w:sz w:val="21"/>
          <w:szCs w:val="21"/>
        </w:rPr>
        <w:t>Leapmotor</w:t>
      </w:r>
      <w:r>
        <w:rPr>
          <w:rFonts w:ascii="Times New Roman" w:hAnsi="Times New Roman" w:cs="Times New Roman"/>
          <w:i/>
          <w:iCs/>
          <w:sz w:val="21"/>
          <w:szCs w:val="21"/>
        </w:rPr>
        <w:t xml:space="preserve"> </w:t>
      </w:r>
      <w:r w:rsidRPr="00D553AE">
        <w:rPr>
          <w:rFonts w:ascii="Times New Roman" w:hAnsi="Times New Roman" w:cs="Times New Roman" w:hint="eastAsia"/>
          <w:i/>
          <w:iCs/>
          <w:sz w:val="21"/>
          <w:szCs w:val="21"/>
        </w:rPr>
        <w:t>β</w:t>
      </w:r>
      <w:r w:rsidRPr="00D553AE">
        <w:rPr>
          <w:rFonts w:ascii="Times New Roman" w:hAnsi="Times New Roman" w:cs="Times New Roman"/>
          <w:i/>
          <w:iCs/>
          <w:sz w:val="21"/>
          <w:szCs w:val="21"/>
        </w:rPr>
        <w:t>coefficient</w:t>
      </w:r>
    </w:p>
    <w:tbl>
      <w:tblPr>
        <w:tblStyle w:val="TableGrid"/>
        <w:tblW w:w="9376" w:type="dxa"/>
        <w:tblLook w:val="04A0" w:firstRow="1" w:lastRow="0" w:firstColumn="1" w:lastColumn="0" w:noHBand="0" w:noVBand="1"/>
      </w:tblPr>
      <w:tblGrid>
        <w:gridCol w:w="1217"/>
        <w:gridCol w:w="794"/>
        <w:gridCol w:w="759"/>
        <w:gridCol w:w="749"/>
        <w:gridCol w:w="910"/>
        <w:gridCol w:w="1634"/>
        <w:gridCol w:w="1529"/>
        <w:gridCol w:w="794"/>
        <w:gridCol w:w="990"/>
      </w:tblGrid>
      <w:tr w:rsidR="00542B3E" w:rsidRPr="00BC4721" w14:paraId="13E1BF3E" w14:textId="77777777" w:rsidTr="00A22A1F">
        <w:trPr>
          <w:trHeight w:val="320"/>
          <w:tblHeader/>
        </w:trPr>
        <w:tc>
          <w:tcPr>
            <w:tcW w:w="1217" w:type="dxa"/>
            <w:shd w:val="clear" w:color="auto" w:fill="003300"/>
            <w:noWrap/>
            <w:hideMark/>
          </w:tcPr>
          <w:p w14:paraId="100CE606" w14:textId="7678AAF4" w:rsidR="0060384C" w:rsidRPr="00542B3E" w:rsidRDefault="0060384C" w:rsidP="007555E5">
            <w:pPr>
              <w:spacing w:line="360" w:lineRule="auto"/>
              <w:jc w:val="center"/>
              <w:rPr>
                <w:b/>
                <w:bCs/>
                <w:szCs w:val="21"/>
              </w:rPr>
            </w:pPr>
            <w:r w:rsidRPr="00542B3E">
              <w:rPr>
                <w:b/>
                <w:bCs/>
                <w:szCs w:val="21"/>
              </w:rPr>
              <w:t>Company name</w:t>
            </w:r>
          </w:p>
        </w:tc>
        <w:tc>
          <w:tcPr>
            <w:tcW w:w="794" w:type="dxa"/>
            <w:shd w:val="clear" w:color="auto" w:fill="003300"/>
            <w:noWrap/>
            <w:hideMark/>
          </w:tcPr>
          <w:p w14:paraId="59E1312C" w14:textId="77777777" w:rsidR="0060384C" w:rsidRPr="00542B3E" w:rsidRDefault="0060384C" w:rsidP="007555E5">
            <w:pPr>
              <w:spacing w:line="360" w:lineRule="auto"/>
              <w:jc w:val="center"/>
              <w:rPr>
                <w:b/>
                <w:bCs/>
                <w:szCs w:val="21"/>
              </w:rPr>
            </w:pPr>
            <w:r w:rsidRPr="00542B3E">
              <w:rPr>
                <w:b/>
                <w:bCs/>
                <w:szCs w:val="21"/>
              </w:rPr>
              <w:t>βL</w:t>
            </w:r>
          </w:p>
        </w:tc>
        <w:tc>
          <w:tcPr>
            <w:tcW w:w="759" w:type="dxa"/>
            <w:shd w:val="clear" w:color="auto" w:fill="003300"/>
            <w:noWrap/>
            <w:hideMark/>
          </w:tcPr>
          <w:p w14:paraId="2F283948" w14:textId="77777777" w:rsidR="0060384C" w:rsidRPr="00542B3E" w:rsidRDefault="0060384C" w:rsidP="007555E5">
            <w:pPr>
              <w:spacing w:line="360" w:lineRule="auto"/>
              <w:jc w:val="center"/>
              <w:rPr>
                <w:b/>
                <w:bCs/>
                <w:szCs w:val="21"/>
              </w:rPr>
            </w:pPr>
            <w:r w:rsidRPr="00542B3E">
              <w:rPr>
                <w:b/>
                <w:bCs/>
                <w:szCs w:val="21"/>
              </w:rPr>
              <w:t>Tax rate</w:t>
            </w:r>
          </w:p>
        </w:tc>
        <w:tc>
          <w:tcPr>
            <w:tcW w:w="749" w:type="dxa"/>
            <w:shd w:val="clear" w:color="auto" w:fill="003300"/>
            <w:noWrap/>
            <w:hideMark/>
          </w:tcPr>
          <w:p w14:paraId="352A3FE5" w14:textId="77777777" w:rsidR="0060384C" w:rsidRPr="00542B3E" w:rsidRDefault="0060384C" w:rsidP="007555E5">
            <w:pPr>
              <w:spacing w:line="360" w:lineRule="auto"/>
              <w:jc w:val="center"/>
              <w:rPr>
                <w:b/>
                <w:bCs/>
                <w:szCs w:val="21"/>
              </w:rPr>
            </w:pPr>
            <w:r w:rsidRPr="00542B3E">
              <w:rPr>
                <w:b/>
                <w:bCs/>
                <w:szCs w:val="21"/>
              </w:rPr>
              <w:t>Price</w:t>
            </w:r>
          </w:p>
        </w:tc>
        <w:tc>
          <w:tcPr>
            <w:tcW w:w="910" w:type="dxa"/>
            <w:shd w:val="clear" w:color="auto" w:fill="003300"/>
            <w:noWrap/>
            <w:hideMark/>
          </w:tcPr>
          <w:p w14:paraId="30E20BA2" w14:textId="77777777" w:rsidR="0060384C" w:rsidRPr="00542B3E" w:rsidRDefault="0060384C" w:rsidP="007555E5">
            <w:pPr>
              <w:spacing w:line="360" w:lineRule="auto"/>
              <w:jc w:val="center"/>
              <w:rPr>
                <w:b/>
                <w:bCs/>
                <w:szCs w:val="21"/>
              </w:rPr>
            </w:pPr>
            <w:r w:rsidRPr="00542B3E">
              <w:rPr>
                <w:b/>
                <w:bCs/>
                <w:szCs w:val="21"/>
              </w:rPr>
              <w:t>Shares</w:t>
            </w:r>
          </w:p>
        </w:tc>
        <w:tc>
          <w:tcPr>
            <w:tcW w:w="1634" w:type="dxa"/>
            <w:shd w:val="clear" w:color="auto" w:fill="003300"/>
            <w:noWrap/>
            <w:hideMark/>
          </w:tcPr>
          <w:p w14:paraId="6AE51EB7" w14:textId="77777777" w:rsidR="0060384C" w:rsidRPr="00542B3E" w:rsidRDefault="0060384C" w:rsidP="007555E5">
            <w:pPr>
              <w:spacing w:line="360" w:lineRule="auto"/>
              <w:jc w:val="center"/>
              <w:rPr>
                <w:b/>
                <w:bCs/>
                <w:szCs w:val="21"/>
              </w:rPr>
            </w:pPr>
            <w:r w:rsidRPr="00542B3E">
              <w:rPr>
                <w:b/>
                <w:bCs/>
                <w:szCs w:val="21"/>
              </w:rPr>
              <w:t>Market Cap</w:t>
            </w:r>
          </w:p>
        </w:tc>
        <w:tc>
          <w:tcPr>
            <w:tcW w:w="1529" w:type="dxa"/>
            <w:shd w:val="clear" w:color="auto" w:fill="003300"/>
            <w:noWrap/>
            <w:hideMark/>
          </w:tcPr>
          <w:p w14:paraId="72D83CA7" w14:textId="77777777" w:rsidR="0060384C" w:rsidRPr="00542B3E" w:rsidRDefault="0060384C" w:rsidP="007555E5">
            <w:pPr>
              <w:spacing w:line="360" w:lineRule="auto"/>
              <w:jc w:val="center"/>
              <w:rPr>
                <w:b/>
                <w:bCs/>
                <w:szCs w:val="21"/>
              </w:rPr>
            </w:pPr>
            <w:r w:rsidRPr="00542B3E">
              <w:rPr>
                <w:b/>
                <w:bCs/>
                <w:szCs w:val="21"/>
              </w:rPr>
              <w:t>Debt</w:t>
            </w:r>
          </w:p>
        </w:tc>
        <w:tc>
          <w:tcPr>
            <w:tcW w:w="794" w:type="dxa"/>
            <w:shd w:val="clear" w:color="auto" w:fill="003300"/>
            <w:noWrap/>
            <w:hideMark/>
          </w:tcPr>
          <w:p w14:paraId="6C9BBB57" w14:textId="77777777" w:rsidR="0060384C" w:rsidRPr="00542B3E" w:rsidRDefault="0060384C" w:rsidP="007555E5">
            <w:pPr>
              <w:spacing w:line="360" w:lineRule="auto"/>
              <w:jc w:val="center"/>
              <w:rPr>
                <w:b/>
                <w:bCs/>
                <w:szCs w:val="21"/>
              </w:rPr>
            </w:pPr>
            <w:r w:rsidRPr="00542B3E">
              <w:rPr>
                <w:b/>
                <w:bCs/>
                <w:szCs w:val="21"/>
              </w:rPr>
              <w:t>D/E</w:t>
            </w:r>
          </w:p>
        </w:tc>
        <w:tc>
          <w:tcPr>
            <w:tcW w:w="990" w:type="dxa"/>
            <w:shd w:val="clear" w:color="auto" w:fill="003300"/>
            <w:noWrap/>
            <w:hideMark/>
          </w:tcPr>
          <w:p w14:paraId="2D6EEF5E" w14:textId="77777777" w:rsidR="0060384C" w:rsidRPr="00542B3E" w:rsidRDefault="0060384C" w:rsidP="003B015E">
            <w:pPr>
              <w:spacing w:line="360" w:lineRule="auto"/>
              <w:rPr>
                <w:b/>
                <w:bCs/>
                <w:szCs w:val="21"/>
              </w:rPr>
            </w:pPr>
            <w:r w:rsidRPr="00542B3E">
              <w:rPr>
                <w:b/>
                <w:bCs/>
                <w:szCs w:val="21"/>
              </w:rPr>
              <w:t>βU</w:t>
            </w:r>
          </w:p>
        </w:tc>
      </w:tr>
      <w:tr w:rsidR="00BC4721" w:rsidRPr="00BC4721" w14:paraId="12B166E8" w14:textId="77777777" w:rsidTr="00A22A1F">
        <w:trPr>
          <w:trHeight w:val="281"/>
        </w:trPr>
        <w:tc>
          <w:tcPr>
            <w:tcW w:w="1217" w:type="dxa"/>
            <w:noWrap/>
            <w:hideMark/>
          </w:tcPr>
          <w:p w14:paraId="56727C0C" w14:textId="77777777" w:rsidR="0060384C" w:rsidRPr="00BC4721" w:rsidRDefault="0060384C" w:rsidP="003B015E">
            <w:pPr>
              <w:spacing w:line="360" w:lineRule="auto"/>
              <w:rPr>
                <w:b/>
                <w:bCs/>
                <w:color w:val="000000"/>
                <w:sz w:val="21"/>
                <w:szCs w:val="21"/>
              </w:rPr>
            </w:pPr>
            <w:r w:rsidRPr="00BC4721">
              <w:rPr>
                <w:b/>
                <w:bCs/>
                <w:color w:val="000000"/>
                <w:sz w:val="21"/>
                <w:szCs w:val="21"/>
              </w:rPr>
              <w:t>NIO</w:t>
            </w:r>
          </w:p>
        </w:tc>
        <w:tc>
          <w:tcPr>
            <w:tcW w:w="794" w:type="dxa"/>
            <w:noWrap/>
            <w:hideMark/>
          </w:tcPr>
          <w:p w14:paraId="010DBFFD" w14:textId="77777777" w:rsidR="0060384C" w:rsidRPr="00BC4721" w:rsidRDefault="0060384C" w:rsidP="007555E5">
            <w:pPr>
              <w:spacing w:line="360" w:lineRule="auto"/>
              <w:jc w:val="center"/>
              <w:rPr>
                <w:color w:val="000000"/>
                <w:sz w:val="21"/>
                <w:szCs w:val="21"/>
              </w:rPr>
            </w:pPr>
            <w:r w:rsidRPr="00BC4721">
              <w:rPr>
                <w:color w:val="000000"/>
                <w:sz w:val="21"/>
                <w:szCs w:val="21"/>
              </w:rPr>
              <w:t>1.85</w:t>
            </w:r>
          </w:p>
        </w:tc>
        <w:tc>
          <w:tcPr>
            <w:tcW w:w="759" w:type="dxa"/>
            <w:noWrap/>
            <w:hideMark/>
          </w:tcPr>
          <w:p w14:paraId="078B0868" w14:textId="77777777" w:rsidR="0060384C" w:rsidRPr="00BC4721" w:rsidRDefault="0060384C" w:rsidP="007555E5">
            <w:pPr>
              <w:spacing w:line="360" w:lineRule="auto"/>
              <w:jc w:val="center"/>
              <w:rPr>
                <w:color w:val="000000"/>
                <w:sz w:val="21"/>
                <w:szCs w:val="21"/>
              </w:rPr>
            </w:pPr>
            <w:r w:rsidRPr="00BC4721">
              <w:rPr>
                <w:color w:val="000000"/>
                <w:sz w:val="21"/>
                <w:szCs w:val="21"/>
              </w:rPr>
              <w:t>0.00%</w:t>
            </w:r>
          </w:p>
        </w:tc>
        <w:tc>
          <w:tcPr>
            <w:tcW w:w="749" w:type="dxa"/>
            <w:noWrap/>
            <w:hideMark/>
          </w:tcPr>
          <w:p w14:paraId="7BCE39CC" w14:textId="77777777" w:rsidR="0060384C" w:rsidRPr="00BC4721" w:rsidRDefault="0060384C" w:rsidP="007555E5">
            <w:pPr>
              <w:spacing w:line="360" w:lineRule="auto"/>
              <w:jc w:val="center"/>
              <w:rPr>
                <w:color w:val="000000"/>
                <w:sz w:val="21"/>
                <w:szCs w:val="21"/>
              </w:rPr>
            </w:pPr>
            <w:r w:rsidRPr="00BC4721">
              <w:rPr>
                <w:color w:val="000000"/>
                <w:sz w:val="21"/>
                <w:szCs w:val="21"/>
              </w:rPr>
              <w:t>91.95</w:t>
            </w:r>
          </w:p>
        </w:tc>
        <w:tc>
          <w:tcPr>
            <w:tcW w:w="910" w:type="dxa"/>
            <w:noWrap/>
            <w:hideMark/>
          </w:tcPr>
          <w:p w14:paraId="318C3F68" w14:textId="1070C7BC" w:rsidR="0060384C" w:rsidRPr="00BC4721" w:rsidRDefault="00BC4721" w:rsidP="007555E5">
            <w:pPr>
              <w:spacing w:line="360" w:lineRule="auto"/>
              <w:jc w:val="center"/>
              <w:rPr>
                <w:color w:val="000000"/>
                <w:sz w:val="21"/>
                <w:szCs w:val="21"/>
              </w:rPr>
            </w:pPr>
            <w:r w:rsidRPr="00542B3E">
              <w:rPr>
                <w:rFonts w:hint="eastAsia"/>
                <w:color w:val="000000"/>
                <w:sz w:val="21"/>
                <w:szCs w:val="21"/>
              </w:rPr>
              <w:t>1</w:t>
            </w:r>
            <w:r w:rsidRPr="00542B3E">
              <w:rPr>
                <w:color w:val="000000"/>
                <w:sz w:val="21"/>
                <w:szCs w:val="21"/>
              </w:rPr>
              <w:t>.</w:t>
            </w:r>
            <w:r w:rsidRPr="00542B3E">
              <w:rPr>
                <w:rFonts w:hint="eastAsia"/>
                <w:color w:val="000000"/>
                <w:sz w:val="21"/>
                <w:szCs w:val="21"/>
              </w:rPr>
              <w:t>692</w:t>
            </w:r>
            <w:r w:rsidRPr="00BC4721">
              <w:rPr>
                <w:color w:val="000000"/>
                <w:sz w:val="21"/>
                <w:szCs w:val="21"/>
              </w:rPr>
              <w:t>B</w:t>
            </w:r>
          </w:p>
        </w:tc>
        <w:tc>
          <w:tcPr>
            <w:tcW w:w="1634" w:type="dxa"/>
            <w:noWrap/>
            <w:hideMark/>
          </w:tcPr>
          <w:p w14:paraId="6C69576A" w14:textId="71F6011F" w:rsidR="0060384C" w:rsidRPr="00BC4721" w:rsidRDefault="0060384C" w:rsidP="007555E5">
            <w:pPr>
              <w:spacing w:line="360" w:lineRule="auto"/>
              <w:jc w:val="center"/>
              <w:rPr>
                <w:color w:val="000000"/>
                <w:sz w:val="21"/>
                <w:szCs w:val="21"/>
              </w:rPr>
            </w:pPr>
            <w:r w:rsidRPr="00BC4721">
              <w:rPr>
                <w:color w:val="000000"/>
                <w:sz w:val="21"/>
                <w:szCs w:val="21"/>
              </w:rPr>
              <w:t>155</w:t>
            </w:r>
            <w:r w:rsidR="007555E5">
              <w:rPr>
                <w:color w:val="000000"/>
                <w:sz w:val="21"/>
                <w:szCs w:val="21"/>
              </w:rPr>
              <w:t>.6B</w:t>
            </w:r>
          </w:p>
        </w:tc>
        <w:tc>
          <w:tcPr>
            <w:tcW w:w="1529" w:type="dxa"/>
            <w:noWrap/>
            <w:hideMark/>
          </w:tcPr>
          <w:p w14:paraId="204B6729" w14:textId="0595ED6A" w:rsidR="0060384C" w:rsidRPr="00BC4721" w:rsidRDefault="0060384C" w:rsidP="007555E5">
            <w:pPr>
              <w:spacing w:line="360" w:lineRule="auto"/>
              <w:jc w:val="center"/>
              <w:rPr>
                <w:color w:val="000000"/>
                <w:sz w:val="21"/>
                <w:szCs w:val="21"/>
              </w:rPr>
            </w:pPr>
            <w:r w:rsidRPr="00BC4721">
              <w:rPr>
                <w:color w:val="000000"/>
                <w:sz w:val="21"/>
                <w:szCs w:val="21"/>
              </w:rPr>
              <w:t>44</w:t>
            </w:r>
            <w:r w:rsidR="007555E5">
              <w:rPr>
                <w:color w:val="000000"/>
                <w:sz w:val="21"/>
                <w:szCs w:val="21"/>
              </w:rPr>
              <w:t>.8B</w:t>
            </w:r>
          </w:p>
        </w:tc>
        <w:tc>
          <w:tcPr>
            <w:tcW w:w="794" w:type="dxa"/>
            <w:noWrap/>
            <w:hideMark/>
          </w:tcPr>
          <w:p w14:paraId="07C147DF" w14:textId="77777777" w:rsidR="0060384C" w:rsidRPr="00BC4721" w:rsidRDefault="0060384C" w:rsidP="007555E5">
            <w:pPr>
              <w:spacing w:line="360" w:lineRule="auto"/>
              <w:jc w:val="center"/>
              <w:rPr>
                <w:color w:val="000000"/>
                <w:sz w:val="21"/>
                <w:szCs w:val="21"/>
              </w:rPr>
            </w:pPr>
            <w:r w:rsidRPr="00BC4721">
              <w:rPr>
                <w:color w:val="000000"/>
                <w:sz w:val="21"/>
                <w:szCs w:val="21"/>
              </w:rPr>
              <w:t>0.2880</w:t>
            </w:r>
          </w:p>
        </w:tc>
        <w:tc>
          <w:tcPr>
            <w:tcW w:w="990" w:type="dxa"/>
            <w:noWrap/>
            <w:hideMark/>
          </w:tcPr>
          <w:p w14:paraId="1CEEDD6D" w14:textId="77777777" w:rsidR="0060384C" w:rsidRPr="00BC4721" w:rsidRDefault="0060384C" w:rsidP="007555E5">
            <w:pPr>
              <w:spacing w:line="360" w:lineRule="auto"/>
              <w:jc w:val="center"/>
              <w:rPr>
                <w:color w:val="000000"/>
                <w:sz w:val="21"/>
                <w:szCs w:val="21"/>
              </w:rPr>
            </w:pPr>
            <w:r w:rsidRPr="00BC4721">
              <w:rPr>
                <w:color w:val="000000"/>
                <w:sz w:val="21"/>
                <w:szCs w:val="21"/>
              </w:rPr>
              <w:t>1.4362</w:t>
            </w:r>
          </w:p>
        </w:tc>
      </w:tr>
      <w:tr w:rsidR="00542B3E" w:rsidRPr="00BC4721" w14:paraId="780534C1" w14:textId="77777777" w:rsidTr="00A22A1F">
        <w:trPr>
          <w:trHeight w:val="281"/>
        </w:trPr>
        <w:tc>
          <w:tcPr>
            <w:tcW w:w="1217" w:type="dxa"/>
            <w:shd w:val="clear" w:color="auto" w:fill="E2EFD9"/>
            <w:noWrap/>
            <w:hideMark/>
          </w:tcPr>
          <w:p w14:paraId="3AC5909F" w14:textId="77777777" w:rsidR="0060384C" w:rsidRPr="00BC4721" w:rsidRDefault="0060384C" w:rsidP="003B015E">
            <w:pPr>
              <w:spacing w:line="360" w:lineRule="auto"/>
              <w:rPr>
                <w:b/>
                <w:bCs/>
                <w:color w:val="000000"/>
                <w:sz w:val="21"/>
                <w:szCs w:val="21"/>
              </w:rPr>
            </w:pPr>
            <w:r w:rsidRPr="00BC4721">
              <w:rPr>
                <w:b/>
                <w:bCs/>
                <w:color w:val="000000"/>
                <w:sz w:val="21"/>
                <w:szCs w:val="21"/>
              </w:rPr>
              <w:t>XPeng</w:t>
            </w:r>
          </w:p>
        </w:tc>
        <w:tc>
          <w:tcPr>
            <w:tcW w:w="794" w:type="dxa"/>
            <w:shd w:val="clear" w:color="auto" w:fill="E2EFD9"/>
            <w:noWrap/>
            <w:hideMark/>
          </w:tcPr>
          <w:p w14:paraId="484A0265" w14:textId="77777777" w:rsidR="0060384C" w:rsidRPr="00BC4721" w:rsidRDefault="0060384C" w:rsidP="007555E5">
            <w:pPr>
              <w:spacing w:line="360" w:lineRule="auto"/>
              <w:jc w:val="center"/>
              <w:rPr>
                <w:color w:val="000000"/>
                <w:sz w:val="21"/>
                <w:szCs w:val="21"/>
              </w:rPr>
            </w:pPr>
            <w:r w:rsidRPr="00BC4721">
              <w:rPr>
                <w:color w:val="000000"/>
                <w:sz w:val="21"/>
                <w:szCs w:val="21"/>
              </w:rPr>
              <w:t>2.85</w:t>
            </w:r>
          </w:p>
        </w:tc>
        <w:tc>
          <w:tcPr>
            <w:tcW w:w="759" w:type="dxa"/>
            <w:shd w:val="clear" w:color="auto" w:fill="E2EFD9"/>
            <w:noWrap/>
            <w:hideMark/>
          </w:tcPr>
          <w:p w14:paraId="5A4AC657" w14:textId="77777777" w:rsidR="0060384C" w:rsidRPr="00BC4721" w:rsidRDefault="0060384C" w:rsidP="007555E5">
            <w:pPr>
              <w:spacing w:line="360" w:lineRule="auto"/>
              <w:jc w:val="center"/>
              <w:rPr>
                <w:color w:val="000000"/>
                <w:sz w:val="21"/>
                <w:szCs w:val="21"/>
              </w:rPr>
            </w:pPr>
            <w:r w:rsidRPr="00BC4721">
              <w:rPr>
                <w:color w:val="000000"/>
                <w:sz w:val="21"/>
                <w:szCs w:val="21"/>
              </w:rPr>
              <w:t>0.00%</w:t>
            </w:r>
          </w:p>
        </w:tc>
        <w:tc>
          <w:tcPr>
            <w:tcW w:w="749" w:type="dxa"/>
            <w:shd w:val="clear" w:color="auto" w:fill="E2EFD9"/>
            <w:noWrap/>
            <w:hideMark/>
          </w:tcPr>
          <w:p w14:paraId="01A7D5CB" w14:textId="77777777" w:rsidR="0060384C" w:rsidRPr="00BC4721" w:rsidRDefault="0060384C" w:rsidP="007555E5">
            <w:pPr>
              <w:spacing w:line="360" w:lineRule="auto"/>
              <w:jc w:val="center"/>
              <w:rPr>
                <w:color w:val="000000"/>
                <w:sz w:val="21"/>
                <w:szCs w:val="21"/>
              </w:rPr>
            </w:pPr>
            <w:r w:rsidRPr="00BC4721">
              <w:rPr>
                <w:color w:val="000000"/>
                <w:sz w:val="21"/>
                <w:szCs w:val="21"/>
              </w:rPr>
              <w:t>39</w:t>
            </w:r>
          </w:p>
        </w:tc>
        <w:tc>
          <w:tcPr>
            <w:tcW w:w="910" w:type="dxa"/>
            <w:shd w:val="clear" w:color="auto" w:fill="E2EFD9"/>
            <w:noWrap/>
            <w:hideMark/>
          </w:tcPr>
          <w:p w14:paraId="1EC18C96" w14:textId="0E433FD1" w:rsidR="0060384C" w:rsidRPr="00BC4721" w:rsidRDefault="00BC4721" w:rsidP="007555E5">
            <w:pPr>
              <w:spacing w:line="360" w:lineRule="auto"/>
              <w:jc w:val="center"/>
              <w:rPr>
                <w:color w:val="000000"/>
                <w:sz w:val="21"/>
                <w:szCs w:val="21"/>
              </w:rPr>
            </w:pPr>
            <w:r w:rsidRPr="00BC4721">
              <w:rPr>
                <w:color w:val="000000"/>
                <w:sz w:val="21"/>
                <w:szCs w:val="21"/>
              </w:rPr>
              <w:t>1.725B</w:t>
            </w:r>
          </w:p>
        </w:tc>
        <w:tc>
          <w:tcPr>
            <w:tcW w:w="1634" w:type="dxa"/>
            <w:shd w:val="clear" w:color="auto" w:fill="E2EFD9"/>
            <w:noWrap/>
            <w:hideMark/>
          </w:tcPr>
          <w:p w14:paraId="023B270C" w14:textId="63C1A564" w:rsidR="0060384C" w:rsidRPr="00BC4721" w:rsidRDefault="0060384C" w:rsidP="007555E5">
            <w:pPr>
              <w:spacing w:line="360" w:lineRule="auto"/>
              <w:jc w:val="center"/>
              <w:rPr>
                <w:color w:val="000000"/>
                <w:sz w:val="21"/>
                <w:szCs w:val="21"/>
              </w:rPr>
            </w:pPr>
            <w:r w:rsidRPr="00BC4721">
              <w:rPr>
                <w:color w:val="000000"/>
                <w:sz w:val="21"/>
                <w:szCs w:val="21"/>
              </w:rPr>
              <w:t>67</w:t>
            </w:r>
            <w:r w:rsidR="007555E5">
              <w:rPr>
                <w:color w:val="000000"/>
                <w:sz w:val="21"/>
                <w:szCs w:val="21"/>
              </w:rPr>
              <w:t>.3B</w:t>
            </w:r>
          </w:p>
        </w:tc>
        <w:tc>
          <w:tcPr>
            <w:tcW w:w="1529" w:type="dxa"/>
            <w:shd w:val="clear" w:color="auto" w:fill="E2EFD9"/>
            <w:noWrap/>
            <w:hideMark/>
          </w:tcPr>
          <w:p w14:paraId="32559A17" w14:textId="16F2DBC6" w:rsidR="0060384C" w:rsidRPr="00BC4721" w:rsidRDefault="0060384C" w:rsidP="007555E5">
            <w:pPr>
              <w:spacing w:line="360" w:lineRule="auto"/>
              <w:jc w:val="center"/>
              <w:rPr>
                <w:color w:val="000000"/>
                <w:sz w:val="21"/>
                <w:szCs w:val="21"/>
              </w:rPr>
            </w:pPr>
            <w:r w:rsidRPr="00BC4721">
              <w:rPr>
                <w:color w:val="000000"/>
                <w:sz w:val="21"/>
                <w:szCs w:val="21"/>
              </w:rPr>
              <w:t>23</w:t>
            </w:r>
            <w:r w:rsidR="007555E5">
              <w:rPr>
                <w:color w:val="000000"/>
                <w:sz w:val="21"/>
                <w:szCs w:val="21"/>
              </w:rPr>
              <w:t>.5B</w:t>
            </w:r>
          </w:p>
        </w:tc>
        <w:tc>
          <w:tcPr>
            <w:tcW w:w="794" w:type="dxa"/>
            <w:shd w:val="clear" w:color="auto" w:fill="E2EFD9"/>
            <w:noWrap/>
            <w:hideMark/>
          </w:tcPr>
          <w:p w14:paraId="19053253" w14:textId="77777777" w:rsidR="0060384C" w:rsidRPr="00BC4721" w:rsidRDefault="0060384C" w:rsidP="007555E5">
            <w:pPr>
              <w:spacing w:line="360" w:lineRule="auto"/>
              <w:jc w:val="center"/>
              <w:rPr>
                <w:color w:val="000000"/>
                <w:sz w:val="21"/>
                <w:szCs w:val="21"/>
              </w:rPr>
            </w:pPr>
            <w:r w:rsidRPr="00BC4721">
              <w:rPr>
                <w:color w:val="000000"/>
                <w:sz w:val="21"/>
                <w:szCs w:val="21"/>
              </w:rPr>
              <w:t>0.3493</w:t>
            </w:r>
          </w:p>
        </w:tc>
        <w:tc>
          <w:tcPr>
            <w:tcW w:w="990" w:type="dxa"/>
            <w:shd w:val="clear" w:color="auto" w:fill="E2EFD9"/>
            <w:noWrap/>
            <w:hideMark/>
          </w:tcPr>
          <w:p w14:paraId="77685155" w14:textId="77777777" w:rsidR="0060384C" w:rsidRPr="00BC4721" w:rsidRDefault="0060384C" w:rsidP="007555E5">
            <w:pPr>
              <w:spacing w:line="360" w:lineRule="auto"/>
              <w:jc w:val="center"/>
              <w:rPr>
                <w:color w:val="000000"/>
                <w:sz w:val="21"/>
                <w:szCs w:val="21"/>
              </w:rPr>
            </w:pPr>
            <w:r w:rsidRPr="00BC4721">
              <w:rPr>
                <w:color w:val="000000"/>
                <w:sz w:val="21"/>
                <w:szCs w:val="21"/>
              </w:rPr>
              <w:t>2.112</w:t>
            </w:r>
            <w:r w:rsidRPr="00BC4721">
              <w:rPr>
                <w:rFonts w:hint="eastAsia"/>
                <w:color w:val="000000"/>
                <w:sz w:val="21"/>
                <w:szCs w:val="21"/>
              </w:rPr>
              <w:t>2</w:t>
            </w:r>
          </w:p>
        </w:tc>
      </w:tr>
      <w:tr w:rsidR="00BC4721" w:rsidRPr="00BC4721" w14:paraId="049B00CA" w14:textId="77777777" w:rsidTr="00A22A1F">
        <w:trPr>
          <w:trHeight w:val="281"/>
        </w:trPr>
        <w:tc>
          <w:tcPr>
            <w:tcW w:w="1217" w:type="dxa"/>
            <w:noWrap/>
            <w:hideMark/>
          </w:tcPr>
          <w:p w14:paraId="7AC5D6E8" w14:textId="77777777" w:rsidR="0060384C" w:rsidRPr="00BC4721" w:rsidRDefault="0060384C" w:rsidP="003B015E">
            <w:pPr>
              <w:spacing w:line="360" w:lineRule="auto"/>
              <w:rPr>
                <w:b/>
                <w:bCs/>
                <w:color w:val="000000"/>
                <w:sz w:val="21"/>
                <w:szCs w:val="21"/>
              </w:rPr>
            </w:pPr>
            <w:r w:rsidRPr="00BC4721">
              <w:rPr>
                <w:b/>
                <w:bCs/>
                <w:color w:val="000000"/>
                <w:sz w:val="21"/>
                <w:szCs w:val="21"/>
              </w:rPr>
              <w:t>Li</w:t>
            </w:r>
          </w:p>
        </w:tc>
        <w:tc>
          <w:tcPr>
            <w:tcW w:w="794" w:type="dxa"/>
            <w:noWrap/>
            <w:hideMark/>
          </w:tcPr>
          <w:p w14:paraId="12D279CC" w14:textId="77777777" w:rsidR="0060384C" w:rsidRPr="00BC4721" w:rsidRDefault="0060384C" w:rsidP="007555E5">
            <w:pPr>
              <w:spacing w:line="360" w:lineRule="auto"/>
              <w:jc w:val="center"/>
              <w:rPr>
                <w:color w:val="000000"/>
                <w:sz w:val="21"/>
                <w:szCs w:val="21"/>
              </w:rPr>
            </w:pPr>
            <w:r w:rsidRPr="00BC4721">
              <w:rPr>
                <w:color w:val="000000"/>
                <w:sz w:val="21"/>
                <w:szCs w:val="21"/>
              </w:rPr>
              <w:t>0.63</w:t>
            </w:r>
          </w:p>
        </w:tc>
        <w:tc>
          <w:tcPr>
            <w:tcW w:w="759" w:type="dxa"/>
            <w:noWrap/>
            <w:hideMark/>
          </w:tcPr>
          <w:p w14:paraId="2F972FCC" w14:textId="77777777" w:rsidR="0060384C" w:rsidRPr="00BC4721" w:rsidRDefault="0060384C" w:rsidP="007555E5">
            <w:pPr>
              <w:spacing w:line="360" w:lineRule="auto"/>
              <w:jc w:val="center"/>
              <w:rPr>
                <w:color w:val="000000"/>
                <w:sz w:val="21"/>
                <w:szCs w:val="21"/>
              </w:rPr>
            </w:pPr>
            <w:r w:rsidRPr="00BC4721">
              <w:rPr>
                <w:color w:val="000000"/>
                <w:sz w:val="21"/>
                <w:szCs w:val="21"/>
              </w:rPr>
              <w:t>0.00%</w:t>
            </w:r>
          </w:p>
        </w:tc>
        <w:tc>
          <w:tcPr>
            <w:tcW w:w="749" w:type="dxa"/>
            <w:noWrap/>
            <w:hideMark/>
          </w:tcPr>
          <w:p w14:paraId="561170C9" w14:textId="77777777" w:rsidR="0060384C" w:rsidRPr="00BC4721" w:rsidRDefault="0060384C" w:rsidP="007555E5">
            <w:pPr>
              <w:spacing w:line="360" w:lineRule="auto"/>
              <w:jc w:val="center"/>
              <w:rPr>
                <w:color w:val="000000"/>
                <w:sz w:val="21"/>
                <w:szCs w:val="21"/>
              </w:rPr>
            </w:pPr>
            <w:r w:rsidRPr="00BC4721">
              <w:rPr>
                <w:color w:val="000000"/>
                <w:sz w:val="21"/>
                <w:szCs w:val="21"/>
              </w:rPr>
              <w:t>87.5</w:t>
            </w:r>
          </w:p>
        </w:tc>
        <w:tc>
          <w:tcPr>
            <w:tcW w:w="910" w:type="dxa"/>
            <w:noWrap/>
            <w:hideMark/>
          </w:tcPr>
          <w:p w14:paraId="7620BA64" w14:textId="44F3DB10" w:rsidR="0060384C" w:rsidRPr="00BC4721" w:rsidRDefault="00BC4721" w:rsidP="007555E5">
            <w:pPr>
              <w:spacing w:line="360" w:lineRule="auto"/>
              <w:jc w:val="center"/>
              <w:rPr>
                <w:color w:val="000000"/>
                <w:sz w:val="21"/>
                <w:szCs w:val="21"/>
              </w:rPr>
            </w:pPr>
            <w:r w:rsidRPr="00BC4721">
              <w:rPr>
                <w:color w:val="000000"/>
                <w:sz w:val="21"/>
                <w:szCs w:val="21"/>
              </w:rPr>
              <w:t>2.085B</w:t>
            </w:r>
          </w:p>
        </w:tc>
        <w:tc>
          <w:tcPr>
            <w:tcW w:w="1634" w:type="dxa"/>
            <w:noWrap/>
            <w:hideMark/>
          </w:tcPr>
          <w:p w14:paraId="609B7354" w14:textId="7DE60ABA" w:rsidR="0060384C" w:rsidRPr="00BC4721" w:rsidRDefault="0060384C" w:rsidP="007555E5">
            <w:pPr>
              <w:spacing w:line="360" w:lineRule="auto"/>
              <w:jc w:val="center"/>
              <w:rPr>
                <w:color w:val="000000"/>
                <w:sz w:val="21"/>
                <w:szCs w:val="21"/>
              </w:rPr>
            </w:pPr>
            <w:r w:rsidRPr="00BC4721">
              <w:rPr>
                <w:color w:val="000000"/>
                <w:sz w:val="21"/>
                <w:szCs w:val="21"/>
              </w:rPr>
              <w:t>182</w:t>
            </w:r>
            <w:r w:rsidR="007555E5">
              <w:rPr>
                <w:color w:val="000000"/>
                <w:sz w:val="21"/>
                <w:szCs w:val="21"/>
              </w:rPr>
              <w:t>.4B</w:t>
            </w:r>
          </w:p>
        </w:tc>
        <w:tc>
          <w:tcPr>
            <w:tcW w:w="1529" w:type="dxa"/>
            <w:noWrap/>
            <w:hideMark/>
          </w:tcPr>
          <w:p w14:paraId="46A45806" w14:textId="7D366C91" w:rsidR="0060384C" w:rsidRPr="00BC4721" w:rsidRDefault="007555E5" w:rsidP="007555E5">
            <w:pPr>
              <w:spacing w:line="360" w:lineRule="auto"/>
              <w:jc w:val="center"/>
              <w:rPr>
                <w:color w:val="000000"/>
                <w:sz w:val="21"/>
                <w:szCs w:val="21"/>
              </w:rPr>
            </w:pPr>
            <w:r>
              <w:rPr>
                <w:color w:val="000000"/>
                <w:sz w:val="21"/>
                <w:szCs w:val="21"/>
              </w:rPr>
              <w:t>12.1B</w:t>
            </w:r>
          </w:p>
        </w:tc>
        <w:tc>
          <w:tcPr>
            <w:tcW w:w="794" w:type="dxa"/>
            <w:noWrap/>
            <w:hideMark/>
          </w:tcPr>
          <w:p w14:paraId="29D1B759" w14:textId="77777777" w:rsidR="0060384C" w:rsidRPr="00BC4721" w:rsidRDefault="0060384C" w:rsidP="007555E5">
            <w:pPr>
              <w:spacing w:line="360" w:lineRule="auto"/>
              <w:jc w:val="center"/>
              <w:rPr>
                <w:color w:val="000000"/>
                <w:sz w:val="21"/>
                <w:szCs w:val="21"/>
              </w:rPr>
            </w:pPr>
            <w:r w:rsidRPr="00BC4721">
              <w:rPr>
                <w:color w:val="000000"/>
                <w:sz w:val="21"/>
                <w:szCs w:val="21"/>
              </w:rPr>
              <w:t>0.066</w:t>
            </w:r>
            <w:r w:rsidRPr="00BC4721">
              <w:rPr>
                <w:rFonts w:hint="eastAsia"/>
                <w:color w:val="000000"/>
                <w:sz w:val="21"/>
                <w:szCs w:val="21"/>
              </w:rPr>
              <w:t>4</w:t>
            </w:r>
          </w:p>
        </w:tc>
        <w:tc>
          <w:tcPr>
            <w:tcW w:w="990" w:type="dxa"/>
            <w:noWrap/>
            <w:hideMark/>
          </w:tcPr>
          <w:p w14:paraId="6D738AA6" w14:textId="77777777" w:rsidR="0060384C" w:rsidRPr="00BC4721" w:rsidRDefault="0060384C" w:rsidP="007555E5">
            <w:pPr>
              <w:spacing w:line="360" w:lineRule="auto"/>
              <w:jc w:val="center"/>
              <w:rPr>
                <w:color w:val="000000"/>
                <w:sz w:val="21"/>
                <w:szCs w:val="21"/>
              </w:rPr>
            </w:pPr>
            <w:r w:rsidRPr="00BC4721">
              <w:rPr>
                <w:color w:val="000000"/>
                <w:sz w:val="21"/>
                <w:szCs w:val="21"/>
              </w:rPr>
              <w:t>0.590</w:t>
            </w:r>
            <w:r w:rsidRPr="00BC4721">
              <w:rPr>
                <w:rFonts w:hint="eastAsia"/>
                <w:color w:val="000000"/>
                <w:sz w:val="21"/>
                <w:szCs w:val="21"/>
              </w:rPr>
              <w:t>8</w:t>
            </w:r>
          </w:p>
        </w:tc>
      </w:tr>
      <w:tr w:rsidR="00542B3E" w:rsidRPr="00BC4721" w14:paraId="492BB904" w14:textId="77777777" w:rsidTr="00A22A1F">
        <w:trPr>
          <w:trHeight w:val="67"/>
        </w:trPr>
        <w:tc>
          <w:tcPr>
            <w:tcW w:w="1217" w:type="dxa"/>
            <w:shd w:val="clear" w:color="auto" w:fill="E2EFD9"/>
            <w:noWrap/>
            <w:hideMark/>
          </w:tcPr>
          <w:p w14:paraId="4979E9DF" w14:textId="77777777" w:rsidR="0060384C" w:rsidRPr="00BC4721" w:rsidRDefault="0060384C" w:rsidP="003B015E">
            <w:pPr>
              <w:spacing w:line="360" w:lineRule="auto"/>
              <w:rPr>
                <w:b/>
                <w:bCs/>
                <w:color w:val="000000"/>
                <w:sz w:val="21"/>
                <w:szCs w:val="21"/>
              </w:rPr>
            </w:pPr>
            <w:r w:rsidRPr="00BC4721">
              <w:rPr>
                <w:b/>
                <w:bCs/>
                <w:color w:val="000000"/>
                <w:sz w:val="21"/>
                <w:szCs w:val="21"/>
              </w:rPr>
              <w:t>Target</w:t>
            </w:r>
          </w:p>
        </w:tc>
        <w:tc>
          <w:tcPr>
            <w:tcW w:w="794" w:type="dxa"/>
            <w:shd w:val="clear" w:color="auto" w:fill="E2EFD9"/>
            <w:noWrap/>
            <w:hideMark/>
          </w:tcPr>
          <w:p w14:paraId="650DFB75" w14:textId="77777777" w:rsidR="0060384C" w:rsidRPr="00BC4721" w:rsidRDefault="0060384C" w:rsidP="007555E5">
            <w:pPr>
              <w:spacing w:line="360" w:lineRule="auto"/>
              <w:jc w:val="center"/>
              <w:rPr>
                <w:color w:val="000000"/>
                <w:sz w:val="21"/>
                <w:szCs w:val="21"/>
              </w:rPr>
            </w:pPr>
            <w:r w:rsidRPr="00BC4721">
              <w:rPr>
                <w:color w:val="000000"/>
                <w:sz w:val="21"/>
                <w:szCs w:val="21"/>
              </w:rPr>
              <w:t>1.611</w:t>
            </w:r>
            <w:r w:rsidRPr="00BC4721">
              <w:rPr>
                <w:rFonts w:hint="eastAsia"/>
                <w:color w:val="000000"/>
                <w:sz w:val="21"/>
                <w:szCs w:val="21"/>
              </w:rPr>
              <w:t>8</w:t>
            </w:r>
          </w:p>
        </w:tc>
        <w:tc>
          <w:tcPr>
            <w:tcW w:w="759" w:type="dxa"/>
            <w:shd w:val="clear" w:color="auto" w:fill="E2EFD9"/>
            <w:noWrap/>
            <w:hideMark/>
          </w:tcPr>
          <w:p w14:paraId="6474A379" w14:textId="77777777" w:rsidR="0060384C" w:rsidRPr="00BC4721" w:rsidRDefault="0060384C" w:rsidP="007555E5">
            <w:pPr>
              <w:spacing w:line="360" w:lineRule="auto"/>
              <w:jc w:val="center"/>
              <w:rPr>
                <w:color w:val="000000"/>
                <w:sz w:val="21"/>
                <w:szCs w:val="21"/>
              </w:rPr>
            </w:pPr>
            <w:r w:rsidRPr="00BC4721">
              <w:rPr>
                <w:color w:val="000000"/>
                <w:sz w:val="21"/>
                <w:szCs w:val="21"/>
              </w:rPr>
              <w:t>0.00%</w:t>
            </w:r>
          </w:p>
        </w:tc>
        <w:tc>
          <w:tcPr>
            <w:tcW w:w="749" w:type="dxa"/>
            <w:shd w:val="clear" w:color="auto" w:fill="E2EFD9"/>
            <w:noWrap/>
            <w:hideMark/>
          </w:tcPr>
          <w:p w14:paraId="69B04F57" w14:textId="77777777" w:rsidR="0060384C" w:rsidRPr="00BC4721" w:rsidRDefault="0060384C" w:rsidP="007555E5">
            <w:pPr>
              <w:spacing w:line="360" w:lineRule="auto"/>
              <w:jc w:val="center"/>
              <w:rPr>
                <w:color w:val="000000"/>
                <w:sz w:val="21"/>
                <w:szCs w:val="21"/>
              </w:rPr>
            </w:pPr>
            <w:r w:rsidRPr="00BC4721">
              <w:rPr>
                <w:color w:val="000000"/>
                <w:sz w:val="21"/>
                <w:szCs w:val="21"/>
              </w:rPr>
              <w:t>27.55</w:t>
            </w:r>
          </w:p>
        </w:tc>
        <w:tc>
          <w:tcPr>
            <w:tcW w:w="910" w:type="dxa"/>
            <w:shd w:val="clear" w:color="auto" w:fill="E2EFD9"/>
            <w:noWrap/>
            <w:hideMark/>
          </w:tcPr>
          <w:p w14:paraId="2BE0BC82" w14:textId="5A5CCE18" w:rsidR="0060384C" w:rsidRPr="00BC4721" w:rsidRDefault="00BC4721" w:rsidP="007555E5">
            <w:pPr>
              <w:spacing w:line="360" w:lineRule="auto"/>
              <w:jc w:val="center"/>
              <w:rPr>
                <w:color w:val="000000"/>
                <w:sz w:val="21"/>
                <w:szCs w:val="21"/>
              </w:rPr>
            </w:pPr>
            <w:r w:rsidRPr="00BC4721">
              <w:rPr>
                <w:color w:val="000000"/>
                <w:sz w:val="21"/>
                <w:szCs w:val="21"/>
              </w:rPr>
              <w:t>1.143B</w:t>
            </w:r>
          </w:p>
        </w:tc>
        <w:tc>
          <w:tcPr>
            <w:tcW w:w="1634" w:type="dxa"/>
            <w:shd w:val="clear" w:color="auto" w:fill="E2EFD9"/>
            <w:noWrap/>
            <w:hideMark/>
          </w:tcPr>
          <w:p w14:paraId="67ACA363" w14:textId="2BEFDF34" w:rsidR="0060384C" w:rsidRPr="00BC4721" w:rsidRDefault="0060384C" w:rsidP="007555E5">
            <w:pPr>
              <w:spacing w:line="360" w:lineRule="auto"/>
              <w:jc w:val="center"/>
              <w:rPr>
                <w:color w:val="000000"/>
                <w:sz w:val="21"/>
                <w:szCs w:val="21"/>
              </w:rPr>
            </w:pPr>
            <w:r w:rsidRPr="00BC4721">
              <w:rPr>
                <w:color w:val="000000"/>
                <w:sz w:val="21"/>
                <w:szCs w:val="21"/>
              </w:rPr>
              <w:t>31</w:t>
            </w:r>
            <w:r w:rsidR="007555E5">
              <w:rPr>
                <w:color w:val="000000"/>
                <w:sz w:val="21"/>
                <w:szCs w:val="21"/>
              </w:rPr>
              <w:t>.5B</w:t>
            </w:r>
          </w:p>
        </w:tc>
        <w:tc>
          <w:tcPr>
            <w:tcW w:w="1529" w:type="dxa"/>
            <w:shd w:val="clear" w:color="auto" w:fill="E2EFD9"/>
            <w:noWrap/>
            <w:hideMark/>
          </w:tcPr>
          <w:p w14:paraId="6504F6D6" w14:textId="2C52905B" w:rsidR="0060384C" w:rsidRPr="00BC4721" w:rsidRDefault="007555E5" w:rsidP="007555E5">
            <w:pPr>
              <w:spacing w:line="360" w:lineRule="auto"/>
              <w:jc w:val="center"/>
              <w:rPr>
                <w:color w:val="000000"/>
                <w:sz w:val="21"/>
                <w:szCs w:val="21"/>
              </w:rPr>
            </w:pPr>
            <w:r>
              <w:rPr>
                <w:color w:val="000000"/>
                <w:sz w:val="21"/>
                <w:szCs w:val="21"/>
              </w:rPr>
              <w:t>5.3B</w:t>
            </w:r>
          </w:p>
        </w:tc>
        <w:tc>
          <w:tcPr>
            <w:tcW w:w="794" w:type="dxa"/>
            <w:shd w:val="clear" w:color="auto" w:fill="E2EFD9"/>
            <w:noWrap/>
            <w:hideMark/>
          </w:tcPr>
          <w:p w14:paraId="0A7E62D6" w14:textId="77777777" w:rsidR="0060384C" w:rsidRPr="00BC4721" w:rsidRDefault="0060384C" w:rsidP="007555E5">
            <w:pPr>
              <w:spacing w:line="360" w:lineRule="auto"/>
              <w:jc w:val="center"/>
              <w:rPr>
                <w:color w:val="000000"/>
                <w:sz w:val="21"/>
                <w:szCs w:val="21"/>
              </w:rPr>
            </w:pPr>
            <w:r w:rsidRPr="00BC4721">
              <w:rPr>
                <w:color w:val="000000"/>
                <w:sz w:val="21"/>
                <w:szCs w:val="21"/>
              </w:rPr>
              <w:t>0.168</w:t>
            </w:r>
            <w:r w:rsidRPr="00BC4721">
              <w:rPr>
                <w:rFonts w:hint="eastAsia"/>
                <w:color w:val="000000"/>
                <w:sz w:val="21"/>
                <w:szCs w:val="21"/>
              </w:rPr>
              <w:t>2</w:t>
            </w:r>
          </w:p>
        </w:tc>
        <w:tc>
          <w:tcPr>
            <w:tcW w:w="990" w:type="dxa"/>
            <w:shd w:val="clear" w:color="auto" w:fill="E2EFD9"/>
            <w:noWrap/>
            <w:hideMark/>
          </w:tcPr>
          <w:p w14:paraId="2DA25F38" w14:textId="77777777" w:rsidR="0060384C" w:rsidRPr="00BC4721" w:rsidRDefault="0060384C" w:rsidP="007555E5">
            <w:pPr>
              <w:spacing w:line="360" w:lineRule="auto"/>
              <w:jc w:val="center"/>
              <w:rPr>
                <w:color w:val="000000"/>
                <w:sz w:val="21"/>
                <w:szCs w:val="21"/>
              </w:rPr>
            </w:pPr>
            <w:r w:rsidRPr="00BC4721">
              <w:rPr>
                <w:color w:val="000000"/>
                <w:sz w:val="21"/>
                <w:szCs w:val="21"/>
              </w:rPr>
              <w:t>1.379</w:t>
            </w:r>
            <w:r w:rsidRPr="00BC4721">
              <w:rPr>
                <w:rFonts w:hint="eastAsia"/>
                <w:color w:val="000000"/>
                <w:sz w:val="21"/>
                <w:szCs w:val="21"/>
              </w:rPr>
              <w:t>8</w:t>
            </w:r>
          </w:p>
        </w:tc>
      </w:tr>
    </w:tbl>
    <w:p w14:paraId="2D65A7D8" w14:textId="14797224" w:rsidR="0060384C" w:rsidRPr="00A22A1F" w:rsidRDefault="00A22A1F" w:rsidP="00A22A1F">
      <w:pPr>
        <w:pStyle w:val="Caption"/>
        <w:spacing w:line="360" w:lineRule="auto"/>
        <w:rPr>
          <w:rFonts w:ascii="Times New Roman" w:hAnsi="Times New Roman" w:cs="Times New Roman"/>
          <w:i/>
          <w:iCs/>
          <w:sz w:val="21"/>
          <w:szCs w:val="21"/>
        </w:rPr>
      </w:pPr>
      <w:r w:rsidRPr="00AD3E1C">
        <w:rPr>
          <w:rFonts w:ascii="Times New Roman" w:hAnsi="Times New Roman" w:cs="Times New Roman"/>
          <w:i/>
          <w:iCs/>
          <w:sz w:val="21"/>
          <w:szCs w:val="21"/>
        </w:rPr>
        <w:t>Source: Refinitiv</w:t>
      </w:r>
    </w:p>
    <w:p w14:paraId="2FE4D7B2" w14:textId="32BA670D" w:rsidR="0060384C" w:rsidRPr="00C153C9" w:rsidRDefault="0060384C" w:rsidP="00C153C9">
      <w:pPr>
        <w:pStyle w:val="Heading3"/>
        <w:spacing w:line="360" w:lineRule="auto"/>
        <w:jc w:val="both"/>
        <w:rPr>
          <w:rFonts w:ascii="Times New Roman" w:hAnsi="Times New Roman" w:cs="Times New Roman"/>
        </w:rPr>
      </w:pPr>
      <w:bookmarkStart w:id="26" w:name="_Toc128218249"/>
      <w:r w:rsidRPr="00C153C9">
        <w:rPr>
          <w:rFonts w:ascii="Times New Roman" w:hAnsi="Times New Roman" w:cs="Times New Roman"/>
        </w:rPr>
        <w:t>3.2.5</w:t>
      </w:r>
      <w:r w:rsidR="009E52C6" w:rsidRPr="00C153C9">
        <w:rPr>
          <w:rFonts w:ascii="Times New Roman" w:hAnsi="Times New Roman" w:cs="Times New Roman"/>
        </w:rPr>
        <w:t xml:space="preserve"> </w:t>
      </w:r>
      <w:r w:rsidRPr="00C153C9">
        <w:rPr>
          <w:rFonts w:ascii="Times New Roman" w:hAnsi="Times New Roman" w:cs="Times New Roman"/>
        </w:rPr>
        <w:t>Cost of Debt</w:t>
      </w:r>
      <w:bookmarkEnd w:id="26"/>
    </w:p>
    <w:p w14:paraId="7933936A" w14:textId="09BF16CE" w:rsidR="0060384C" w:rsidRPr="00C153C9" w:rsidRDefault="0060384C" w:rsidP="00C153C9">
      <w:pPr>
        <w:spacing w:line="360" w:lineRule="auto"/>
        <w:jc w:val="both"/>
      </w:pPr>
      <w:r w:rsidRPr="00C153C9">
        <w:t xml:space="preserve">Since </w:t>
      </w:r>
      <w:r w:rsidR="001730A2" w:rsidRPr="00C153C9">
        <w:t>Leapmotor</w:t>
      </w:r>
      <w:r w:rsidRPr="00C153C9">
        <w:t xml:space="preserve"> does not have a history of issuing debt, the unique nature of the bonds issued by comparable companies and the fact that there is no previous credit rating for </w:t>
      </w:r>
      <w:r w:rsidR="001730A2" w:rsidRPr="00C153C9">
        <w:t>Leapmotor</w:t>
      </w:r>
      <w:r w:rsidRPr="00C153C9">
        <w:t xml:space="preserve"> prevent us from directly assessing </w:t>
      </w:r>
      <w:proofErr w:type="spellStart"/>
      <w:r w:rsidR="001730A2" w:rsidRPr="00C153C9">
        <w:t>Leapmotor</w:t>
      </w:r>
      <w:r w:rsidRPr="00C153C9">
        <w:t>'s</w:t>
      </w:r>
      <w:proofErr w:type="spellEnd"/>
      <w:r w:rsidRPr="00C153C9">
        <w:t xml:space="preserve"> credit spread. The credit spread in this valuation model is based on the bond ratings measured on the </w:t>
      </w:r>
      <w:r w:rsidR="009E52C6" w:rsidRPr="00C153C9">
        <w:t>R</w:t>
      </w:r>
      <w:r w:rsidRPr="00C153C9">
        <w:t xml:space="preserve">efinitiv website. The credit spread in this valuation model is based on the bond ratings measured on the </w:t>
      </w:r>
      <w:r w:rsidR="009E52C6" w:rsidRPr="00C153C9">
        <w:t>R</w:t>
      </w:r>
      <w:r w:rsidRPr="00C153C9">
        <w:t>efinitiv website and is 5.30%.</w:t>
      </w:r>
    </w:p>
    <w:p w14:paraId="7317CB9C" w14:textId="77777777" w:rsidR="00170CD2" w:rsidRPr="006E2C13" w:rsidRDefault="00170CD2" w:rsidP="003B015E">
      <w:pPr>
        <w:spacing w:line="360" w:lineRule="auto"/>
        <w:ind w:firstLine="420"/>
        <w:rPr>
          <w:bCs/>
        </w:rPr>
      </w:pPr>
    </w:p>
    <w:p w14:paraId="210FC810" w14:textId="580EEAB9" w:rsidR="00170CD2" w:rsidRPr="00170CD2" w:rsidRDefault="00170CD2" w:rsidP="003B015E">
      <w:pPr>
        <w:pStyle w:val="Heading2"/>
        <w:spacing w:line="360" w:lineRule="auto"/>
        <w:rPr>
          <w:rFonts w:ascii="Times New Roman" w:hAnsi="Times New Roman" w:cs="Times New Roman"/>
          <w:b w:val="0"/>
          <w:szCs w:val="24"/>
        </w:rPr>
      </w:pPr>
      <w:bookmarkStart w:id="27" w:name="_Toc128218250"/>
      <w:r>
        <w:rPr>
          <w:rFonts w:ascii="Times New Roman" w:hAnsi="Times New Roman" w:cs="Times New Roman"/>
          <w:b w:val="0"/>
          <w:szCs w:val="24"/>
        </w:rPr>
        <w:lastRenderedPageBreak/>
        <w:t xml:space="preserve">3.3 </w:t>
      </w:r>
      <w:r w:rsidRPr="00170CD2">
        <w:rPr>
          <w:rFonts w:ascii="Times New Roman" w:hAnsi="Times New Roman" w:cs="Times New Roman"/>
          <w:b w:val="0"/>
          <w:szCs w:val="24"/>
        </w:rPr>
        <w:t xml:space="preserve">Valuation </w:t>
      </w:r>
      <w:r w:rsidR="006461C5">
        <w:rPr>
          <w:rFonts w:ascii="Times New Roman" w:hAnsi="Times New Roman" w:cs="Times New Roman"/>
          <w:b w:val="0"/>
          <w:szCs w:val="24"/>
        </w:rPr>
        <w:t>Interpretation</w:t>
      </w:r>
      <w:bookmarkEnd w:id="27"/>
    </w:p>
    <w:p w14:paraId="6084BA6C" w14:textId="4137316C" w:rsidR="0060384C" w:rsidRPr="00C153C9" w:rsidRDefault="0060384C" w:rsidP="00C153C9">
      <w:pPr>
        <w:spacing w:line="360" w:lineRule="auto"/>
        <w:jc w:val="both"/>
      </w:pPr>
      <w:r w:rsidRPr="00C153C9">
        <w:t>Under the assumption of normal operation, the DCF model valuation analysis, we finally came up with a target price of 28.73</w:t>
      </w:r>
      <w:r w:rsidR="006C497E" w:rsidRPr="00C153C9">
        <w:t xml:space="preserve"> HKD</w:t>
      </w:r>
      <w:r w:rsidRPr="00C153C9">
        <w:t xml:space="preserve"> for </w:t>
      </w:r>
      <w:r w:rsidR="001730A2" w:rsidRPr="00C153C9">
        <w:t>Leapmotor</w:t>
      </w:r>
      <w:r w:rsidRPr="00C153C9">
        <w:t xml:space="preserve">, </w:t>
      </w:r>
      <w:r w:rsidR="003B4816" w:rsidRPr="00C153C9">
        <w:rPr>
          <w:rFonts w:hint="eastAsia"/>
        </w:rPr>
        <w:t>a</w:t>
      </w:r>
      <w:r w:rsidR="003B4816" w:rsidRPr="00C153C9">
        <w:t>nd u</w:t>
      </w:r>
      <w:r w:rsidRPr="00C153C9">
        <w:t xml:space="preserve">nder the assumption of transitioning to the mid-to-low end, the target price of </w:t>
      </w:r>
      <w:r w:rsidR="001730A2" w:rsidRPr="00C153C9">
        <w:t>Leapmotor</w:t>
      </w:r>
      <w:r w:rsidRPr="00C153C9">
        <w:t xml:space="preserve"> is </w:t>
      </w:r>
      <w:r w:rsidR="006C497E" w:rsidRPr="00C153C9">
        <w:t>23.02 HKD</w:t>
      </w:r>
      <w:r w:rsidR="003B4816" w:rsidRPr="00C153C9">
        <w:t>.</w:t>
      </w:r>
    </w:p>
    <w:p w14:paraId="7D6FDDDD" w14:textId="6E320D41" w:rsidR="006C497E" w:rsidRPr="00C153C9" w:rsidRDefault="006C497E" w:rsidP="00C153C9">
      <w:pPr>
        <w:spacing w:line="360" w:lineRule="auto"/>
        <w:jc w:val="both"/>
      </w:pPr>
      <w:r w:rsidRPr="00C153C9">
        <w:rPr>
          <w:rFonts w:hint="eastAsia"/>
        </w:rPr>
        <w:t>T</w:t>
      </w:r>
      <w:r w:rsidRPr="00C153C9">
        <w:t xml:space="preserve">hough we assume that Leapmotor will have much larger competitive power and market shares in </w:t>
      </w:r>
      <w:r w:rsidR="005404BF" w:rsidRPr="00C153C9">
        <w:t xml:space="preserve">the </w:t>
      </w:r>
      <w:r w:rsidRPr="00C153C9">
        <w:t xml:space="preserve">mid-to-low market, the expected price for transitioning is still significantly lower than the expected price for normal operation. </w:t>
      </w:r>
      <w:r w:rsidR="005046C4" w:rsidRPr="00C153C9">
        <w:t xml:space="preserve">Considering it is doubtful that whether Leapmotor can reach the same status as Wuling </w:t>
      </w:r>
      <w:proofErr w:type="spellStart"/>
      <w:r w:rsidR="005046C4" w:rsidRPr="00C153C9">
        <w:t>MiniEV</w:t>
      </w:r>
      <w:proofErr w:type="spellEnd"/>
      <w:r w:rsidR="005046C4" w:rsidRPr="00C153C9">
        <w:t xml:space="preserve">, keeping on mid-to-high-end market looks like a good choice. </w:t>
      </w:r>
    </w:p>
    <w:p w14:paraId="0357BBCA" w14:textId="18650EE3" w:rsidR="00DD1A4A" w:rsidRDefault="00B95C73" w:rsidP="003B015E">
      <w:pPr>
        <w:pStyle w:val="Heading1"/>
        <w:spacing w:line="360" w:lineRule="auto"/>
        <w:rPr>
          <w:rFonts w:ascii="Times New Roman" w:hAnsi="Times New Roman" w:cs="Times New Roman"/>
          <w:szCs w:val="36"/>
        </w:rPr>
      </w:pPr>
      <w:bookmarkStart w:id="28" w:name="_Toc128218251"/>
      <w:r>
        <w:rPr>
          <w:rFonts w:ascii="Times New Roman" w:hAnsi="Times New Roman" w:cs="Times New Roman" w:hint="eastAsia"/>
          <w:szCs w:val="36"/>
        </w:rPr>
        <w:t>C</w:t>
      </w:r>
      <w:r>
        <w:rPr>
          <w:rFonts w:ascii="Times New Roman" w:hAnsi="Times New Roman" w:cs="Times New Roman"/>
          <w:szCs w:val="36"/>
        </w:rPr>
        <w:t>onclusion</w:t>
      </w:r>
      <w:bookmarkEnd w:id="28"/>
    </w:p>
    <w:p w14:paraId="77F8E47E" w14:textId="1668DA28" w:rsidR="00B95C73" w:rsidRPr="00C153C9" w:rsidRDefault="001730A2" w:rsidP="00C153C9">
      <w:pPr>
        <w:spacing w:line="360" w:lineRule="auto"/>
        <w:jc w:val="both"/>
      </w:pPr>
      <w:r w:rsidRPr="00C153C9">
        <w:t>Leapmotor</w:t>
      </w:r>
      <w:r w:rsidR="00B95C73" w:rsidRPr="00C153C9">
        <w:t xml:space="preserve"> keeps promoting its technological superiority </w:t>
      </w:r>
      <w:r w:rsidR="007E4151" w:rsidRPr="00C153C9">
        <w:t xml:space="preserve">through </w:t>
      </w:r>
      <w:r w:rsidR="00A83FEA" w:rsidRPr="00C153C9">
        <w:t>full-domain</w:t>
      </w:r>
      <w:r w:rsidR="00D04C9F" w:rsidRPr="00C153C9">
        <w:t xml:space="preserve"> self-develop</w:t>
      </w:r>
      <w:r w:rsidR="001A3A70" w:rsidRPr="00C153C9">
        <w:t>ment</w:t>
      </w:r>
      <w:r w:rsidR="00D04C9F" w:rsidRPr="00C153C9">
        <w:t xml:space="preserve"> and aims to focus on the mid-to-high-end market in the following years</w:t>
      </w:r>
      <w:r w:rsidR="005404BF" w:rsidRPr="00C153C9">
        <w:t>.</w:t>
      </w:r>
      <w:r w:rsidR="005046C4" w:rsidRPr="00C153C9">
        <w:t xml:space="preserve"> Though the current best-selling model for Leapmotor is still a mid-to-low-end car T03, its poor margin rate and the high fierce </w:t>
      </w:r>
      <w:r w:rsidR="00C72EAE" w:rsidRPr="00C153C9">
        <w:t>competitiveness</w:t>
      </w:r>
      <w:r w:rsidR="005046C4" w:rsidRPr="00C153C9">
        <w:t xml:space="preserve"> in mid-to-low market </w:t>
      </w:r>
      <w:r w:rsidR="00C72EAE" w:rsidRPr="00C153C9">
        <w:t xml:space="preserve">both imply that Leapmotor needs to stick to the high-end line. The situation will be improved as the scale effect brought by sales growth decrease </w:t>
      </w:r>
      <w:proofErr w:type="spellStart"/>
      <w:r w:rsidR="00C72EAE" w:rsidRPr="00C153C9">
        <w:t>Leapmotor’s</w:t>
      </w:r>
      <w:proofErr w:type="spellEnd"/>
      <w:r w:rsidR="00C72EAE" w:rsidRPr="00C153C9">
        <w:t xml:space="preserve"> cost and increases its margin rate.</w:t>
      </w:r>
    </w:p>
    <w:sectPr w:rsidR="00B95C73" w:rsidRPr="00C153C9">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174A" w14:textId="77777777" w:rsidR="00436C19" w:rsidRDefault="00436C19">
      <w:r>
        <w:separator/>
      </w:r>
    </w:p>
  </w:endnote>
  <w:endnote w:type="continuationSeparator" w:id="0">
    <w:p w14:paraId="67755D04" w14:textId="77777777" w:rsidR="00436C19" w:rsidRDefault="0043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Devanagari">
    <w:altName w:val="Segoe Print"/>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134F7049" w14:textId="77777777" w:rsidR="00995CC4" w:rsidRDefault="000211E8">
        <w:pPr>
          <w:pStyle w:val="Footer"/>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752" behindDoc="0" locked="0" layoutInCell="1" allowOverlap="1" wp14:anchorId="4C8A84CA" wp14:editId="791506DB">
                  <wp:simplePos x="0" y="0"/>
                  <wp:positionH relativeFrom="page">
                    <wp:posOffset>-76200</wp:posOffset>
                  </wp:positionH>
                  <wp:positionV relativeFrom="paragraph">
                    <wp:posOffset>191135</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0" o:spid="_x0000_s1026" o:spt="1" style="position:absolute;left:0pt;margin-left:-6pt;margin-top:15.05pt;height:52pt;width:165pt;mso-position-horizontal-relative:page;z-index:251659264;v-text-anchor:middle;mso-width-relative:page;mso-height-relative:page;" fillcolor="#385723 [1609]" filled="t" stroked="f" coordsize="21600,21600" o:gfxdata="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irG981wAAAAoBAAAPAAAAAAAAAAEAIAAAACIAAABkcnMvZG93bnJldi54&#10;bWxQSwECFAAUAAAACACHTuJA6A2m0m0CAADyBAAADgAAAAAAAAABACAAAAAmAQAAZHJzL2Uyb0Rv&#10;Yy54bWxQSwUGAAAAAAYABgBZAQAABQYAAAAA&#10;">
                  <v:fill on="t" focussize="0,0"/>
                  <v:stroke on="f" weight="1pt" miterlimit="8" joinstyle="miter"/>
                  <v:imagedata o:title=""/>
                  <o:lock v:ext="edit" aspectratio="f"/>
                </v:rect>
              </w:pict>
            </mc:Fallback>
          </mc:AlternateContent>
        </w:r>
        <w:r>
          <w:fldChar w:fldCharType="begin"/>
        </w:r>
        <w:r>
          <w:instrText xml:space="preserve"> PAGE   \* MERGEFORMAT </w:instrText>
        </w:r>
        <w:r>
          <w:fldChar w:fldCharType="separate"/>
        </w:r>
        <w:r>
          <w:t>2</w:t>
        </w:r>
        <w:r>
          <w:fldChar w:fldCharType="end"/>
        </w:r>
      </w:p>
    </w:sdtContent>
  </w:sdt>
  <w:p w14:paraId="69936779"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E945" w14:textId="77777777" w:rsidR="00436C19" w:rsidRDefault="00436C19">
      <w:r>
        <w:separator/>
      </w:r>
    </w:p>
  </w:footnote>
  <w:footnote w:type="continuationSeparator" w:id="0">
    <w:p w14:paraId="63920255" w14:textId="77777777" w:rsidR="00436C19" w:rsidRDefault="0043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3129" w14:textId="77777777" w:rsidR="00995CC4" w:rsidRDefault="000211E8">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6704" behindDoc="0" locked="0" layoutInCell="1" allowOverlap="1" wp14:anchorId="50CCC293" wp14:editId="5A514FC7">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6pt;margin-top:-38.3pt;height:52pt;width:165pt;mso-position-horizontal-relative:page;z-index:251659264;v-text-anchor:middle;mso-width-relative:page;mso-height-relative:page;" fillcolor="#385723 [1609]" filled="t" stroked="f" coordsize="21600,21600" o:gfxdata="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Q9Ci2QAAAAoBAAAPAAAAAAAAAAEAIAAAACIAAABkcnMvZG93bnJl&#10;di54bWxQSwECFAAUAAAACACHTuJABzLA6G4CAADwBAAADgAAAAAAAAABACAAAAAoAQAAZHJzL2Uy&#10;b0RvYy54bWxQSwUGAAAAAAYABgBZAQAACAYAAAAA&#10;">
              <v:fill on="t" focussize="0,0"/>
              <v:stroke on="f" weight="1pt" miterlimit="8" joinstyle="miter"/>
              <v:imagedata o:title=""/>
              <o:lock v:ext="edit" aspectratio="f"/>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7C6E5EFB" wp14:editId="313EAD49">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3EEBB7BA" w14:textId="77777777" w:rsidR="00995CC4" w:rsidRDefault="00995CC4">
    <w:pPr>
      <w:rPr>
        <w:rFonts w:ascii="Adobe Devanagari" w:hAnsi="Adobe Devanagari" w:cs="Adobe Devanagari"/>
        <w:b/>
        <w:bCs/>
        <w:color w:val="A8D08D" w:themeColor="accent6" w:themeTint="99"/>
        <w:sz w:val="36"/>
        <w:szCs w:val="32"/>
      </w:rPr>
    </w:pPr>
  </w:p>
  <w:p w14:paraId="73F43F7F"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81256"/>
    <w:multiLevelType w:val="hybridMultilevel"/>
    <w:tmpl w:val="41AA75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E0B33"/>
    <w:multiLevelType w:val="hybridMultilevel"/>
    <w:tmpl w:val="6E04FB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E205A3"/>
    <w:multiLevelType w:val="hybridMultilevel"/>
    <w:tmpl w:val="E5BE5D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5031891"/>
    <w:multiLevelType w:val="hybridMultilevel"/>
    <w:tmpl w:val="96722436"/>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1"/>
  </w:num>
  <w:num w:numId="2" w16cid:durableId="1596085743">
    <w:abstractNumId w:val="8"/>
  </w:num>
  <w:num w:numId="3" w16cid:durableId="511995032">
    <w:abstractNumId w:val="6"/>
  </w:num>
  <w:num w:numId="4" w16cid:durableId="1681203811">
    <w:abstractNumId w:val="10"/>
  </w:num>
  <w:num w:numId="5" w16cid:durableId="940185907">
    <w:abstractNumId w:val="11"/>
  </w:num>
  <w:num w:numId="6" w16cid:durableId="1200168157">
    <w:abstractNumId w:val="0"/>
  </w:num>
  <w:num w:numId="7" w16cid:durableId="2016301954">
    <w:abstractNumId w:val="2"/>
  </w:num>
  <w:num w:numId="8" w16cid:durableId="980115133">
    <w:abstractNumId w:val="7"/>
  </w:num>
  <w:num w:numId="9" w16cid:durableId="326061223">
    <w:abstractNumId w:val="12"/>
  </w:num>
  <w:num w:numId="10" w16cid:durableId="1505126501">
    <w:abstractNumId w:val="9"/>
  </w:num>
  <w:num w:numId="11" w16cid:durableId="932975696">
    <w:abstractNumId w:val="5"/>
  </w:num>
  <w:num w:numId="12" w16cid:durableId="106045011">
    <w:abstractNumId w:val="4"/>
  </w:num>
  <w:num w:numId="13" w16cid:durableId="2119134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3NDQ3NzKzNDM3NLJQ0lEKTi0uzszPAykwMqwFAHPiUQUtAAAA"/>
    <w:docVar w:name="commondata" w:val="eyJoZGlkIjoiZjNlY2M5ZjdmNTAzNjg4NmY3YThhMTVhNTc3YzNmOGUifQ=="/>
  </w:docVars>
  <w:rsids>
    <w:rsidRoot w:val="00C17C0B"/>
    <w:rsid w:val="0000633E"/>
    <w:rsid w:val="00013D1D"/>
    <w:rsid w:val="000140A9"/>
    <w:rsid w:val="00017F27"/>
    <w:rsid w:val="000211E8"/>
    <w:rsid w:val="00030EAC"/>
    <w:rsid w:val="00035B7B"/>
    <w:rsid w:val="0003635E"/>
    <w:rsid w:val="00045333"/>
    <w:rsid w:val="00072466"/>
    <w:rsid w:val="000740A7"/>
    <w:rsid w:val="000754E6"/>
    <w:rsid w:val="00075FEF"/>
    <w:rsid w:val="000801EC"/>
    <w:rsid w:val="00096FA0"/>
    <w:rsid w:val="000A2B74"/>
    <w:rsid w:val="000A2C2B"/>
    <w:rsid w:val="000A34AF"/>
    <w:rsid w:val="000A7413"/>
    <w:rsid w:val="000B3CEF"/>
    <w:rsid w:val="000B6A35"/>
    <w:rsid w:val="000B79D4"/>
    <w:rsid w:val="000C3FE9"/>
    <w:rsid w:val="000C45F0"/>
    <w:rsid w:val="000C72F5"/>
    <w:rsid w:val="000D1839"/>
    <w:rsid w:val="000D25B4"/>
    <w:rsid w:val="000D5BA7"/>
    <w:rsid w:val="000E08D0"/>
    <w:rsid w:val="000E0B02"/>
    <w:rsid w:val="000E2690"/>
    <w:rsid w:val="000F15F0"/>
    <w:rsid w:val="000F19E8"/>
    <w:rsid w:val="000F29FF"/>
    <w:rsid w:val="000F33AC"/>
    <w:rsid w:val="00107389"/>
    <w:rsid w:val="00122021"/>
    <w:rsid w:val="001227C8"/>
    <w:rsid w:val="001306C3"/>
    <w:rsid w:val="00135B1D"/>
    <w:rsid w:val="00157162"/>
    <w:rsid w:val="001634E2"/>
    <w:rsid w:val="001679B4"/>
    <w:rsid w:val="00170CD2"/>
    <w:rsid w:val="00172A04"/>
    <w:rsid w:val="001730A2"/>
    <w:rsid w:val="0018669E"/>
    <w:rsid w:val="001915CA"/>
    <w:rsid w:val="001A2704"/>
    <w:rsid w:val="001A3A70"/>
    <w:rsid w:val="001A5311"/>
    <w:rsid w:val="001A5619"/>
    <w:rsid w:val="001A74D7"/>
    <w:rsid w:val="001B1D37"/>
    <w:rsid w:val="001B1DAC"/>
    <w:rsid w:val="001B55DF"/>
    <w:rsid w:val="001B7DE4"/>
    <w:rsid w:val="001C2800"/>
    <w:rsid w:val="001D1E51"/>
    <w:rsid w:val="001E007A"/>
    <w:rsid w:val="001E08A2"/>
    <w:rsid w:val="00201213"/>
    <w:rsid w:val="00207D5E"/>
    <w:rsid w:val="00207EA2"/>
    <w:rsid w:val="0021036F"/>
    <w:rsid w:val="002135A4"/>
    <w:rsid w:val="00214BA5"/>
    <w:rsid w:val="002204E3"/>
    <w:rsid w:val="0022411D"/>
    <w:rsid w:val="00225529"/>
    <w:rsid w:val="002270FE"/>
    <w:rsid w:val="00230D2C"/>
    <w:rsid w:val="00246DBD"/>
    <w:rsid w:val="00251AC8"/>
    <w:rsid w:val="00264C51"/>
    <w:rsid w:val="00277420"/>
    <w:rsid w:val="0028339B"/>
    <w:rsid w:val="0029506C"/>
    <w:rsid w:val="002A0790"/>
    <w:rsid w:val="002A2718"/>
    <w:rsid w:val="002A3908"/>
    <w:rsid w:val="002C038A"/>
    <w:rsid w:val="002C12E0"/>
    <w:rsid w:val="002C3DD6"/>
    <w:rsid w:val="002D26F9"/>
    <w:rsid w:val="002D4D42"/>
    <w:rsid w:val="002D7B92"/>
    <w:rsid w:val="002D7E9C"/>
    <w:rsid w:val="002F3F05"/>
    <w:rsid w:val="00305606"/>
    <w:rsid w:val="00315897"/>
    <w:rsid w:val="00315D77"/>
    <w:rsid w:val="0032011D"/>
    <w:rsid w:val="00320C81"/>
    <w:rsid w:val="00320CED"/>
    <w:rsid w:val="00322580"/>
    <w:rsid w:val="00330C20"/>
    <w:rsid w:val="00332136"/>
    <w:rsid w:val="00335C7F"/>
    <w:rsid w:val="00340A81"/>
    <w:rsid w:val="00345AA2"/>
    <w:rsid w:val="00361D41"/>
    <w:rsid w:val="003648E9"/>
    <w:rsid w:val="0036704C"/>
    <w:rsid w:val="003719FC"/>
    <w:rsid w:val="003731D8"/>
    <w:rsid w:val="003755E3"/>
    <w:rsid w:val="00376551"/>
    <w:rsid w:val="00382237"/>
    <w:rsid w:val="00383BE9"/>
    <w:rsid w:val="00383C98"/>
    <w:rsid w:val="0039668C"/>
    <w:rsid w:val="00397848"/>
    <w:rsid w:val="003A1D12"/>
    <w:rsid w:val="003A1FAB"/>
    <w:rsid w:val="003A4E1A"/>
    <w:rsid w:val="003A70FE"/>
    <w:rsid w:val="003A7E43"/>
    <w:rsid w:val="003B015E"/>
    <w:rsid w:val="003B15C6"/>
    <w:rsid w:val="003B4816"/>
    <w:rsid w:val="003C42DC"/>
    <w:rsid w:val="003C4345"/>
    <w:rsid w:val="003D3215"/>
    <w:rsid w:val="003E23C0"/>
    <w:rsid w:val="003F1A8C"/>
    <w:rsid w:val="003F5787"/>
    <w:rsid w:val="00406E16"/>
    <w:rsid w:val="00406E25"/>
    <w:rsid w:val="004074EA"/>
    <w:rsid w:val="00411D33"/>
    <w:rsid w:val="00414605"/>
    <w:rsid w:val="0041747F"/>
    <w:rsid w:val="0042206A"/>
    <w:rsid w:val="004248ED"/>
    <w:rsid w:val="00426C6E"/>
    <w:rsid w:val="004314D8"/>
    <w:rsid w:val="0043494C"/>
    <w:rsid w:val="00436C19"/>
    <w:rsid w:val="004377DD"/>
    <w:rsid w:val="00453235"/>
    <w:rsid w:val="004555F3"/>
    <w:rsid w:val="004564BD"/>
    <w:rsid w:val="00462956"/>
    <w:rsid w:val="00462E4C"/>
    <w:rsid w:val="00467E36"/>
    <w:rsid w:val="00473FBC"/>
    <w:rsid w:val="00481FA7"/>
    <w:rsid w:val="00482901"/>
    <w:rsid w:val="004830A2"/>
    <w:rsid w:val="00484A75"/>
    <w:rsid w:val="004873CF"/>
    <w:rsid w:val="00495652"/>
    <w:rsid w:val="004A14C7"/>
    <w:rsid w:val="004B02B7"/>
    <w:rsid w:val="004C3936"/>
    <w:rsid w:val="004C4487"/>
    <w:rsid w:val="004C663E"/>
    <w:rsid w:val="004D22F4"/>
    <w:rsid w:val="004D5A99"/>
    <w:rsid w:val="004D5CC6"/>
    <w:rsid w:val="004D71C1"/>
    <w:rsid w:val="004F438A"/>
    <w:rsid w:val="004F6C28"/>
    <w:rsid w:val="004F7F35"/>
    <w:rsid w:val="005046C4"/>
    <w:rsid w:val="005052A7"/>
    <w:rsid w:val="0050654F"/>
    <w:rsid w:val="00513F14"/>
    <w:rsid w:val="00516335"/>
    <w:rsid w:val="00522213"/>
    <w:rsid w:val="00522731"/>
    <w:rsid w:val="00525405"/>
    <w:rsid w:val="00527E63"/>
    <w:rsid w:val="00532D01"/>
    <w:rsid w:val="00536309"/>
    <w:rsid w:val="005404BF"/>
    <w:rsid w:val="00542B3E"/>
    <w:rsid w:val="00543EC5"/>
    <w:rsid w:val="005533E1"/>
    <w:rsid w:val="00554FDE"/>
    <w:rsid w:val="00555E6E"/>
    <w:rsid w:val="00560510"/>
    <w:rsid w:val="005644FB"/>
    <w:rsid w:val="00565EF5"/>
    <w:rsid w:val="00566D01"/>
    <w:rsid w:val="00572823"/>
    <w:rsid w:val="005728D2"/>
    <w:rsid w:val="00575553"/>
    <w:rsid w:val="00576F04"/>
    <w:rsid w:val="0058199C"/>
    <w:rsid w:val="00584616"/>
    <w:rsid w:val="00593CA1"/>
    <w:rsid w:val="00595389"/>
    <w:rsid w:val="005A64B3"/>
    <w:rsid w:val="005C4A8D"/>
    <w:rsid w:val="005C7A5C"/>
    <w:rsid w:val="005D7653"/>
    <w:rsid w:val="005D7E96"/>
    <w:rsid w:val="005E0062"/>
    <w:rsid w:val="005E1254"/>
    <w:rsid w:val="005E1B7F"/>
    <w:rsid w:val="005E52DB"/>
    <w:rsid w:val="005F47A4"/>
    <w:rsid w:val="005F53A0"/>
    <w:rsid w:val="005F61F6"/>
    <w:rsid w:val="0060384C"/>
    <w:rsid w:val="0060554B"/>
    <w:rsid w:val="006123CF"/>
    <w:rsid w:val="006137C4"/>
    <w:rsid w:val="00615801"/>
    <w:rsid w:val="006165AF"/>
    <w:rsid w:val="00623B14"/>
    <w:rsid w:val="00623C89"/>
    <w:rsid w:val="006461C5"/>
    <w:rsid w:val="00655330"/>
    <w:rsid w:val="00657ED6"/>
    <w:rsid w:val="006633C4"/>
    <w:rsid w:val="00665DA5"/>
    <w:rsid w:val="00667BEE"/>
    <w:rsid w:val="006714CD"/>
    <w:rsid w:val="00671E96"/>
    <w:rsid w:val="006720DB"/>
    <w:rsid w:val="0067461F"/>
    <w:rsid w:val="00675AF7"/>
    <w:rsid w:val="00680F11"/>
    <w:rsid w:val="006863E3"/>
    <w:rsid w:val="006944C4"/>
    <w:rsid w:val="006A5D2D"/>
    <w:rsid w:val="006B4423"/>
    <w:rsid w:val="006C1391"/>
    <w:rsid w:val="006C176C"/>
    <w:rsid w:val="006C17C3"/>
    <w:rsid w:val="006C1FEB"/>
    <w:rsid w:val="006C497E"/>
    <w:rsid w:val="006E64FA"/>
    <w:rsid w:val="006F02AD"/>
    <w:rsid w:val="006F133D"/>
    <w:rsid w:val="006F4055"/>
    <w:rsid w:val="006F4855"/>
    <w:rsid w:val="006F725E"/>
    <w:rsid w:val="00704327"/>
    <w:rsid w:val="00704941"/>
    <w:rsid w:val="00704994"/>
    <w:rsid w:val="00705CB2"/>
    <w:rsid w:val="007237FB"/>
    <w:rsid w:val="00730DE6"/>
    <w:rsid w:val="007359BF"/>
    <w:rsid w:val="0074602B"/>
    <w:rsid w:val="00750F4D"/>
    <w:rsid w:val="00754A3D"/>
    <w:rsid w:val="00754F41"/>
    <w:rsid w:val="007555E5"/>
    <w:rsid w:val="007556F1"/>
    <w:rsid w:val="0076013B"/>
    <w:rsid w:val="00761699"/>
    <w:rsid w:val="007630B7"/>
    <w:rsid w:val="00764B19"/>
    <w:rsid w:val="00766228"/>
    <w:rsid w:val="00775F12"/>
    <w:rsid w:val="0078494C"/>
    <w:rsid w:val="00786A7E"/>
    <w:rsid w:val="007905AB"/>
    <w:rsid w:val="00790763"/>
    <w:rsid w:val="00790D46"/>
    <w:rsid w:val="007A02DD"/>
    <w:rsid w:val="007A0CC9"/>
    <w:rsid w:val="007B2BBA"/>
    <w:rsid w:val="007C5CCD"/>
    <w:rsid w:val="007C7123"/>
    <w:rsid w:val="007D5789"/>
    <w:rsid w:val="007D7658"/>
    <w:rsid w:val="007E09BD"/>
    <w:rsid w:val="007E281C"/>
    <w:rsid w:val="007E4151"/>
    <w:rsid w:val="007E47D0"/>
    <w:rsid w:val="007E4B07"/>
    <w:rsid w:val="007F39B2"/>
    <w:rsid w:val="007F5012"/>
    <w:rsid w:val="008021DC"/>
    <w:rsid w:val="008024FC"/>
    <w:rsid w:val="008066FA"/>
    <w:rsid w:val="00822B1B"/>
    <w:rsid w:val="008271B2"/>
    <w:rsid w:val="00832993"/>
    <w:rsid w:val="00837FC2"/>
    <w:rsid w:val="00841799"/>
    <w:rsid w:val="008525EA"/>
    <w:rsid w:val="00857E13"/>
    <w:rsid w:val="00867485"/>
    <w:rsid w:val="008725DC"/>
    <w:rsid w:val="00875752"/>
    <w:rsid w:val="00875D18"/>
    <w:rsid w:val="00876DFF"/>
    <w:rsid w:val="00877791"/>
    <w:rsid w:val="00877F2D"/>
    <w:rsid w:val="0088015D"/>
    <w:rsid w:val="00880873"/>
    <w:rsid w:val="00890C99"/>
    <w:rsid w:val="00892446"/>
    <w:rsid w:val="00897B7A"/>
    <w:rsid w:val="008A0C3E"/>
    <w:rsid w:val="008A7D0D"/>
    <w:rsid w:val="008B0AB0"/>
    <w:rsid w:val="008C1D65"/>
    <w:rsid w:val="008C3C5E"/>
    <w:rsid w:val="008C446B"/>
    <w:rsid w:val="008C47A6"/>
    <w:rsid w:val="008C578F"/>
    <w:rsid w:val="008C6275"/>
    <w:rsid w:val="008D2D60"/>
    <w:rsid w:val="008D60CB"/>
    <w:rsid w:val="008E0D59"/>
    <w:rsid w:val="008E1340"/>
    <w:rsid w:val="008E29D4"/>
    <w:rsid w:val="008E671C"/>
    <w:rsid w:val="008F313C"/>
    <w:rsid w:val="008F3E7C"/>
    <w:rsid w:val="008F5926"/>
    <w:rsid w:val="00913975"/>
    <w:rsid w:val="00916490"/>
    <w:rsid w:val="00922E2E"/>
    <w:rsid w:val="00924142"/>
    <w:rsid w:val="00926475"/>
    <w:rsid w:val="00926B91"/>
    <w:rsid w:val="00927698"/>
    <w:rsid w:val="009322E5"/>
    <w:rsid w:val="009334D7"/>
    <w:rsid w:val="00935D07"/>
    <w:rsid w:val="009405A0"/>
    <w:rsid w:val="009505C1"/>
    <w:rsid w:val="00951108"/>
    <w:rsid w:val="00951900"/>
    <w:rsid w:val="00954038"/>
    <w:rsid w:val="00955698"/>
    <w:rsid w:val="00957503"/>
    <w:rsid w:val="0097283B"/>
    <w:rsid w:val="00972D3E"/>
    <w:rsid w:val="0097490C"/>
    <w:rsid w:val="00987E5F"/>
    <w:rsid w:val="00991484"/>
    <w:rsid w:val="00992187"/>
    <w:rsid w:val="00995CC4"/>
    <w:rsid w:val="009A034F"/>
    <w:rsid w:val="009A1229"/>
    <w:rsid w:val="009A2CCF"/>
    <w:rsid w:val="009B1D4F"/>
    <w:rsid w:val="009B2DA6"/>
    <w:rsid w:val="009B3F51"/>
    <w:rsid w:val="009B585F"/>
    <w:rsid w:val="009B6362"/>
    <w:rsid w:val="009B79B9"/>
    <w:rsid w:val="009D0286"/>
    <w:rsid w:val="009D0803"/>
    <w:rsid w:val="009D20CD"/>
    <w:rsid w:val="009D3F9E"/>
    <w:rsid w:val="009D5491"/>
    <w:rsid w:val="009E32AB"/>
    <w:rsid w:val="009E52C6"/>
    <w:rsid w:val="009F186A"/>
    <w:rsid w:val="009F1EE0"/>
    <w:rsid w:val="009F37B7"/>
    <w:rsid w:val="00A01035"/>
    <w:rsid w:val="00A02068"/>
    <w:rsid w:val="00A039EE"/>
    <w:rsid w:val="00A125A2"/>
    <w:rsid w:val="00A135CB"/>
    <w:rsid w:val="00A15B76"/>
    <w:rsid w:val="00A21E2E"/>
    <w:rsid w:val="00A22A1F"/>
    <w:rsid w:val="00A2331A"/>
    <w:rsid w:val="00A3721E"/>
    <w:rsid w:val="00A37350"/>
    <w:rsid w:val="00A51397"/>
    <w:rsid w:val="00A520C1"/>
    <w:rsid w:val="00A52385"/>
    <w:rsid w:val="00A52447"/>
    <w:rsid w:val="00A52AF8"/>
    <w:rsid w:val="00A6429B"/>
    <w:rsid w:val="00A644C9"/>
    <w:rsid w:val="00A677FC"/>
    <w:rsid w:val="00A67C31"/>
    <w:rsid w:val="00A73967"/>
    <w:rsid w:val="00A82228"/>
    <w:rsid w:val="00A83FEA"/>
    <w:rsid w:val="00A85819"/>
    <w:rsid w:val="00AA1964"/>
    <w:rsid w:val="00AA46C7"/>
    <w:rsid w:val="00AB114E"/>
    <w:rsid w:val="00AB1B41"/>
    <w:rsid w:val="00AB5DE9"/>
    <w:rsid w:val="00AB7437"/>
    <w:rsid w:val="00AB7CF7"/>
    <w:rsid w:val="00AC3456"/>
    <w:rsid w:val="00AC3A71"/>
    <w:rsid w:val="00AC55C1"/>
    <w:rsid w:val="00AC6CEC"/>
    <w:rsid w:val="00AD129C"/>
    <w:rsid w:val="00AD2AEC"/>
    <w:rsid w:val="00AE0479"/>
    <w:rsid w:val="00AF07D8"/>
    <w:rsid w:val="00AF165B"/>
    <w:rsid w:val="00B1619E"/>
    <w:rsid w:val="00B16273"/>
    <w:rsid w:val="00B23D25"/>
    <w:rsid w:val="00B25D09"/>
    <w:rsid w:val="00B26D57"/>
    <w:rsid w:val="00B3149C"/>
    <w:rsid w:val="00B325DA"/>
    <w:rsid w:val="00B35E40"/>
    <w:rsid w:val="00B4520F"/>
    <w:rsid w:val="00B52716"/>
    <w:rsid w:val="00B600F7"/>
    <w:rsid w:val="00B63C40"/>
    <w:rsid w:val="00B63E07"/>
    <w:rsid w:val="00B66D5F"/>
    <w:rsid w:val="00B70498"/>
    <w:rsid w:val="00B719E6"/>
    <w:rsid w:val="00B727F2"/>
    <w:rsid w:val="00B743B7"/>
    <w:rsid w:val="00B748F8"/>
    <w:rsid w:val="00B7755D"/>
    <w:rsid w:val="00B84342"/>
    <w:rsid w:val="00B93934"/>
    <w:rsid w:val="00B95C73"/>
    <w:rsid w:val="00B95F90"/>
    <w:rsid w:val="00BA684C"/>
    <w:rsid w:val="00BA7F58"/>
    <w:rsid w:val="00BB0CFC"/>
    <w:rsid w:val="00BB25DC"/>
    <w:rsid w:val="00BB4A74"/>
    <w:rsid w:val="00BB529D"/>
    <w:rsid w:val="00BC4721"/>
    <w:rsid w:val="00BD0AD1"/>
    <w:rsid w:val="00BD2E2F"/>
    <w:rsid w:val="00BD33F0"/>
    <w:rsid w:val="00BD50BF"/>
    <w:rsid w:val="00BD5FB7"/>
    <w:rsid w:val="00BF756A"/>
    <w:rsid w:val="00C00DF2"/>
    <w:rsid w:val="00C06A51"/>
    <w:rsid w:val="00C11290"/>
    <w:rsid w:val="00C12C7B"/>
    <w:rsid w:val="00C1339B"/>
    <w:rsid w:val="00C1430D"/>
    <w:rsid w:val="00C153C9"/>
    <w:rsid w:val="00C17C0B"/>
    <w:rsid w:val="00C24ACE"/>
    <w:rsid w:val="00C31267"/>
    <w:rsid w:val="00C32927"/>
    <w:rsid w:val="00C34A16"/>
    <w:rsid w:val="00C62835"/>
    <w:rsid w:val="00C629DC"/>
    <w:rsid w:val="00C62C3E"/>
    <w:rsid w:val="00C64B75"/>
    <w:rsid w:val="00C70A6A"/>
    <w:rsid w:val="00C71503"/>
    <w:rsid w:val="00C72EAE"/>
    <w:rsid w:val="00C76B3B"/>
    <w:rsid w:val="00C86CA6"/>
    <w:rsid w:val="00C875BD"/>
    <w:rsid w:val="00CA5CC6"/>
    <w:rsid w:val="00CB038D"/>
    <w:rsid w:val="00CC0A55"/>
    <w:rsid w:val="00CC5F5A"/>
    <w:rsid w:val="00CC6E76"/>
    <w:rsid w:val="00CD1646"/>
    <w:rsid w:val="00CE134E"/>
    <w:rsid w:val="00CE5139"/>
    <w:rsid w:val="00CE68C0"/>
    <w:rsid w:val="00CF7275"/>
    <w:rsid w:val="00CF72A8"/>
    <w:rsid w:val="00D02174"/>
    <w:rsid w:val="00D049B4"/>
    <w:rsid w:val="00D04C9F"/>
    <w:rsid w:val="00D07D57"/>
    <w:rsid w:val="00D141A3"/>
    <w:rsid w:val="00D14F00"/>
    <w:rsid w:val="00D14FB6"/>
    <w:rsid w:val="00D24A74"/>
    <w:rsid w:val="00D30826"/>
    <w:rsid w:val="00D366AD"/>
    <w:rsid w:val="00D37BD1"/>
    <w:rsid w:val="00D467BD"/>
    <w:rsid w:val="00D47939"/>
    <w:rsid w:val="00D529F0"/>
    <w:rsid w:val="00D553AE"/>
    <w:rsid w:val="00D56076"/>
    <w:rsid w:val="00D602F7"/>
    <w:rsid w:val="00D70D7B"/>
    <w:rsid w:val="00D7254D"/>
    <w:rsid w:val="00D72567"/>
    <w:rsid w:val="00D74B49"/>
    <w:rsid w:val="00D760AC"/>
    <w:rsid w:val="00D76469"/>
    <w:rsid w:val="00D845E9"/>
    <w:rsid w:val="00D86FFF"/>
    <w:rsid w:val="00D93333"/>
    <w:rsid w:val="00D94750"/>
    <w:rsid w:val="00D9602B"/>
    <w:rsid w:val="00DC1BD4"/>
    <w:rsid w:val="00DC2B02"/>
    <w:rsid w:val="00DC716C"/>
    <w:rsid w:val="00DC7B99"/>
    <w:rsid w:val="00DD13F1"/>
    <w:rsid w:val="00DD1A4A"/>
    <w:rsid w:val="00DD20D9"/>
    <w:rsid w:val="00DD49DF"/>
    <w:rsid w:val="00DD748E"/>
    <w:rsid w:val="00DE639A"/>
    <w:rsid w:val="00DF0A73"/>
    <w:rsid w:val="00DF1664"/>
    <w:rsid w:val="00DF610A"/>
    <w:rsid w:val="00E00C53"/>
    <w:rsid w:val="00E0109D"/>
    <w:rsid w:val="00E04D57"/>
    <w:rsid w:val="00E110D2"/>
    <w:rsid w:val="00E257C7"/>
    <w:rsid w:val="00E26C8F"/>
    <w:rsid w:val="00E34310"/>
    <w:rsid w:val="00E417AC"/>
    <w:rsid w:val="00E41CE4"/>
    <w:rsid w:val="00E47729"/>
    <w:rsid w:val="00E50F34"/>
    <w:rsid w:val="00E50FDF"/>
    <w:rsid w:val="00E62CF3"/>
    <w:rsid w:val="00E66ADC"/>
    <w:rsid w:val="00E6721D"/>
    <w:rsid w:val="00E72F99"/>
    <w:rsid w:val="00E73C8F"/>
    <w:rsid w:val="00E747D5"/>
    <w:rsid w:val="00E82ABE"/>
    <w:rsid w:val="00E84766"/>
    <w:rsid w:val="00E85F65"/>
    <w:rsid w:val="00E87BD2"/>
    <w:rsid w:val="00E93F5E"/>
    <w:rsid w:val="00E961C3"/>
    <w:rsid w:val="00EA259A"/>
    <w:rsid w:val="00EB6036"/>
    <w:rsid w:val="00EB6E25"/>
    <w:rsid w:val="00EC3198"/>
    <w:rsid w:val="00EC33AE"/>
    <w:rsid w:val="00EC3DC8"/>
    <w:rsid w:val="00EC4A12"/>
    <w:rsid w:val="00EC5699"/>
    <w:rsid w:val="00ED0FF4"/>
    <w:rsid w:val="00ED48A1"/>
    <w:rsid w:val="00ED5209"/>
    <w:rsid w:val="00EE1005"/>
    <w:rsid w:val="00EE2682"/>
    <w:rsid w:val="00EF1CC3"/>
    <w:rsid w:val="00EF7486"/>
    <w:rsid w:val="00EF798F"/>
    <w:rsid w:val="00F00B52"/>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93711"/>
    <w:rsid w:val="00F9792B"/>
    <w:rsid w:val="00FB05AD"/>
    <w:rsid w:val="00FB3BD6"/>
    <w:rsid w:val="00FB3FB5"/>
    <w:rsid w:val="00FC0A73"/>
    <w:rsid w:val="00FC20FC"/>
    <w:rsid w:val="00FC51D6"/>
    <w:rsid w:val="00FD053D"/>
    <w:rsid w:val="00FD3302"/>
    <w:rsid w:val="00FD3840"/>
    <w:rsid w:val="00FD78AE"/>
    <w:rsid w:val="00FE0419"/>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E7E766"/>
  <w15:docId w15:val="{3C6A6259-B24F-4A60-A3EA-E0E955B8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0C"/>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宋体" w:eastAsiaTheme="majorEastAsia" w:hAnsi="宋体" w:cstheme="majorBidi"/>
      <w:b/>
      <w:color w:val="003300"/>
      <w:sz w:val="36"/>
      <w:szCs w:val="32"/>
    </w:rPr>
  </w:style>
  <w:style w:type="paragraph" w:styleId="Heading2">
    <w:name w:val="heading 2"/>
    <w:basedOn w:val="Normal"/>
    <w:next w:val="Normal"/>
    <w:link w:val="Heading2Char"/>
    <w:uiPriority w:val="9"/>
    <w:unhideWhenUsed/>
    <w:qFormat/>
    <w:pPr>
      <w:keepNext/>
      <w:keepLines/>
      <w:spacing w:before="40"/>
      <w:outlineLvl w:val="1"/>
    </w:pPr>
    <w:rPr>
      <w:rFonts w:ascii="Open Sans" w:eastAsia="宋体" w:hAnsi="Open Sans" w:cstheme="majorBidi"/>
      <w:b/>
      <w:bCs/>
      <w:color w:val="003300"/>
      <w:szCs w:val="26"/>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rFonts w:ascii="宋体" w:eastAsia="宋体" w:hAnsi="宋体" w:cs="宋体"/>
      <w:sz w:val="20"/>
      <w:szCs w:val="20"/>
    </w:rPr>
  </w:style>
  <w:style w:type="paragraph" w:styleId="TOC3">
    <w:name w:val="toc 3"/>
    <w:basedOn w:val="Normal"/>
    <w:next w:val="Normal"/>
    <w:uiPriority w:val="39"/>
    <w:unhideWhenUsed/>
    <w:qFormat/>
    <w:pPr>
      <w:spacing w:after="100"/>
      <w:ind w:left="480"/>
    </w:pPr>
    <w:rPr>
      <w:rFonts w:ascii="宋体" w:eastAsia="宋体" w:hAnsi="宋体" w:cs="宋体"/>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rPr>
  </w:style>
  <w:style w:type="paragraph" w:styleId="Header">
    <w:name w:val="header"/>
    <w:basedOn w:val="Normal"/>
    <w:link w:val="HeaderChar"/>
    <w:uiPriority w:val="99"/>
    <w:unhideWhenUsed/>
    <w:pPr>
      <w:tabs>
        <w:tab w:val="center" w:pos="4513"/>
        <w:tab w:val="right" w:pos="9026"/>
      </w:tabs>
    </w:pPr>
    <w:rPr>
      <w:rFonts w:ascii="宋体" w:eastAsia="宋体" w:hAnsi="宋体" w:cs="宋体"/>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宋体" w:eastAsiaTheme="majorEastAsia" w:hAnsi="宋体" w:cstheme="majorBidi"/>
      <w:b/>
      <w:color w:val="003300"/>
      <w:sz w:val="36"/>
      <w:szCs w:val="32"/>
      <w:lang w:val="en-US"/>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宋体" w:hAnsi="宋体"/>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Pr>
      <w:rFonts w:ascii="Open Sans" w:eastAsia="宋体" w:hAnsi="Open Sans" w:cstheme="majorBidi"/>
      <w:b/>
      <w:bCs/>
      <w:color w:val="003300"/>
      <w:sz w:val="24"/>
      <w:szCs w:val="26"/>
      <w:lang w:val="en-US"/>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rPr>
  </w:style>
  <w:style w:type="character" w:customStyle="1" w:styleId="CommentTextChar">
    <w:name w:val="Comment Text Char"/>
    <w:basedOn w:val="DefaultParagraphFont"/>
    <w:link w:val="CommentText"/>
    <w:uiPriority w:val="99"/>
    <w:semiHidden/>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宋体" w:eastAsia="宋体" w:hAnsi="宋体" w:cs="宋体"/>
      <w:sz w:val="24"/>
      <w:szCs w:val="24"/>
    </w:rPr>
  </w:style>
  <w:style w:type="paragraph" w:customStyle="1" w:styleId="a">
    <w:name w:val="正文"/>
    <w:rsid w:val="00225529"/>
    <w:pPr>
      <w:widowControl w:val="0"/>
      <w:jc w:val="both"/>
    </w:pPr>
    <w:rPr>
      <w:rFonts w:ascii="等线" w:eastAsia="等线" w:hAnsi="等线"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黑体" w:hAnsiTheme="majorHAnsi" w:cstheme="majorBidi"/>
      <w:sz w:val="20"/>
      <w:szCs w:val="20"/>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8128\Desktop\IBSG\R6\R6_Leap\Price%20History_20230118_11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8128\Desktop\IBSG\R6\R6_Leap\key%20metrics.x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8128\Desktop\IBSG\R6\R6_Leap\key%20metrics.xl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003300"/>
              </a:solidFill>
              <a:round/>
            </a:ln>
            <a:effectLst/>
          </c:spPr>
          <c:marker>
            <c:symbol val="none"/>
          </c:marker>
          <c:cat>
            <c:numRef>
              <c:f>'Sheet 1'!$A$30:$A$105</c:f>
              <c:numCache>
                <c:formatCode>dd\-mmm\-yyyy</c:formatCode>
                <c:ptCount val="76"/>
                <c:pt idx="0">
                  <c:v>44944</c:v>
                </c:pt>
                <c:pt idx="1">
                  <c:v>44943</c:v>
                </c:pt>
                <c:pt idx="2">
                  <c:v>44942</c:v>
                </c:pt>
                <c:pt idx="3">
                  <c:v>44939</c:v>
                </c:pt>
                <c:pt idx="4">
                  <c:v>44938</c:v>
                </c:pt>
                <c:pt idx="5">
                  <c:v>44937</c:v>
                </c:pt>
                <c:pt idx="6">
                  <c:v>44936</c:v>
                </c:pt>
                <c:pt idx="7">
                  <c:v>44935</c:v>
                </c:pt>
                <c:pt idx="8">
                  <c:v>44932</c:v>
                </c:pt>
                <c:pt idx="9">
                  <c:v>44931</c:v>
                </c:pt>
                <c:pt idx="10">
                  <c:v>44930</c:v>
                </c:pt>
                <c:pt idx="11">
                  <c:v>44929</c:v>
                </c:pt>
                <c:pt idx="12">
                  <c:v>44925</c:v>
                </c:pt>
                <c:pt idx="13">
                  <c:v>44924</c:v>
                </c:pt>
                <c:pt idx="14">
                  <c:v>44923</c:v>
                </c:pt>
                <c:pt idx="15">
                  <c:v>44918</c:v>
                </c:pt>
                <c:pt idx="16">
                  <c:v>44917</c:v>
                </c:pt>
                <c:pt idx="17">
                  <c:v>44916</c:v>
                </c:pt>
                <c:pt idx="18">
                  <c:v>44915</c:v>
                </c:pt>
                <c:pt idx="19">
                  <c:v>44914</c:v>
                </c:pt>
                <c:pt idx="20">
                  <c:v>44911</c:v>
                </c:pt>
                <c:pt idx="21">
                  <c:v>44910</c:v>
                </c:pt>
                <c:pt idx="22">
                  <c:v>44909</c:v>
                </c:pt>
                <c:pt idx="23">
                  <c:v>44908</c:v>
                </c:pt>
                <c:pt idx="24">
                  <c:v>44907</c:v>
                </c:pt>
                <c:pt idx="25">
                  <c:v>44904</c:v>
                </c:pt>
                <c:pt idx="26">
                  <c:v>44903</c:v>
                </c:pt>
                <c:pt idx="27">
                  <c:v>44902</c:v>
                </c:pt>
                <c:pt idx="28">
                  <c:v>44901</c:v>
                </c:pt>
                <c:pt idx="29">
                  <c:v>44900</c:v>
                </c:pt>
                <c:pt idx="30">
                  <c:v>44897</c:v>
                </c:pt>
                <c:pt idx="31">
                  <c:v>44896</c:v>
                </c:pt>
                <c:pt idx="32">
                  <c:v>44895</c:v>
                </c:pt>
                <c:pt idx="33">
                  <c:v>44894</c:v>
                </c:pt>
                <c:pt idx="34">
                  <c:v>44893</c:v>
                </c:pt>
                <c:pt idx="35">
                  <c:v>44890</c:v>
                </c:pt>
                <c:pt idx="36">
                  <c:v>44889</c:v>
                </c:pt>
                <c:pt idx="37">
                  <c:v>44888</c:v>
                </c:pt>
                <c:pt idx="38">
                  <c:v>44887</c:v>
                </c:pt>
                <c:pt idx="39">
                  <c:v>44886</c:v>
                </c:pt>
                <c:pt idx="40">
                  <c:v>44883</c:v>
                </c:pt>
                <c:pt idx="41">
                  <c:v>44882</c:v>
                </c:pt>
                <c:pt idx="42">
                  <c:v>44881</c:v>
                </c:pt>
                <c:pt idx="43">
                  <c:v>44880</c:v>
                </c:pt>
                <c:pt idx="44">
                  <c:v>44879</c:v>
                </c:pt>
                <c:pt idx="45">
                  <c:v>44876</c:v>
                </c:pt>
                <c:pt idx="46">
                  <c:v>44875</c:v>
                </c:pt>
                <c:pt idx="47">
                  <c:v>44874</c:v>
                </c:pt>
                <c:pt idx="48">
                  <c:v>44873</c:v>
                </c:pt>
                <c:pt idx="49">
                  <c:v>44872</c:v>
                </c:pt>
                <c:pt idx="50">
                  <c:v>44869</c:v>
                </c:pt>
                <c:pt idx="51">
                  <c:v>44868</c:v>
                </c:pt>
                <c:pt idx="52">
                  <c:v>44867</c:v>
                </c:pt>
                <c:pt idx="53">
                  <c:v>44866</c:v>
                </c:pt>
                <c:pt idx="54">
                  <c:v>44865</c:v>
                </c:pt>
                <c:pt idx="55">
                  <c:v>44862</c:v>
                </c:pt>
                <c:pt idx="56">
                  <c:v>44861</c:v>
                </c:pt>
                <c:pt idx="57">
                  <c:v>44860</c:v>
                </c:pt>
                <c:pt idx="58">
                  <c:v>44859</c:v>
                </c:pt>
                <c:pt idx="59">
                  <c:v>44858</c:v>
                </c:pt>
                <c:pt idx="60">
                  <c:v>44855</c:v>
                </c:pt>
                <c:pt idx="61">
                  <c:v>44854</c:v>
                </c:pt>
                <c:pt idx="62">
                  <c:v>44853</c:v>
                </c:pt>
                <c:pt idx="63">
                  <c:v>44852</c:v>
                </c:pt>
                <c:pt idx="64">
                  <c:v>44851</c:v>
                </c:pt>
                <c:pt idx="65">
                  <c:v>44848</c:v>
                </c:pt>
                <c:pt idx="66">
                  <c:v>44847</c:v>
                </c:pt>
                <c:pt idx="67">
                  <c:v>44846</c:v>
                </c:pt>
                <c:pt idx="68">
                  <c:v>44845</c:v>
                </c:pt>
                <c:pt idx="69">
                  <c:v>44844</c:v>
                </c:pt>
                <c:pt idx="70">
                  <c:v>44841</c:v>
                </c:pt>
                <c:pt idx="71">
                  <c:v>44840</c:v>
                </c:pt>
                <c:pt idx="72">
                  <c:v>44839</c:v>
                </c:pt>
                <c:pt idx="73">
                  <c:v>44837</c:v>
                </c:pt>
                <c:pt idx="74">
                  <c:v>44834</c:v>
                </c:pt>
                <c:pt idx="75">
                  <c:v>44833</c:v>
                </c:pt>
              </c:numCache>
            </c:numRef>
          </c:cat>
          <c:val>
            <c:numRef>
              <c:f>'Sheet 1'!$B$30:$B$105</c:f>
              <c:numCache>
                <c:formatCode>#,##0.0;\-#,##0.0;#,##0.0;"--"</c:formatCode>
                <c:ptCount val="76"/>
                <c:pt idx="0">
                  <c:v>27.25</c:v>
                </c:pt>
                <c:pt idx="1">
                  <c:v>27.6</c:v>
                </c:pt>
                <c:pt idx="2">
                  <c:v>27.45</c:v>
                </c:pt>
                <c:pt idx="3">
                  <c:v>27.55</c:v>
                </c:pt>
                <c:pt idx="4">
                  <c:v>27.7</c:v>
                </c:pt>
                <c:pt idx="5">
                  <c:v>28.3</c:v>
                </c:pt>
                <c:pt idx="6">
                  <c:v>28.5</c:v>
                </c:pt>
                <c:pt idx="7">
                  <c:v>27.95</c:v>
                </c:pt>
                <c:pt idx="8">
                  <c:v>28.1</c:v>
                </c:pt>
                <c:pt idx="9">
                  <c:v>29.5</c:v>
                </c:pt>
                <c:pt idx="10">
                  <c:v>28.6</c:v>
                </c:pt>
                <c:pt idx="11">
                  <c:v>29.45</c:v>
                </c:pt>
                <c:pt idx="12">
                  <c:v>30.2</c:v>
                </c:pt>
                <c:pt idx="13">
                  <c:v>27.5</c:v>
                </c:pt>
                <c:pt idx="14">
                  <c:v>27.75</c:v>
                </c:pt>
                <c:pt idx="15">
                  <c:v>27.55</c:v>
                </c:pt>
                <c:pt idx="16">
                  <c:v>28.45</c:v>
                </c:pt>
                <c:pt idx="17">
                  <c:v>27.3</c:v>
                </c:pt>
                <c:pt idx="18">
                  <c:v>27.1</c:v>
                </c:pt>
                <c:pt idx="19">
                  <c:v>29.9</c:v>
                </c:pt>
                <c:pt idx="20">
                  <c:v>30.65</c:v>
                </c:pt>
                <c:pt idx="21">
                  <c:v>29.35</c:v>
                </c:pt>
                <c:pt idx="22">
                  <c:v>28.5</c:v>
                </c:pt>
                <c:pt idx="23">
                  <c:v>28.4</c:v>
                </c:pt>
                <c:pt idx="24">
                  <c:v>28.2</c:v>
                </c:pt>
                <c:pt idx="25">
                  <c:v>30.65</c:v>
                </c:pt>
                <c:pt idx="26">
                  <c:v>32</c:v>
                </c:pt>
                <c:pt idx="27">
                  <c:v>29.65</c:v>
                </c:pt>
                <c:pt idx="28">
                  <c:v>28.8</c:v>
                </c:pt>
                <c:pt idx="29">
                  <c:v>27.1</c:v>
                </c:pt>
                <c:pt idx="30">
                  <c:v>23.75</c:v>
                </c:pt>
                <c:pt idx="31">
                  <c:v>22.05</c:v>
                </c:pt>
                <c:pt idx="32">
                  <c:v>22.4</c:v>
                </c:pt>
                <c:pt idx="33">
                  <c:v>19.68</c:v>
                </c:pt>
                <c:pt idx="34">
                  <c:v>20.5</c:v>
                </c:pt>
                <c:pt idx="35">
                  <c:v>20</c:v>
                </c:pt>
                <c:pt idx="36">
                  <c:v>19.5</c:v>
                </c:pt>
                <c:pt idx="37">
                  <c:v>18.940000000000001</c:v>
                </c:pt>
                <c:pt idx="38">
                  <c:v>18.739999999999998</c:v>
                </c:pt>
                <c:pt idx="39">
                  <c:v>19.3</c:v>
                </c:pt>
                <c:pt idx="40">
                  <c:v>19.28</c:v>
                </c:pt>
                <c:pt idx="41">
                  <c:v>19.68</c:v>
                </c:pt>
                <c:pt idx="42">
                  <c:v>20</c:v>
                </c:pt>
                <c:pt idx="43">
                  <c:v>20.6</c:v>
                </c:pt>
                <c:pt idx="44">
                  <c:v>21</c:v>
                </c:pt>
                <c:pt idx="45">
                  <c:v>20.399999999999999</c:v>
                </c:pt>
                <c:pt idx="46">
                  <c:v>19.3</c:v>
                </c:pt>
                <c:pt idx="47">
                  <c:v>20.2</c:v>
                </c:pt>
                <c:pt idx="48">
                  <c:v>19.22</c:v>
                </c:pt>
                <c:pt idx="49">
                  <c:v>22.25</c:v>
                </c:pt>
                <c:pt idx="50">
                  <c:v>20</c:v>
                </c:pt>
                <c:pt idx="51">
                  <c:v>18.079999999999998</c:v>
                </c:pt>
                <c:pt idx="52">
                  <c:v>18.52</c:v>
                </c:pt>
                <c:pt idx="53">
                  <c:v>18.52</c:v>
                </c:pt>
                <c:pt idx="54">
                  <c:v>18.14</c:v>
                </c:pt>
                <c:pt idx="55">
                  <c:v>18.38</c:v>
                </c:pt>
                <c:pt idx="56">
                  <c:v>18.82</c:v>
                </c:pt>
                <c:pt idx="57">
                  <c:v>19.66</c:v>
                </c:pt>
                <c:pt idx="58">
                  <c:v>19.36</c:v>
                </c:pt>
                <c:pt idx="59">
                  <c:v>18.36</c:v>
                </c:pt>
                <c:pt idx="60">
                  <c:v>19.48</c:v>
                </c:pt>
                <c:pt idx="61">
                  <c:v>17.98</c:v>
                </c:pt>
                <c:pt idx="62">
                  <c:v>18.760000000000002</c:v>
                </c:pt>
                <c:pt idx="63">
                  <c:v>19.36</c:v>
                </c:pt>
                <c:pt idx="64">
                  <c:v>18.059999999999999</c:v>
                </c:pt>
                <c:pt idx="65">
                  <c:v>18.02</c:v>
                </c:pt>
                <c:pt idx="66">
                  <c:v>17.899999999999999</c:v>
                </c:pt>
                <c:pt idx="67">
                  <c:v>20.45</c:v>
                </c:pt>
                <c:pt idx="68">
                  <c:v>21.7</c:v>
                </c:pt>
                <c:pt idx="69">
                  <c:v>23.3</c:v>
                </c:pt>
                <c:pt idx="70">
                  <c:v>24.8</c:v>
                </c:pt>
                <c:pt idx="71">
                  <c:v>24.1</c:v>
                </c:pt>
                <c:pt idx="72">
                  <c:v>25.35</c:v>
                </c:pt>
                <c:pt idx="73">
                  <c:v>26.5</c:v>
                </c:pt>
                <c:pt idx="74">
                  <c:v>24.8</c:v>
                </c:pt>
                <c:pt idx="75">
                  <c:v>31.9</c:v>
                </c:pt>
              </c:numCache>
            </c:numRef>
          </c:val>
          <c:smooth val="0"/>
          <c:extLst>
            <c:ext xmlns:c16="http://schemas.microsoft.com/office/drawing/2014/chart" uri="{C3380CC4-5D6E-409C-BE32-E72D297353CC}">
              <c16:uniqueId val="{00000000-AF8B-4C2C-8D45-CE44C200B1F5}"/>
            </c:ext>
          </c:extLst>
        </c:ser>
        <c:dLbls>
          <c:showLegendKey val="0"/>
          <c:showVal val="0"/>
          <c:showCatName val="0"/>
          <c:showSerName val="0"/>
          <c:showPercent val="0"/>
          <c:showBubbleSize val="0"/>
        </c:dLbls>
        <c:smooth val="0"/>
        <c:axId val="403094496"/>
        <c:axId val="403105728"/>
      </c:lineChart>
      <c:dateAx>
        <c:axId val="403094496"/>
        <c:scaling>
          <c:orientation val="minMax"/>
        </c:scaling>
        <c:delete val="0"/>
        <c:axPos val="b"/>
        <c:numFmt formatCode="dd\-mmm\-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3105728"/>
        <c:crosses val="autoZero"/>
        <c:auto val="1"/>
        <c:lblOffset val="100"/>
        <c:baseTimeUnit val="days"/>
      </c:dateAx>
      <c:valAx>
        <c:axId val="403105728"/>
        <c:scaling>
          <c:orientation val="minMax"/>
          <c:min val="15"/>
        </c:scaling>
        <c:delete val="0"/>
        <c:axPos val="l"/>
        <c:majorGridlines>
          <c:spPr>
            <a:ln w="9525" cap="flat" cmpd="sng" algn="ctr">
              <a:noFill/>
              <a:round/>
            </a:ln>
            <a:effectLst/>
          </c:spPr>
        </c:majorGridlines>
        <c:numFmt formatCode="#,##0.0;\-#,##0.0;#,##0.0;&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3094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stacked"/>
        <c:varyColors val="0"/>
        <c:ser>
          <c:idx val="0"/>
          <c:order val="0"/>
          <c:tx>
            <c:strRef>
              <c:f>Sheet1!$A$2</c:f>
              <c:strCache>
                <c:ptCount val="1"/>
                <c:pt idx="0">
                  <c:v>below 150k</c:v>
                </c:pt>
              </c:strCache>
            </c:strRef>
          </c:tx>
          <c:spPr>
            <a:solidFill>
              <a:schemeClr val="accent6">
                <a:shade val="65000"/>
              </a:schemeClr>
            </a:solidFill>
            <a:ln>
              <a:noFill/>
            </a:ln>
            <a:effectLst/>
          </c:spPr>
          <c:invertIfNegative val="0"/>
          <c:cat>
            <c:strRef>
              <c:f>Sheet1!$B$1:$K$1</c:f>
              <c:strCache>
                <c:ptCount val="10"/>
                <c:pt idx="0">
                  <c:v>2017</c:v>
                </c:pt>
                <c:pt idx="1">
                  <c:v>2018</c:v>
                </c:pt>
                <c:pt idx="2">
                  <c:v>2019</c:v>
                </c:pt>
                <c:pt idx="3">
                  <c:v>2020</c:v>
                </c:pt>
                <c:pt idx="4">
                  <c:v>2021</c:v>
                </c:pt>
                <c:pt idx="5">
                  <c:v>2022</c:v>
                </c:pt>
                <c:pt idx="6">
                  <c:v>2023E</c:v>
                </c:pt>
                <c:pt idx="7">
                  <c:v>2024E</c:v>
                </c:pt>
                <c:pt idx="8">
                  <c:v>2025E</c:v>
                </c:pt>
                <c:pt idx="9">
                  <c:v>2026E</c:v>
                </c:pt>
              </c:strCache>
            </c:strRef>
          </c:cat>
          <c:val>
            <c:numRef>
              <c:f>Sheet1!$B$2:$K$2</c:f>
              <c:numCache>
                <c:formatCode>General</c:formatCode>
                <c:ptCount val="10"/>
                <c:pt idx="0">
                  <c:v>68.899999999999991</c:v>
                </c:pt>
                <c:pt idx="1">
                  <c:v>90.899999999999991</c:v>
                </c:pt>
                <c:pt idx="2">
                  <c:v>80.290000000000006</c:v>
                </c:pt>
                <c:pt idx="3">
                  <c:v>83.984999999999999</c:v>
                </c:pt>
                <c:pt idx="4">
                  <c:v>184.69</c:v>
                </c:pt>
                <c:pt idx="5">
                  <c:v>214.64999999999998</c:v>
                </c:pt>
                <c:pt idx="6">
                  <c:v>267.79000000000002</c:v>
                </c:pt>
                <c:pt idx="7">
                  <c:v>328.38</c:v>
                </c:pt>
                <c:pt idx="8">
                  <c:v>364.5</c:v>
                </c:pt>
                <c:pt idx="9">
                  <c:v>427.90000000000003</c:v>
                </c:pt>
              </c:numCache>
            </c:numRef>
          </c:val>
          <c:extLst>
            <c:ext xmlns:c16="http://schemas.microsoft.com/office/drawing/2014/chart" uri="{C3380CC4-5D6E-409C-BE32-E72D297353CC}">
              <c16:uniqueId val="{00000000-FB91-4EFE-8862-6978BC3F3B0F}"/>
            </c:ext>
          </c:extLst>
        </c:ser>
        <c:ser>
          <c:idx val="1"/>
          <c:order val="1"/>
          <c:tx>
            <c:strRef>
              <c:f>Sheet1!$A$3</c:f>
              <c:strCache>
                <c:ptCount val="1"/>
                <c:pt idx="0">
                  <c:v>150k-300k</c:v>
                </c:pt>
              </c:strCache>
            </c:strRef>
          </c:tx>
          <c:spPr>
            <a:solidFill>
              <a:schemeClr val="accent6"/>
            </a:solidFill>
            <a:ln>
              <a:noFill/>
            </a:ln>
            <a:effectLst/>
          </c:spPr>
          <c:invertIfNegative val="0"/>
          <c:cat>
            <c:strRef>
              <c:f>Sheet1!$B$1:$K$1</c:f>
              <c:strCache>
                <c:ptCount val="10"/>
                <c:pt idx="0">
                  <c:v>2017</c:v>
                </c:pt>
                <c:pt idx="1">
                  <c:v>2018</c:v>
                </c:pt>
                <c:pt idx="2">
                  <c:v>2019</c:v>
                </c:pt>
                <c:pt idx="3">
                  <c:v>2020</c:v>
                </c:pt>
                <c:pt idx="4">
                  <c:v>2021</c:v>
                </c:pt>
                <c:pt idx="5">
                  <c:v>2022</c:v>
                </c:pt>
                <c:pt idx="6">
                  <c:v>2023E</c:v>
                </c:pt>
                <c:pt idx="7">
                  <c:v>2024E</c:v>
                </c:pt>
                <c:pt idx="8">
                  <c:v>2025E</c:v>
                </c:pt>
                <c:pt idx="9">
                  <c:v>2026E</c:v>
                </c:pt>
              </c:strCache>
            </c:strRef>
          </c:cat>
          <c:val>
            <c:numRef>
              <c:f>Sheet1!$B$3:$K$3</c:f>
              <c:numCache>
                <c:formatCode>General</c:formatCode>
                <c:ptCount val="10"/>
                <c:pt idx="0">
                  <c:v>27.200000000000003</c:v>
                </c:pt>
                <c:pt idx="1">
                  <c:v>54.3</c:v>
                </c:pt>
                <c:pt idx="2">
                  <c:v>60.14</c:v>
                </c:pt>
                <c:pt idx="3">
                  <c:v>64.185000000000002</c:v>
                </c:pt>
                <c:pt idx="4">
                  <c:v>142.35</c:v>
                </c:pt>
                <c:pt idx="5">
                  <c:v>186.29999999999998</c:v>
                </c:pt>
                <c:pt idx="6">
                  <c:v>274.5</c:v>
                </c:pt>
                <c:pt idx="7">
                  <c:v>362.70000000000005</c:v>
                </c:pt>
                <c:pt idx="8">
                  <c:v>430.2</c:v>
                </c:pt>
                <c:pt idx="9">
                  <c:v>540.1</c:v>
                </c:pt>
              </c:numCache>
            </c:numRef>
          </c:val>
          <c:extLst>
            <c:ext xmlns:c16="http://schemas.microsoft.com/office/drawing/2014/chart" uri="{C3380CC4-5D6E-409C-BE32-E72D297353CC}">
              <c16:uniqueId val="{00000001-FB91-4EFE-8862-6978BC3F3B0F}"/>
            </c:ext>
          </c:extLst>
        </c:ser>
        <c:ser>
          <c:idx val="2"/>
          <c:order val="2"/>
          <c:tx>
            <c:strRef>
              <c:f>Sheet1!$A$4</c:f>
              <c:strCache>
                <c:ptCount val="1"/>
                <c:pt idx="0">
                  <c:v>Above 300k</c:v>
                </c:pt>
              </c:strCache>
            </c:strRef>
          </c:tx>
          <c:spPr>
            <a:solidFill>
              <a:schemeClr val="accent6">
                <a:tint val="65000"/>
              </a:schemeClr>
            </a:solidFill>
            <a:ln>
              <a:noFill/>
            </a:ln>
            <a:effectLst/>
          </c:spPr>
          <c:invertIfNegative val="0"/>
          <c:cat>
            <c:strRef>
              <c:f>Sheet1!$B$1:$K$1</c:f>
              <c:strCache>
                <c:ptCount val="10"/>
                <c:pt idx="0">
                  <c:v>2017</c:v>
                </c:pt>
                <c:pt idx="1">
                  <c:v>2018</c:v>
                </c:pt>
                <c:pt idx="2">
                  <c:v>2019</c:v>
                </c:pt>
                <c:pt idx="3">
                  <c:v>2020</c:v>
                </c:pt>
                <c:pt idx="4">
                  <c:v>2021</c:v>
                </c:pt>
                <c:pt idx="5">
                  <c:v>2022</c:v>
                </c:pt>
                <c:pt idx="6">
                  <c:v>2023E</c:v>
                </c:pt>
                <c:pt idx="7">
                  <c:v>2024E</c:v>
                </c:pt>
                <c:pt idx="8">
                  <c:v>2025E</c:v>
                </c:pt>
                <c:pt idx="9">
                  <c:v>2026E</c:v>
                </c:pt>
              </c:strCache>
            </c:strRef>
          </c:cat>
          <c:val>
            <c:numRef>
              <c:f>Sheet1!$B$4:$K$4</c:f>
              <c:numCache>
                <c:formatCode>General</c:formatCode>
                <c:ptCount val="10"/>
                <c:pt idx="0">
                  <c:v>3.9</c:v>
                </c:pt>
                <c:pt idx="1">
                  <c:v>4.8</c:v>
                </c:pt>
                <c:pt idx="2">
                  <c:v>14.57</c:v>
                </c:pt>
                <c:pt idx="3">
                  <c:v>16.829999999999998</c:v>
                </c:pt>
                <c:pt idx="4">
                  <c:v>37.96</c:v>
                </c:pt>
                <c:pt idx="5">
                  <c:v>49.05</c:v>
                </c:pt>
                <c:pt idx="6">
                  <c:v>67.710000000000008</c:v>
                </c:pt>
                <c:pt idx="7">
                  <c:v>88.92</c:v>
                </c:pt>
                <c:pt idx="8">
                  <c:v>105.30000000000001</c:v>
                </c:pt>
                <c:pt idx="9">
                  <c:v>132</c:v>
                </c:pt>
              </c:numCache>
            </c:numRef>
          </c:val>
          <c:extLst>
            <c:ext xmlns:c16="http://schemas.microsoft.com/office/drawing/2014/chart" uri="{C3380CC4-5D6E-409C-BE32-E72D297353CC}">
              <c16:uniqueId val="{00000002-FB91-4EFE-8862-6978BC3F3B0F}"/>
            </c:ext>
          </c:extLst>
        </c:ser>
        <c:dLbls>
          <c:showLegendKey val="0"/>
          <c:showVal val="0"/>
          <c:showCatName val="0"/>
          <c:showSerName val="0"/>
          <c:showPercent val="0"/>
          <c:showBubbleSize val="0"/>
        </c:dLbls>
        <c:gapWidth val="150"/>
        <c:overlap val="100"/>
        <c:axId val="1753365503"/>
        <c:axId val="1753366287"/>
      </c:barChart>
      <c:catAx>
        <c:axId val="175336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753366287"/>
        <c:crosses val="autoZero"/>
        <c:auto val="1"/>
        <c:lblAlgn val="ctr"/>
        <c:lblOffset val="100"/>
        <c:noMultiLvlLbl val="0"/>
      </c:catAx>
      <c:valAx>
        <c:axId val="175336628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753365503"/>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Delivered!$B$5</c:f>
              <c:strCache>
                <c:ptCount val="1"/>
                <c:pt idx="0">
                  <c:v>Models Delivered</c:v>
                </c:pt>
              </c:strCache>
            </c:strRef>
          </c:tx>
          <c:spPr>
            <a:ln w="28575" cap="rnd">
              <a:solidFill>
                <a:srgbClr val="003300"/>
              </a:solidFill>
              <a:round/>
            </a:ln>
            <a:effectLst/>
          </c:spPr>
          <c:marker>
            <c:symbol val="circle"/>
            <c:size val="5"/>
            <c:spPr>
              <a:solidFill>
                <a:srgbClr val="003300"/>
              </a:solidFill>
              <a:ln w="9525">
                <a:noFill/>
              </a:ln>
              <a:effectLst/>
            </c:spPr>
          </c:marker>
          <c:dLbls>
            <c:dLbl>
              <c:idx val="7"/>
              <c:layout>
                <c:manualLayout>
                  <c:x val="-3.9911002576640355E-2"/>
                  <c:y val="-9.473870453693288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7.1333880640311251E-2"/>
                      <c:h val="8.9702380952380936E-2"/>
                    </c:manualLayout>
                  </c15:layout>
                </c:ext>
                <c:ext xmlns:c16="http://schemas.microsoft.com/office/drawing/2014/chart" uri="{C3380CC4-5D6E-409C-BE32-E72D297353CC}">
                  <c16:uniqueId val="{00000000-96CA-4F7B-BE71-93F495A83EF4}"/>
                </c:ext>
              </c:extLst>
            </c:dLbl>
            <c:dLbl>
              <c:idx val="8"/>
              <c:layout>
                <c:manualLayout>
                  <c:x val="-6.5765758933396021E-2"/>
                  <c:y val="-7.75890513685789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CA-4F7B-BE71-93F495A83EF4}"/>
                </c:ext>
              </c:extLst>
            </c:dLbl>
            <c:dLbl>
              <c:idx val="11"/>
              <c:layout>
                <c:manualLayout>
                  <c:x val="-6.168082220059571E-2"/>
                  <c:y val="-9.73840769903761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CA-4F7B-BE71-93F495A83EF4}"/>
                </c:ext>
              </c:extLst>
            </c:dLbl>
            <c:dLbl>
              <c:idx val="12"/>
              <c:layout>
                <c:manualLayout>
                  <c:x val="-8.0677093306991812E-2"/>
                  <c:y val="-7.55586801649793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6CA-4F7B-BE71-93F495A83EF4}"/>
                </c:ext>
              </c:extLst>
            </c:dLbl>
            <c:dLbl>
              <c:idx val="14"/>
              <c:layout>
                <c:manualLayout>
                  <c:x val="-1.6932082927836269E-3"/>
                  <c:y val="-0.106643336249635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6CA-4F7B-BE71-93F495A83EF4}"/>
                </c:ext>
              </c:extLst>
            </c:dLbl>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Delivered!$C$4:$Q$4</c:f>
              <c:strCache>
                <c:ptCount val="15"/>
                <c:pt idx="0">
                  <c:v>2Q19</c:v>
                </c:pt>
                <c:pt idx="1">
                  <c:v>3Q19</c:v>
                </c:pt>
                <c:pt idx="2">
                  <c:v>4Q19</c:v>
                </c:pt>
                <c:pt idx="3">
                  <c:v>1Q20</c:v>
                </c:pt>
                <c:pt idx="4">
                  <c:v>2Q20</c:v>
                </c:pt>
                <c:pt idx="5">
                  <c:v>3Q20</c:v>
                </c:pt>
                <c:pt idx="6">
                  <c:v>4Q20</c:v>
                </c:pt>
                <c:pt idx="7">
                  <c:v>1Q21</c:v>
                </c:pt>
                <c:pt idx="8">
                  <c:v>2Q21</c:v>
                </c:pt>
                <c:pt idx="9">
                  <c:v>3Q21</c:v>
                </c:pt>
                <c:pt idx="10">
                  <c:v>4Q21</c:v>
                </c:pt>
                <c:pt idx="11">
                  <c:v>1Q22</c:v>
                </c:pt>
                <c:pt idx="12">
                  <c:v>2Q22</c:v>
                </c:pt>
                <c:pt idx="13">
                  <c:v>3Q22</c:v>
                </c:pt>
                <c:pt idx="14">
                  <c:v>4Q22</c:v>
                </c:pt>
              </c:strCache>
            </c:strRef>
          </c:cat>
          <c:val>
            <c:numRef>
              <c:f>Delivered!$C$5:$Q$5</c:f>
              <c:numCache>
                <c:formatCode>General</c:formatCode>
                <c:ptCount val="15"/>
                <c:pt idx="0">
                  <c:v>3</c:v>
                </c:pt>
                <c:pt idx="1">
                  <c:v>473</c:v>
                </c:pt>
                <c:pt idx="2">
                  <c:v>561</c:v>
                </c:pt>
                <c:pt idx="3">
                  <c:v>241</c:v>
                </c:pt>
                <c:pt idx="4">
                  <c:v>960</c:v>
                </c:pt>
                <c:pt idx="5" formatCode="#,##0">
                  <c:v>2146</c:v>
                </c:pt>
                <c:pt idx="6" formatCode="#,##0">
                  <c:v>4703</c:v>
                </c:pt>
                <c:pt idx="7" formatCode="#,##0">
                  <c:v>4235</c:v>
                </c:pt>
                <c:pt idx="8" formatCode="#,##0">
                  <c:v>9997</c:v>
                </c:pt>
                <c:pt idx="9" formatCode="#,##0">
                  <c:v>12471</c:v>
                </c:pt>
                <c:pt idx="10" formatCode="#,##0">
                  <c:v>17045</c:v>
                </c:pt>
                <c:pt idx="11" formatCode="#,##0">
                  <c:v>21579</c:v>
                </c:pt>
                <c:pt idx="12" formatCode="#,##0">
                  <c:v>30415</c:v>
                </c:pt>
                <c:pt idx="13">
                  <c:v>35608</c:v>
                </c:pt>
                <c:pt idx="14" formatCode="#,##0">
                  <c:v>23566</c:v>
                </c:pt>
              </c:numCache>
            </c:numRef>
          </c:val>
          <c:smooth val="0"/>
          <c:extLst>
            <c:ext xmlns:c16="http://schemas.microsoft.com/office/drawing/2014/chart" uri="{C3380CC4-5D6E-409C-BE32-E72D297353CC}">
              <c16:uniqueId val="{00000005-96CA-4F7B-BE71-93F495A83EF4}"/>
            </c:ext>
          </c:extLst>
        </c:ser>
        <c:dLbls>
          <c:dLblPos val="t"/>
          <c:showLegendKey val="0"/>
          <c:showVal val="1"/>
          <c:showCatName val="0"/>
          <c:showSerName val="0"/>
          <c:showPercent val="0"/>
          <c:showBubbleSize val="0"/>
        </c:dLbls>
        <c:marker val="1"/>
        <c:smooth val="0"/>
        <c:axId val="1234318751"/>
        <c:axId val="1234320415"/>
      </c:lineChart>
      <c:catAx>
        <c:axId val="123431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234320415"/>
        <c:crosses val="autoZero"/>
        <c:auto val="1"/>
        <c:lblAlgn val="ctr"/>
        <c:lblOffset val="100"/>
        <c:noMultiLvlLbl val="0"/>
      </c:catAx>
      <c:valAx>
        <c:axId val="1234320415"/>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Models Delivered</a:t>
                </a:r>
                <a:endParaRPr lang="zh-CN"/>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2343187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305131454350274E-2"/>
          <c:y val="0.14524456521739129"/>
          <c:w val="0.8950561540088684"/>
          <c:h val="0.74969081650119818"/>
        </c:manualLayout>
      </c:layout>
      <c:barChart>
        <c:barDir val="col"/>
        <c:grouping val="clustered"/>
        <c:varyColors val="0"/>
        <c:ser>
          <c:idx val="0"/>
          <c:order val="0"/>
          <c:tx>
            <c:strRef>
              <c:f>PS!$D$2</c:f>
              <c:strCache>
                <c:ptCount val="1"/>
                <c:pt idx="0">
                  <c:v>PS(TTM)</c:v>
                </c:pt>
              </c:strCache>
            </c:strRef>
          </c:tx>
          <c:spPr>
            <a:solidFill>
              <a:schemeClr val="accent6">
                <a:lumMod val="20000"/>
                <a:lumOff val="80000"/>
              </a:schemeClr>
            </a:solidFill>
            <a:ln>
              <a:noFill/>
            </a:ln>
            <a:effectLst/>
          </c:spPr>
          <c:invertIfNegative val="0"/>
          <c:dPt>
            <c:idx val="0"/>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01-97B3-4DD7-A5E0-C6E1DB37BEE9}"/>
              </c:ext>
            </c:extLst>
          </c:dPt>
          <c:dPt>
            <c:idx val="3"/>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3-97B3-4DD7-A5E0-C6E1DB37BEE9}"/>
              </c:ext>
            </c:extLst>
          </c:dPt>
          <c:dLbls>
            <c:dLbl>
              <c:idx val="2"/>
              <c:layout>
                <c:manualLayout>
                  <c:x val="0"/>
                  <c:y val="-4.49789835136088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7B3-4DD7-A5E0-C6E1DB37BE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PS!$C$3:$C$8</c:f>
              <c:strCache>
                <c:ptCount val="6"/>
                <c:pt idx="0">
                  <c:v>BYD</c:v>
                </c:pt>
                <c:pt idx="1">
                  <c:v>XPEV</c:v>
                </c:pt>
                <c:pt idx="2">
                  <c:v>NIO</c:v>
                </c:pt>
                <c:pt idx="3">
                  <c:v>Leapmotor</c:v>
                </c:pt>
                <c:pt idx="4">
                  <c:v>Li Auto</c:v>
                </c:pt>
                <c:pt idx="5">
                  <c:v>Tesla</c:v>
                </c:pt>
              </c:strCache>
            </c:strRef>
          </c:cat>
          <c:val>
            <c:numRef>
              <c:f>PS!$D$3:$D$8</c:f>
              <c:numCache>
                <c:formatCode>0.00</c:formatCode>
                <c:ptCount val="6"/>
                <c:pt idx="0">
                  <c:v>1.74</c:v>
                </c:pt>
                <c:pt idx="1">
                  <c:v>1.88</c:v>
                </c:pt>
                <c:pt idx="2">
                  <c:v>3.1</c:v>
                </c:pt>
                <c:pt idx="3">
                  <c:v>3.61</c:v>
                </c:pt>
                <c:pt idx="4">
                  <c:v>4.21</c:v>
                </c:pt>
                <c:pt idx="5">
                  <c:v>5.43</c:v>
                </c:pt>
              </c:numCache>
            </c:numRef>
          </c:val>
          <c:extLst>
            <c:ext xmlns:c16="http://schemas.microsoft.com/office/drawing/2014/chart" uri="{C3380CC4-5D6E-409C-BE32-E72D297353CC}">
              <c16:uniqueId val="{00000005-97B3-4DD7-A5E0-C6E1DB37BEE9}"/>
            </c:ext>
          </c:extLst>
        </c:ser>
        <c:dLbls>
          <c:showLegendKey val="0"/>
          <c:showVal val="1"/>
          <c:showCatName val="0"/>
          <c:showSerName val="0"/>
          <c:showPercent val="0"/>
          <c:showBubbleSize val="0"/>
        </c:dLbls>
        <c:gapWidth val="0"/>
        <c:axId val="1292060927"/>
        <c:axId val="1292043039"/>
      </c:barChart>
      <c:lineChart>
        <c:grouping val="standard"/>
        <c:varyColors val="0"/>
        <c:ser>
          <c:idx val="1"/>
          <c:order val="1"/>
          <c:tx>
            <c:strRef>
              <c:f>PS!$E$2</c:f>
              <c:strCache>
                <c:ptCount val="1"/>
                <c:pt idx="0">
                  <c:v>Median</c:v>
                </c:pt>
              </c:strCache>
            </c:strRef>
          </c:tx>
          <c:spPr>
            <a:ln w="6350" cap="rnd">
              <a:solidFill>
                <a:schemeClr val="accent6">
                  <a:lumMod val="50000"/>
                </a:schemeClr>
              </a:solidFill>
              <a:round/>
            </a:ln>
            <a:effectLst/>
          </c:spPr>
          <c:marker>
            <c:symbol val="none"/>
          </c:marker>
          <c:dLbls>
            <c:dLbl>
              <c:idx val="0"/>
              <c:layout>
                <c:manualLayout>
                  <c:x val="-9.7762476854689195E-2"/>
                  <c:y val="-5.7245979017320286E-2"/>
                </c:manualLayout>
              </c:layout>
              <c:tx>
                <c:rich>
                  <a:bodyPr/>
                  <a:lstStyle/>
                  <a:p>
                    <a:fld id="{4B720E57-2A85-4A17-9EC7-038797DE7E86}" type="SERIESNAME">
                      <a:rPr lang="en-US" altLang="zh-CN"/>
                      <a:pPr/>
                      <a:t>[SERIES NAME]</a:t>
                    </a:fld>
                    <a:r>
                      <a:rPr lang="en-US" altLang="zh-CN"/>
                      <a:t>: 3.36</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97B3-4DD7-A5E0-C6E1DB37BEE9}"/>
                </c:ext>
              </c:extLst>
            </c:dLbl>
            <c:dLbl>
              <c:idx val="1"/>
              <c:delete val="1"/>
              <c:extLst>
                <c:ext xmlns:c15="http://schemas.microsoft.com/office/drawing/2012/chart" uri="{CE6537A1-D6FC-4f65-9D91-7224C49458BB}"/>
                <c:ext xmlns:c16="http://schemas.microsoft.com/office/drawing/2014/chart" uri="{C3380CC4-5D6E-409C-BE32-E72D297353CC}">
                  <c16:uniqueId val="{00000007-97B3-4DD7-A5E0-C6E1DB37BEE9}"/>
                </c:ext>
              </c:extLst>
            </c:dLbl>
            <c:dLbl>
              <c:idx val="2"/>
              <c:delete val="1"/>
              <c:extLst>
                <c:ext xmlns:c15="http://schemas.microsoft.com/office/drawing/2012/chart" uri="{CE6537A1-D6FC-4f65-9D91-7224C49458BB}"/>
                <c:ext xmlns:c16="http://schemas.microsoft.com/office/drawing/2014/chart" uri="{C3380CC4-5D6E-409C-BE32-E72D297353CC}">
                  <c16:uniqueId val="{00000008-97B3-4DD7-A5E0-C6E1DB37BEE9}"/>
                </c:ext>
              </c:extLst>
            </c:dLbl>
            <c:dLbl>
              <c:idx val="3"/>
              <c:delete val="1"/>
              <c:extLst>
                <c:ext xmlns:c15="http://schemas.microsoft.com/office/drawing/2012/chart" uri="{CE6537A1-D6FC-4f65-9D91-7224C49458BB}"/>
                <c:ext xmlns:c16="http://schemas.microsoft.com/office/drawing/2014/chart" uri="{C3380CC4-5D6E-409C-BE32-E72D297353CC}">
                  <c16:uniqueId val="{00000009-97B3-4DD7-A5E0-C6E1DB37BEE9}"/>
                </c:ext>
              </c:extLst>
            </c:dLbl>
            <c:dLbl>
              <c:idx val="4"/>
              <c:delete val="1"/>
              <c:extLst>
                <c:ext xmlns:c15="http://schemas.microsoft.com/office/drawing/2012/chart" uri="{CE6537A1-D6FC-4f65-9D91-7224C49458BB}"/>
                <c:ext xmlns:c16="http://schemas.microsoft.com/office/drawing/2014/chart" uri="{C3380CC4-5D6E-409C-BE32-E72D297353CC}">
                  <c16:uniqueId val="{0000000A-97B3-4DD7-A5E0-C6E1DB37BEE9}"/>
                </c:ext>
              </c:extLst>
            </c:dLbl>
            <c:dLbl>
              <c:idx val="5"/>
              <c:delete val="1"/>
              <c:extLst>
                <c:ext xmlns:c15="http://schemas.microsoft.com/office/drawing/2012/chart" uri="{CE6537A1-D6FC-4f65-9D91-7224C49458BB}"/>
                <c:ext xmlns:c16="http://schemas.microsoft.com/office/drawing/2014/chart" uri="{C3380CC4-5D6E-409C-BE32-E72D297353CC}">
                  <c16:uniqueId val="{0000000B-97B3-4DD7-A5E0-C6E1DB37BE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PS!$C$3:$C$8</c:f>
              <c:strCache>
                <c:ptCount val="6"/>
                <c:pt idx="0">
                  <c:v>BYD</c:v>
                </c:pt>
                <c:pt idx="1">
                  <c:v>XPEV</c:v>
                </c:pt>
                <c:pt idx="2">
                  <c:v>NIO</c:v>
                </c:pt>
                <c:pt idx="3">
                  <c:v>Leapmotor</c:v>
                </c:pt>
                <c:pt idx="4">
                  <c:v>Li Auto</c:v>
                </c:pt>
                <c:pt idx="5">
                  <c:v>Tesla</c:v>
                </c:pt>
              </c:strCache>
            </c:strRef>
          </c:cat>
          <c:val>
            <c:numRef>
              <c:f>PS!$E$3:$E$8</c:f>
              <c:numCache>
                <c:formatCode>0.00</c:formatCode>
                <c:ptCount val="6"/>
                <c:pt idx="0">
                  <c:v>3.355</c:v>
                </c:pt>
                <c:pt idx="1">
                  <c:v>3.355</c:v>
                </c:pt>
                <c:pt idx="2">
                  <c:v>3.355</c:v>
                </c:pt>
                <c:pt idx="3">
                  <c:v>3.355</c:v>
                </c:pt>
                <c:pt idx="4">
                  <c:v>3.355</c:v>
                </c:pt>
                <c:pt idx="5">
                  <c:v>3.355</c:v>
                </c:pt>
              </c:numCache>
            </c:numRef>
          </c:val>
          <c:smooth val="0"/>
          <c:extLst>
            <c:ext xmlns:c16="http://schemas.microsoft.com/office/drawing/2014/chart" uri="{C3380CC4-5D6E-409C-BE32-E72D297353CC}">
              <c16:uniqueId val="{0000000C-97B3-4DD7-A5E0-C6E1DB37BEE9}"/>
            </c:ext>
          </c:extLst>
        </c:ser>
        <c:ser>
          <c:idx val="2"/>
          <c:order val="2"/>
          <c:tx>
            <c:strRef>
              <c:f>PS!$F$2</c:f>
              <c:strCache>
                <c:ptCount val="1"/>
                <c:pt idx="0">
                  <c:v>Mean</c:v>
                </c:pt>
              </c:strCache>
            </c:strRef>
          </c:tx>
          <c:spPr>
            <a:ln w="6350" cap="rnd">
              <a:solidFill>
                <a:schemeClr val="accent4">
                  <a:lumMod val="50000"/>
                </a:schemeClr>
              </a:solidFill>
              <a:round/>
            </a:ln>
            <a:effectLst/>
          </c:spPr>
          <c:marker>
            <c:symbol val="none"/>
          </c:marker>
          <c:dLbls>
            <c:dLbl>
              <c:idx val="0"/>
              <c:layout>
                <c:manualLayout>
                  <c:x val="-8.0215365624360352E-2"/>
                  <c:y val="8.9957967027217603E-2"/>
                </c:manualLayout>
              </c:layout>
              <c:tx>
                <c:rich>
                  <a:bodyPr/>
                  <a:lstStyle/>
                  <a:p>
                    <a:fld id="{204A2532-1D1C-4461-A0F5-1B61B40E4F32}" type="SERIESNAME">
                      <a:rPr lang="en-US" altLang="zh-CN"/>
                      <a:pPr/>
                      <a:t>[SERIES NAME]</a:t>
                    </a:fld>
                    <a:r>
                      <a:rPr lang="en-US" altLang="zh-CN"/>
                      <a:t>: 3.33</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97B3-4DD7-A5E0-C6E1DB37BEE9}"/>
                </c:ext>
              </c:extLst>
            </c:dLbl>
            <c:dLbl>
              <c:idx val="1"/>
              <c:delete val="1"/>
              <c:extLst>
                <c:ext xmlns:c15="http://schemas.microsoft.com/office/drawing/2012/chart" uri="{CE6537A1-D6FC-4f65-9D91-7224C49458BB}"/>
                <c:ext xmlns:c16="http://schemas.microsoft.com/office/drawing/2014/chart" uri="{C3380CC4-5D6E-409C-BE32-E72D297353CC}">
                  <c16:uniqueId val="{0000000E-97B3-4DD7-A5E0-C6E1DB37BEE9}"/>
                </c:ext>
              </c:extLst>
            </c:dLbl>
            <c:dLbl>
              <c:idx val="2"/>
              <c:delete val="1"/>
              <c:extLst>
                <c:ext xmlns:c15="http://schemas.microsoft.com/office/drawing/2012/chart" uri="{CE6537A1-D6FC-4f65-9D91-7224C49458BB}"/>
                <c:ext xmlns:c16="http://schemas.microsoft.com/office/drawing/2014/chart" uri="{C3380CC4-5D6E-409C-BE32-E72D297353CC}">
                  <c16:uniqueId val="{0000000F-97B3-4DD7-A5E0-C6E1DB37BEE9}"/>
                </c:ext>
              </c:extLst>
            </c:dLbl>
            <c:dLbl>
              <c:idx val="3"/>
              <c:delete val="1"/>
              <c:extLst>
                <c:ext xmlns:c15="http://schemas.microsoft.com/office/drawing/2012/chart" uri="{CE6537A1-D6FC-4f65-9D91-7224C49458BB}"/>
                <c:ext xmlns:c16="http://schemas.microsoft.com/office/drawing/2014/chart" uri="{C3380CC4-5D6E-409C-BE32-E72D297353CC}">
                  <c16:uniqueId val="{00000010-97B3-4DD7-A5E0-C6E1DB37BEE9}"/>
                </c:ext>
              </c:extLst>
            </c:dLbl>
            <c:dLbl>
              <c:idx val="4"/>
              <c:delete val="1"/>
              <c:extLst>
                <c:ext xmlns:c15="http://schemas.microsoft.com/office/drawing/2012/chart" uri="{CE6537A1-D6FC-4f65-9D91-7224C49458BB}"/>
                <c:ext xmlns:c16="http://schemas.microsoft.com/office/drawing/2014/chart" uri="{C3380CC4-5D6E-409C-BE32-E72D297353CC}">
                  <c16:uniqueId val="{00000011-97B3-4DD7-A5E0-C6E1DB37BEE9}"/>
                </c:ext>
              </c:extLst>
            </c:dLbl>
            <c:dLbl>
              <c:idx val="5"/>
              <c:delete val="1"/>
              <c:extLst>
                <c:ext xmlns:c15="http://schemas.microsoft.com/office/drawing/2012/chart" uri="{CE6537A1-D6FC-4f65-9D91-7224C49458BB}"/>
                <c:ext xmlns:c16="http://schemas.microsoft.com/office/drawing/2014/chart" uri="{C3380CC4-5D6E-409C-BE32-E72D297353CC}">
                  <c16:uniqueId val="{00000012-97B3-4DD7-A5E0-C6E1DB37BE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PS!$C$3:$C$8</c:f>
              <c:strCache>
                <c:ptCount val="6"/>
                <c:pt idx="0">
                  <c:v>BYD</c:v>
                </c:pt>
                <c:pt idx="1">
                  <c:v>XPEV</c:v>
                </c:pt>
                <c:pt idx="2">
                  <c:v>NIO</c:v>
                </c:pt>
                <c:pt idx="3">
                  <c:v>Leapmotor</c:v>
                </c:pt>
                <c:pt idx="4">
                  <c:v>Li Auto</c:v>
                </c:pt>
                <c:pt idx="5">
                  <c:v>Tesla</c:v>
                </c:pt>
              </c:strCache>
            </c:strRef>
          </c:cat>
          <c:val>
            <c:numRef>
              <c:f>PS!$F$3:$F$8</c:f>
              <c:numCache>
                <c:formatCode>0.00</c:formatCode>
                <c:ptCount val="6"/>
                <c:pt idx="0">
                  <c:v>3.3283333333333331</c:v>
                </c:pt>
                <c:pt idx="1">
                  <c:v>3.3283333333333331</c:v>
                </c:pt>
                <c:pt idx="2">
                  <c:v>3.3283333333333331</c:v>
                </c:pt>
                <c:pt idx="3">
                  <c:v>3.3283333333333331</c:v>
                </c:pt>
                <c:pt idx="4">
                  <c:v>3.3283333333333331</c:v>
                </c:pt>
                <c:pt idx="5">
                  <c:v>3.3283333333333331</c:v>
                </c:pt>
              </c:numCache>
            </c:numRef>
          </c:val>
          <c:smooth val="0"/>
          <c:extLst>
            <c:ext xmlns:c16="http://schemas.microsoft.com/office/drawing/2014/chart" uri="{C3380CC4-5D6E-409C-BE32-E72D297353CC}">
              <c16:uniqueId val="{00000013-97B3-4DD7-A5E0-C6E1DB37BEE9}"/>
            </c:ext>
          </c:extLst>
        </c:ser>
        <c:dLbls>
          <c:showLegendKey val="0"/>
          <c:showVal val="1"/>
          <c:showCatName val="0"/>
          <c:showSerName val="0"/>
          <c:showPercent val="0"/>
          <c:showBubbleSize val="0"/>
        </c:dLbls>
        <c:marker val="1"/>
        <c:smooth val="0"/>
        <c:axId val="1292060927"/>
        <c:axId val="1292043039"/>
      </c:lineChart>
      <c:catAx>
        <c:axId val="1292060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zh-CN"/>
          </a:p>
        </c:txPr>
        <c:crossAx val="1292043039"/>
        <c:crosses val="autoZero"/>
        <c:auto val="1"/>
        <c:lblAlgn val="ctr"/>
        <c:lblOffset val="100"/>
        <c:noMultiLvlLbl val="0"/>
      </c:catAx>
      <c:valAx>
        <c:axId val="1292043039"/>
        <c:scaling>
          <c:orientation val="minMax"/>
          <c:max val="5.5"/>
          <c:min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zh-CN"/>
          </a:p>
        </c:txPr>
        <c:crossAx val="129206092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Yuansheng</dc:creator>
  <cp:lastModifiedBy>Hart YS LI</cp:lastModifiedBy>
  <cp:revision>19</cp:revision>
  <cp:lastPrinted>2023-02-25T03:50:00Z</cp:lastPrinted>
  <dcterms:created xsi:type="dcterms:W3CDTF">2023-01-30T16:12:00Z</dcterms:created>
  <dcterms:modified xsi:type="dcterms:W3CDTF">2023-02-25T03:50:00Z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y fmtid="{D5CDD505-2E9C-101B-9397-08002B2CF9AE}" pid="15" name="GrammarlyDocumentId">
    <vt:lpwstr>1bb27a7b7250df9e711865587f139ec3dbb3a6d4210c0f91ee0006b11bbb5153</vt:lpwstr>
  </property>
</Properties>
</file>