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2175" w14:textId="6C8FD6A2" w:rsidR="008669F9" w:rsidRDefault="00000000" w:rsidP="00FD4F96">
      <w:pPr>
        <w:spacing w:line="360" w:lineRule="auto"/>
        <w:jc w:val="both"/>
        <w:rPr>
          <w:b/>
          <w:bCs/>
          <w:color w:val="003300"/>
          <w:sz w:val="36"/>
          <w:szCs w:val="36"/>
        </w:rPr>
      </w:pPr>
      <w:bookmarkStart w:id="0" w:name="OLE_LINK2"/>
      <w:bookmarkStart w:id="1" w:name="OLE_LINK1"/>
      <w:r>
        <w:rPr>
          <w:b/>
          <w:bCs/>
          <w:noProof/>
        </w:rPr>
        <mc:AlternateContent>
          <mc:Choice Requires="wps">
            <w:drawing>
              <wp:anchor distT="0" distB="0" distL="114300" distR="114300" simplePos="0" relativeHeight="251661312" behindDoc="0" locked="0" layoutInCell="1" allowOverlap="1" wp14:anchorId="1E3092D7" wp14:editId="487E0637">
                <wp:simplePos x="0" y="0"/>
                <wp:positionH relativeFrom="page">
                  <wp:posOffset>6123940</wp:posOffset>
                </wp:positionH>
                <wp:positionV relativeFrom="paragraph">
                  <wp:posOffset>0</wp:posOffset>
                </wp:positionV>
                <wp:extent cx="1428115" cy="806450"/>
                <wp:effectExtent l="0" t="0" r="0" b="0"/>
                <wp:wrapSquare wrapText="bothSides"/>
                <wp:docPr id="5" name="Text Box 5"/>
                <wp:cNvGraphicFramePr/>
                <a:graphic xmlns:a="http://schemas.openxmlformats.org/drawingml/2006/main">
                  <a:graphicData uri="http://schemas.microsoft.com/office/word/2010/wordprocessingShape">
                    <wps:wsp>
                      <wps:cNvSpPr txBox="1"/>
                      <wps:spPr bwMode="auto">
                        <a:xfrm>
                          <a:off x="0" y="0"/>
                          <a:ext cx="1428115" cy="806400"/>
                        </a:xfrm>
                        <a:prstGeom prst="rect">
                          <a:avLst/>
                        </a:prstGeom>
                        <a:solidFill>
                          <a:srgbClr val="E2F0D9">
                            <a:alpha val="18824"/>
                          </a:srgbClr>
                        </a:solidFill>
                        <a:ln w="9525">
                          <a:noFill/>
                          <a:miter lim="800000"/>
                        </a:ln>
                      </wps:spPr>
                      <wps:txbx>
                        <w:txbxContent>
                          <w:p w14:paraId="2D4E26DD" w14:textId="77777777" w:rsidR="008669F9" w:rsidRDefault="00000000">
                            <w:r>
                              <w:t>Contact us:</w:t>
                            </w:r>
                          </w:p>
                          <w:p w14:paraId="2A35BDBC" w14:textId="77777777" w:rsidR="008669F9" w:rsidRDefault="00000000">
                            <w:r>
                              <w:t>ibsghk@gmail.com</w:t>
                            </w:r>
                          </w:p>
                          <w:p w14:paraId="6ABC99C7" w14:textId="77777777" w:rsidR="008669F9" w:rsidRDefault="008669F9">
                            <w:pPr>
                              <w:rPr>
                                <w:color w:val="FFFFFF" w:themeColor="background1"/>
                              </w:rPr>
                            </w:pPr>
                          </w:p>
                        </w:txbxContent>
                      </wps:txbx>
                      <wps:bodyPr rot="0" vert="horz" wrap="square" lIns="91440" tIns="45720" rIns="91440" bIns="45720" anchor="t" anchorCtr="0">
                        <a:noAutofit/>
                      </wps:bodyPr>
                    </wps:wsp>
                  </a:graphicData>
                </a:graphic>
              </wp:anchor>
            </w:drawing>
          </mc:Choice>
          <mc:Fallback>
            <w:pict>
              <v:shapetype w14:anchorId="1E3092D7" id="_x0000_t202" coordsize="21600,21600" o:spt="202" path="m,l,21600r21600,l21600,xe">
                <v:stroke joinstyle="miter"/>
                <v:path gradientshapeok="t" o:connecttype="rect"/>
              </v:shapetype>
              <v:shape id="Text Box 5" o:spid="_x0000_s1026" type="#_x0000_t202" style="position:absolute;left:0;text-align:left;margin-left:482.2pt;margin-top:0;width:112.45pt;height:63.5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" fillcolor="#e2f0d9" stroked="f">
                <v:fill opacity="12336f"/>
                <v:textbox>
                  <w:txbxContent>
                    <w:p w14:paraId="2D4E26DD" w14:textId="77777777" w:rsidR="008669F9" w:rsidRDefault="00000000">
                      <w:r>
                        <w:t>Contact us:</w:t>
                      </w:r>
                    </w:p>
                    <w:p w14:paraId="2A35BDBC" w14:textId="77777777" w:rsidR="008669F9" w:rsidRDefault="00000000">
                      <w:r>
                        <w:t>ibsghk@gmail.com</w:t>
                      </w:r>
                    </w:p>
                    <w:p w14:paraId="6ABC99C7" w14:textId="77777777" w:rsidR="008669F9" w:rsidRDefault="008669F9">
                      <w:pPr>
                        <w:rPr>
                          <w:color w:val="FFFFFF" w:themeColor="background1"/>
                        </w:rPr>
                      </w:pPr>
                    </w:p>
                  </w:txbxContent>
                </v:textbox>
                <w10:wrap type="square" anchorx="page"/>
              </v:shape>
            </w:pict>
          </mc:Fallback>
        </mc:AlternateContent>
      </w:r>
      <w:bookmarkStart w:id="2" w:name="_xj1moxk1l321" w:colFirst="0" w:colLast="0"/>
      <w:bookmarkEnd w:id="2"/>
      <w:r w:rsidR="002F1635">
        <w:rPr>
          <w:rFonts w:eastAsiaTheme="minorEastAsia"/>
          <w:b/>
          <w:bCs/>
          <w:color w:val="003300"/>
          <w:sz w:val="36"/>
          <w:szCs w:val="36"/>
        </w:rPr>
        <w:t>More a Bank or More a Tech Company</w:t>
      </w:r>
    </w:p>
    <w:p w14:paraId="6064683E" w14:textId="77777777" w:rsidR="008669F9" w:rsidRDefault="00000000" w:rsidP="00FD4F96">
      <w:pPr>
        <w:spacing w:line="360" w:lineRule="auto"/>
        <w:jc w:val="both"/>
        <w:rPr>
          <w:b/>
          <w:bCs/>
          <w:color w:val="003300"/>
          <w:sz w:val="44"/>
          <w:szCs w:val="44"/>
        </w:rPr>
      </w:pPr>
      <w:r>
        <w:rPr>
          <w:rFonts w:eastAsiaTheme="majorEastAsia"/>
          <w:b/>
          <w:bCs/>
          <w:color w:val="003300"/>
          <w:sz w:val="36"/>
          <w:szCs w:val="36"/>
        </w:rPr>
        <w:t>——</w:t>
      </w:r>
      <w:r>
        <w:rPr>
          <w:rFonts w:eastAsiaTheme="majorEastAsia" w:hint="eastAsia"/>
          <w:b/>
          <w:bCs/>
          <w:color w:val="003300"/>
          <w:sz w:val="36"/>
          <w:szCs w:val="36"/>
        </w:rPr>
        <w:t>A</w:t>
      </w:r>
      <w:r>
        <w:rPr>
          <w:rFonts w:eastAsiaTheme="majorEastAsia"/>
          <w:b/>
          <w:bCs/>
          <w:color w:val="003300"/>
          <w:sz w:val="36"/>
          <w:szCs w:val="36"/>
        </w:rPr>
        <w:t xml:space="preserve"> Case Study of </w:t>
      </w:r>
      <w:r>
        <w:rPr>
          <w:b/>
          <w:bCs/>
          <w:color w:val="003300"/>
          <w:sz w:val="36"/>
          <w:szCs w:val="36"/>
        </w:rPr>
        <w:t>360 DigiTech</w:t>
      </w:r>
    </w:p>
    <w:p w14:paraId="07000385" w14:textId="32A42E55" w:rsidR="008669F9" w:rsidRDefault="00000000" w:rsidP="00FD4F96">
      <w:pPr>
        <w:pStyle w:val="IBSG"/>
        <w:spacing w:line="360" w:lineRule="auto"/>
        <w:jc w:val="both"/>
        <w:rPr>
          <w:sz w:val="36"/>
          <w:szCs w:val="36"/>
        </w:rPr>
      </w:pPr>
      <w:bookmarkStart w:id="3" w:name="_Toc128217487"/>
      <w:r>
        <w:rPr>
          <w:rFonts w:ascii="Times New Roman" w:hAnsi="Times New Roman" w:cs="Times New Roman"/>
          <w:sz w:val="36"/>
          <w:szCs w:val="36"/>
        </w:rPr>
        <w:t>Abstract</w:t>
      </w:r>
      <w:r>
        <w:rPr>
          <w:sz w:val="36"/>
          <w:szCs w:val="36"/>
        </w:rPr>
        <w:t>:</w:t>
      </w:r>
      <w:bookmarkEnd w:id="3"/>
    </w:p>
    <w:p w14:paraId="41A1A6A5" w14:textId="1502DF03" w:rsidR="008669F9" w:rsidRDefault="00000000" w:rsidP="00FD4F96">
      <w:pPr>
        <w:spacing w:line="360" w:lineRule="auto"/>
        <w:jc w:val="both"/>
        <w:rPr>
          <w:sz w:val="28"/>
          <w:szCs w:val="28"/>
        </w:rPr>
      </w:pPr>
      <w:r>
        <w:rPr>
          <w:sz w:val="28"/>
          <w:szCs w:val="28"/>
        </w:rPr>
        <w:t xml:space="preserve">The research paper discussed </w:t>
      </w:r>
      <w:r w:rsidR="002F1635">
        <w:rPr>
          <w:sz w:val="28"/>
          <w:szCs w:val="28"/>
        </w:rPr>
        <w:t>the opportunities and challenges that fintech companies may face during the secondary listing process, including the current situation of China concepts stock and the comparison between different choices they may face during the secondary listing</w:t>
      </w:r>
      <w:r>
        <w:rPr>
          <w:sz w:val="28"/>
          <w:szCs w:val="28"/>
        </w:rPr>
        <w:t xml:space="preserve"> listed in Hong Kong.</w:t>
      </w:r>
      <w:r w:rsidR="005C1E21">
        <w:rPr>
          <w:sz w:val="28"/>
          <w:szCs w:val="28"/>
        </w:rPr>
        <w:t xml:space="preserve"> </w:t>
      </w:r>
      <w:r w:rsidR="005C1E21">
        <w:rPr>
          <w:rFonts w:hint="eastAsia"/>
          <w:sz w:val="28"/>
          <w:szCs w:val="28"/>
        </w:rPr>
        <w:t>The</w:t>
      </w:r>
      <w:r w:rsidR="005C1E21">
        <w:rPr>
          <w:sz w:val="28"/>
          <w:szCs w:val="28"/>
        </w:rPr>
        <w:t xml:space="preserve"> paper discussed the advantages and disadvantages of 360 DigiTech’s choice of conducting secondary listing in the Hong Kong Market</w:t>
      </w:r>
      <w:r w:rsidR="00090D6A">
        <w:rPr>
          <w:sz w:val="28"/>
          <w:szCs w:val="28"/>
        </w:rPr>
        <w:t xml:space="preserve"> </w:t>
      </w:r>
      <w:r w:rsidR="00313334">
        <w:rPr>
          <w:sz w:val="28"/>
          <w:szCs w:val="28"/>
        </w:rPr>
        <w:t>to</w:t>
      </w:r>
      <w:r w:rsidR="00090D6A">
        <w:rPr>
          <w:sz w:val="28"/>
          <w:szCs w:val="28"/>
        </w:rPr>
        <w:t xml:space="preserve"> generate insights.</w:t>
      </w:r>
    </w:p>
    <w:p w14:paraId="7182D531" w14:textId="77777777" w:rsidR="008669F9" w:rsidRDefault="00000000" w:rsidP="00FD4F96">
      <w:pPr>
        <w:tabs>
          <w:tab w:val="left" w:pos="2556"/>
        </w:tabs>
        <w:spacing w:line="360" w:lineRule="auto"/>
        <w:jc w:val="both"/>
        <w:rPr>
          <w:color w:val="003300"/>
          <w:sz w:val="44"/>
          <w:szCs w:val="44"/>
        </w:rPr>
      </w:pPr>
      <w:r>
        <w:br w:type="page"/>
      </w:r>
    </w:p>
    <w:sdt>
      <w:sdtPr>
        <w:rPr>
          <w:rFonts w:ascii="Times New Roman" w:eastAsiaTheme="minorEastAsia" w:hAnsi="Times New Roman" w:cs="Times New Roman"/>
          <w:b/>
          <w:bCs/>
          <w:color w:val="000000" w:themeColor="text1"/>
          <w:sz w:val="36"/>
          <w:szCs w:val="36"/>
          <w:lang w:val="zh-CN"/>
        </w:rPr>
        <w:id w:val="1801804998"/>
        <w:docPartObj>
          <w:docPartGallery w:val="Table of Contents"/>
          <w:docPartUnique/>
        </w:docPartObj>
      </w:sdtPr>
      <w:sdtEndPr>
        <w:rPr>
          <w:b w:val="0"/>
          <w:sz w:val="28"/>
          <w:szCs w:val="24"/>
          <w:lang w:val="en-US"/>
        </w:rPr>
      </w:sdtEndPr>
      <w:sdtContent>
        <w:p w14:paraId="144AFD6D" w14:textId="5F924D8A" w:rsidR="008669F9" w:rsidRPr="007A12BA" w:rsidRDefault="00000000" w:rsidP="007A12BA">
          <w:pPr>
            <w:pStyle w:val="TOC1"/>
            <w:rPr>
              <w:rFonts w:ascii="Times New Roman" w:hAnsi="Times New Roman" w:cs="Times New Roman"/>
              <w:b/>
              <w:color w:val="003300"/>
              <w:kern w:val="2"/>
              <w:sz w:val="36"/>
              <w:szCs w:val="36"/>
            </w:rPr>
          </w:pPr>
          <w:r>
            <w:rPr>
              <w:rFonts w:ascii="Times New Roman" w:hAnsi="Times New Roman" w:cs="Times New Roman"/>
              <w:b/>
              <w:color w:val="003300"/>
              <w:kern w:val="2"/>
              <w:sz w:val="36"/>
              <w:szCs w:val="36"/>
            </w:rPr>
            <w:t>Content:</w:t>
          </w:r>
        </w:p>
        <w:p w14:paraId="0C6871A1" w14:textId="4CA3B0ED" w:rsidR="003B13DD" w:rsidRDefault="00000000">
          <w:pPr>
            <w:pStyle w:val="TOC1"/>
            <w:rPr>
              <w:rFonts w:asciiTheme="minorHAnsi" w:eastAsiaTheme="minorEastAsia" w:hAnsiTheme="minorHAnsi" w:cstheme="minorBidi"/>
              <w:noProof/>
              <w:kern w:val="2"/>
              <w:sz w:val="21"/>
              <w:szCs w:val="22"/>
            </w:rPr>
          </w:pPr>
          <w:r>
            <w:rPr>
              <w:sz w:val="28"/>
              <w:szCs w:val="28"/>
            </w:rPr>
            <w:fldChar w:fldCharType="begin"/>
          </w:r>
          <w:r>
            <w:rPr>
              <w:sz w:val="28"/>
              <w:szCs w:val="28"/>
            </w:rPr>
            <w:instrText xml:space="preserve"> TOC \o "1-3" \h \z \u </w:instrText>
          </w:r>
          <w:r>
            <w:rPr>
              <w:sz w:val="28"/>
              <w:szCs w:val="28"/>
            </w:rPr>
            <w:fldChar w:fldCharType="separate"/>
          </w:r>
          <w:hyperlink w:anchor="_Toc128217487" w:history="1">
            <w:r w:rsidR="003B13DD" w:rsidRPr="001D7A05">
              <w:rPr>
                <w:rStyle w:val="Hyperlink"/>
                <w:rFonts w:ascii="Times New Roman" w:hAnsi="Times New Roman" w:cs="Times New Roman"/>
                <w:noProof/>
              </w:rPr>
              <w:t>Abstract</w:t>
            </w:r>
            <w:r w:rsidR="003B13DD" w:rsidRPr="001D7A05">
              <w:rPr>
                <w:rStyle w:val="Hyperlink"/>
                <w:noProof/>
              </w:rPr>
              <w:t>:</w:t>
            </w:r>
            <w:r w:rsidR="003B13DD">
              <w:rPr>
                <w:noProof/>
                <w:webHidden/>
              </w:rPr>
              <w:tab/>
            </w:r>
            <w:r w:rsidR="003B13DD">
              <w:rPr>
                <w:noProof/>
                <w:webHidden/>
              </w:rPr>
              <w:fldChar w:fldCharType="begin"/>
            </w:r>
            <w:r w:rsidR="003B13DD">
              <w:rPr>
                <w:noProof/>
                <w:webHidden/>
              </w:rPr>
              <w:instrText xml:space="preserve"> PAGEREF _Toc128217487 \h </w:instrText>
            </w:r>
            <w:r w:rsidR="003B13DD">
              <w:rPr>
                <w:noProof/>
                <w:webHidden/>
              </w:rPr>
            </w:r>
            <w:r w:rsidR="003B13DD">
              <w:rPr>
                <w:noProof/>
                <w:webHidden/>
              </w:rPr>
              <w:fldChar w:fldCharType="separate"/>
            </w:r>
            <w:r w:rsidR="003B13DD">
              <w:rPr>
                <w:noProof/>
                <w:webHidden/>
              </w:rPr>
              <w:t>1</w:t>
            </w:r>
            <w:r w:rsidR="003B13DD">
              <w:rPr>
                <w:noProof/>
                <w:webHidden/>
              </w:rPr>
              <w:fldChar w:fldCharType="end"/>
            </w:r>
          </w:hyperlink>
        </w:p>
        <w:p w14:paraId="1DDBD368" w14:textId="0A57B0EB" w:rsidR="003B13DD" w:rsidRDefault="003B13DD">
          <w:pPr>
            <w:pStyle w:val="TOC1"/>
            <w:rPr>
              <w:rFonts w:asciiTheme="minorHAnsi" w:eastAsiaTheme="minorEastAsia" w:hAnsiTheme="minorHAnsi" w:cstheme="minorBidi"/>
              <w:noProof/>
              <w:kern w:val="2"/>
              <w:sz w:val="21"/>
              <w:szCs w:val="22"/>
            </w:rPr>
          </w:pPr>
          <w:hyperlink w:anchor="_Toc128217488" w:history="1">
            <w:r w:rsidRPr="001D7A05">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_Toc128217488 \h </w:instrText>
            </w:r>
            <w:r>
              <w:rPr>
                <w:noProof/>
                <w:webHidden/>
              </w:rPr>
            </w:r>
            <w:r>
              <w:rPr>
                <w:noProof/>
                <w:webHidden/>
              </w:rPr>
              <w:fldChar w:fldCharType="separate"/>
            </w:r>
            <w:r>
              <w:rPr>
                <w:noProof/>
                <w:webHidden/>
              </w:rPr>
              <w:t>4</w:t>
            </w:r>
            <w:r>
              <w:rPr>
                <w:noProof/>
                <w:webHidden/>
              </w:rPr>
              <w:fldChar w:fldCharType="end"/>
            </w:r>
          </w:hyperlink>
        </w:p>
        <w:p w14:paraId="1549ECD0" w14:textId="4300D52E" w:rsidR="003B13DD" w:rsidRDefault="003B13DD">
          <w:pPr>
            <w:pStyle w:val="TOC1"/>
            <w:rPr>
              <w:rFonts w:asciiTheme="minorHAnsi" w:eastAsiaTheme="minorEastAsia" w:hAnsiTheme="minorHAnsi" w:cstheme="minorBidi"/>
              <w:noProof/>
              <w:kern w:val="2"/>
              <w:sz w:val="21"/>
              <w:szCs w:val="22"/>
            </w:rPr>
          </w:pPr>
          <w:hyperlink w:anchor="_Toc128217489" w:history="1">
            <w:r w:rsidRPr="001D7A05">
              <w:rPr>
                <w:rStyle w:val="Hyperlink"/>
                <w:rFonts w:ascii="Times New Roman" w:hAnsi="Times New Roman" w:cs="Times New Roman"/>
                <w:noProof/>
              </w:rPr>
              <w:t>2. Overview of Fintech Shares</w:t>
            </w:r>
            <w:r>
              <w:rPr>
                <w:noProof/>
                <w:webHidden/>
              </w:rPr>
              <w:tab/>
            </w:r>
            <w:r>
              <w:rPr>
                <w:noProof/>
                <w:webHidden/>
              </w:rPr>
              <w:fldChar w:fldCharType="begin"/>
            </w:r>
            <w:r>
              <w:rPr>
                <w:noProof/>
                <w:webHidden/>
              </w:rPr>
              <w:instrText xml:space="preserve"> PAGEREF _Toc128217489 \h </w:instrText>
            </w:r>
            <w:r>
              <w:rPr>
                <w:noProof/>
                <w:webHidden/>
              </w:rPr>
            </w:r>
            <w:r>
              <w:rPr>
                <w:noProof/>
                <w:webHidden/>
              </w:rPr>
              <w:fldChar w:fldCharType="separate"/>
            </w:r>
            <w:r>
              <w:rPr>
                <w:noProof/>
                <w:webHidden/>
              </w:rPr>
              <w:t>4</w:t>
            </w:r>
            <w:r>
              <w:rPr>
                <w:noProof/>
                <w:webHidden/>
              </w:rPr>
              <w:fldChar w:fldCharType="end"/>
            </w:r>
          </w:hyperlink>
        </w:p>
        <w:p w14:paraId="500EAB99" w14:textId="00A155F9" w:rsidR="003B13DD" w:rsidRDefault="003B13DD">
          <w:pPr>
            <w:pStyle w:val="TOC2"/>
            <w:rPr>
              <w:rFonts w:asciiTheme="minorHAnsi" w:eastAsiaTheme="minorEastAsia" w:hAnsiTheme="minorHAnsi" w:cstheme="minorBidi"/>
              <w:noProof/>
              <w:kern w:val="2"/>
              <w:sz w:val="21"/>
              <w:szCs w:val="22"/>
            </w:rPr>
          </w:pPr>
          <w:hyperlink w:anchor="_Toc128217490" w:history="1">
            <w:r w:rsidRPr="001D7A05">
              <w:rPr>
                <w:rStyle w:val="Hyperlink"/>
                <w:rFonts w:ascii="Times New Roman" w:hAnsi="Times New Roman" w:cs="Times New Roman"/>
                <w:noProof/>
              </w:rPr>
              <w:t>1.1 The economic resurgence:</w:t>
            </w:r>
            <w:r>
              <w:rPr>
                <w:noProof/>
                <w:webHidden/>
              </w:rPr>
              <w:tab/>
            </w:r>
            <w:r>
              <w:rPr>
                <w:noProof/>
                <w:webHidden/>
              </w:rPr>
              <w:fldChar w:fldCharType="begin"/>
            </w:r>
            <w:r>
              <w:rPr>
                <w:noProof/>
                <w:webHidden/>
              </w:rPr>
              <w:instrText xml:space="preserve"> PAGEREF _Toc128217490 \h </w:instrText>
            </w:r>
            <w:r>
              <w:rPr>
                <w:noProof/>
                <w:webHidden/>
              </w:rPr>
            </w:r>
            <w:r>
              <w:rPr>
                <w:noProof/>
                <w:webHidden/>
              </w:rPr>
              <w:fldChar w:fldCharType="separate"/>
            </w:r>
            <w:r>
              <w:rPr>
                <w:noProof/>
                <w:webHidden/>
              </w:rPr>
              <w:t>4</w:t>
            </w:r>
            <w:r>
              <w:rPr>
                <w:noProof/>
                <w:webHidden/>
              </w:rPr>
              <w:fldChar w:fldCharType="end"/>
            </w:r>
          </w:hyperlink>
        </w:p>
        <w:p w14:paraId="5DD9E3B9" w14:textId="6C184F11" w:rsidR="003B13DD" w:rsidRDefault="003B13DD">
          <w:pPr>
            <w:pStyle w:val="TOC2"/>
            <w:rPr>
              <w:rFonts w:asciiTheme="minorHAnsi" w:eastAsiaTheme="minorEastAsia" w:hAnsiTheme="minorHAnsi" w:cstheme="minorBidi"/>
              <w:noProof/>
              <w:kern w:val="2"/>
              <w:sz w:val="21"/>
              <w:szCs w:val="22"/>
            </w:rPr>
          </w:pPr>
          <w:hyperlink w:anchor="_Toc128217491" w:history="1">
            <w:r w:rsidRPr="001D7A05">
              <w:rPr>
                <w:rStyle w:val="Hyperlink"/>
                <w:rFonts w:ascii="Times New Roman" w:hAnsi="Times New Roman" w:cs="Times New Roman"/>
                <w:noProof/>
              </w:rPr>
              <w:t>1.2 The succeed in serving consumers and small business owners to meet their financing needs.</w:t>
            </w:r>
            <w:r>
              <w:rPr>
                <w:noProof/>
                <w:webHidden/>
              </w:rPr>
              <w:tab/>
            </w:r>
            <w:r>
              <w:rPr>
                <w:noProof/>
                <w:webHidden/>
              </w:rPr>
              <w:fldChar w:fldCharType="begin"/>
            </w:r>
            <w:r>
              <w:rPr>
                <w:noProof/>
                <w:webHidden/>
              </w:rPr>
              <w:instrText xml:space="preserve"> PAGEREF _Toc128217491 \h </w:instrText>
            </w:r>
            <w:r>
              <w:rPr>
                <w:noProof/>
                <w:webHidden/>
              </w:rPr>
            </w:r>
            <w:r>
              <w:rPr>
                <w:noProof/>
                <w:webHidden/>
              </w:rPr>
              <w:fldChar w:fldCharType="separate"/>
            </w:r>
            <w:r>
              <w:rPr>
                <w:noProof/>
                <w:webHidden/>
              </w:rPr>
              <w:t>5</w:t>
            </w:r>
            <w:r>
              <w:rPr>
                <w:noProof/>
                <w:webHidden/>
              </w:rPr>
              <w:fldChar w:fldCharType="end"/>
            </w:r>
          </w:hyperlink>
        </w:p>
        <w:p w14:paraId="0B021391" w14:textId="7F34B1F4" w:rsidR="003B13DD" w:rsidRDefault="003B13DD">
          <w:pPr>
            <w:pStyle w:val="TOC2"/>
            <w:rPr>
              <w:rFonts w:asciiTheme="minorHAnsi" w:eastAsiaTheme="minorEastAsia" w:hAnsiTheme="minorHAnsi" w:cstheme="minorBidi"/>
              <w:noProof/>
              <w:kern w:val="2"/>
              <w:sz w:val="21"/>
              <w:szCs w:val="22"/>
            </w:rPr>
          </w:pPr>
          <w:hyperlink w:anchor="_Toc128217492" w:history="1">
            <w:r w:rsidRPr="001D7A05">
              <w:rPr>
                <w:rStyle w:val="Hyperlink"/>
                <w:rFonts w:ascii="Times New Roman" w:hAnsi="Times New Roman" w:cs="Times New Roman"/>
                <w:noProof/>
              </w:rPr>
              <w:t>1.3 Industry regulatory uncertainty is weakening</w:t>
            </w:r>
            <w:r>
              <w:rPr>
                <w:noProof/>
                <w:webHidden/>
              </w:rPr>
              <w:tab/>
            </w:r>
            <w:r>
              <w:rPr>
                <w:noProof/>
                <w:webHidden/>
              </w:rPr>
              <w:fldChar w:fldCharType="begin"/>
            </w:r>
            <w:r>
              <w:rPr>
                <w:noProof/>
                <w:webHidden/>
              </w:rPr>
              <w:instrText xml:space="preserve"> PAGEREF _Toc128217492 \h </w:instrText>
            </w:r>
            <w:r>
              <w:rPr>
                <w:noProof/>
                <w:webHidden/>
              </w:rPr>
            </w:r>
            <w:r>
              <w:rPr>
                <w:noProof/>
                <w:webHidden/>
              </w:rPr>
              <w:fldChar w:fldCharType="separate"/>
            </w:r>
            <w:r>
              <w:rPr>
                <w:noProof/>
                <w:webHidden/>
              </w:rPr>
              <w:t>5</w:t>
            </w:r>
            <w:r>
              <w:rPr>
                <w:noProof/>
                <w:webHidden/>
              </w:rPr>
              <w:fldChar w:fldCharType="end"/>
            </w:r>
          </w:hyperlink>
        </w:p>
        <w:p w14:paraId="69B54F9B" w14:textId="2B899103" w:rsidR="003B13DD" w:rsidRDefault="003B13DD">
          <w:pPr>
            <w:pStyle w:val="TOC1"/>
            <w:rPr>
              <w:rFonts w:asciiTheme="minorHAnsi" w:eastAsiaTheme="minorEastAsia" w:hAnsiTheme="minorHAnsi" w:cstheme="minorBidi"/>
              <w:noProof/>
              <w:kern w:val="2"/>
              <w:sz w:val="21"/>
              <w:szCs w:val="22"/>
            </w:rPr>
          </w:pPr>
          <w:hyperlink w:anchor="_Toc128217493" w:history="1">
            <w:r w:rsidRPr="001D7A05">
              <w:rPr>
                <w:rStyle w:val="Hyperlink"/>
                <w:rFonts w:ascii="Times New Roman" w:hAnsi="Times New Roman" w:cs="Times New Roman"/>
                <w:noProof/>
              </w:rPr>
              <w:t>3. Advantages of H-share Issuing</w:t>
            </w:r>
            <w:r>
              <w:rPr>
                <w:noProof/>
                <w:webHidden/>
              </w:rPr>
              <w:tab/>
            </w:r>
            <w:r>
              <w:rPr>
                <w:noProof/>
                <w:webHidden/>
              </w:rPr>
              <w:fldChar w:fldCharType="begin"/>
            </w:r>
            <w:r>
              <w:rPr>
                <w:noProof/>
                <w:webHidden/>
              </w:rPr>
              <w:instrText xml:space="preserve"> PAGEREF _Toc128217493 \h </w:instrText>
            </w:r>
            <w:r>
              <w:rPr>
                <w:noProof/>
                <w:webHidden/>
              </w:rPr>
            </w:r>
            <w:r>
              <w:rPr>
                <w:noProof/>
                <w:webHidden/>
              </w:rPr>
              <w:fldChar w:fldCharType="separate"/>
            </w:r>
            <w:r>
              <w:rPr>
                <w:noProof/>
                <w:webHidden/>
              </w:rPr>
              <w:t>6</w:t>
            </w:r>
            <w:r>
              <w:rPr>
                <w:noProof/>
                <w:webHidden/>
              </w:rPr>
              <w:fldChar w:fldCharType="end"/>
            </w:r>
          </w:hyperlink>
        </w:p>
        <w:p w14:paraId="6BBBD468" w14:textId="55FE1566" w:rsidR="003B13DD" w:rsidRDefault="003B13DD">
          <w:pPr>
            <w:pStyle w:val="TOC1"/>
            <w:rPr>
              <w:rFonts w:asciiTheme="minorHAnsi" w:eastAsiaTheme="minorEastAsia" w:hAnsiTheme="minorHAnsi" w:cstheme="minorBidi"/>
              <w:noProof/>
              <w:kern w:val="2"/>
              <w:sz w:val="21"/>
              <w:szCs w:val="22"/>
            </w:rPr>
          </w:pPr>
          <w:hyperlink w:anchor="_Toc128217494" w:history="1">
            <w:r w:rsidRPr="001D7A05">
              <w:rPr>
                <w:rStyle w:val="Hyperlink"/>
                <w:rFonts w:ascii="Times New Roman" w:hAnsi="Times New Roman" w:cs="Times New Roman"/>
                <w:noProof/>
              </w:rPr>
              <w:t>4. Case Study of 360DigiTech</w:t>
            </w:r>
            <w:r>
              <w:rPr>
                <w:noProof/>
                <w:webHidden/>
              </w:rPr>
              <w:tab/>
            </w:r>
            <w:r>
              <w:rPr>
                <w:noProof/>
                <w:webHidden/>
              </w:rPr>
              <w:fldChar w:fldCharType="begin"/>
            </w:r>
            <w:r>
              <w:rPr>
                <w:noProof/>
                <w:webHidden/>
              </w:rPr>
              <w:instrText xml:space="preserve"> PAGEREF _Toc128217494 \h </w:instrText>
            </w:r>
            <w:r>
              <w:rPr>
                <w:noProof/>
                <w:webHidden/>
              </w:rPr>
            </w:r>
            <w:r>
              <w:rPr>
                <w:noProof/>
                <w:webHidden/>
              </w:rPr>
              <w:fldChar w:fldCharType="separate"/>
            </w:r>
            <w:r>
              <w:rPr>
                <w:noProof/>
                <w:webHidden/>
              </w:rPr>
              <w:t>9</w:t>
            </w:r>
            <w:r>
              <w:rPr>
                <w:noProof/>
                <w:webHidden/>
              </w:rPr>
              <w:fldChar w:fldCharType="end"/>
            </w:r>
          </w:hyperlink>
        </w:p>
        <w:p w14:paraId="1FD09797" w14:textId="6983B68E" w:rsidR="003B13DD" w:rsidRDefault="003B13DD">
          <w:pPr>
            <w:pStyle w:val="TOC2"/>
            <w:rPr>
              <w:rFonts w:asciiTheme="minorHAnsi" w:eastAsiaTheme="minorEastAsia" w:hAnsiTheme="minorHAnsi" w:cstheme="minorBidi"/>
              <w:noProof/>
              <w:kern w:val="2"/>
              <w:sz w:val="21"/>
              <w:szCs w:val="22"/>
            </w:rPr>
          </w:pPr>
          <w:hyperlink w:anchor="_Toc128217495" w:history="1">
            <w:r w:rsidRPr="001D7A05">
              <w:rPr>
                <w:rStyle w:val="Hyperlink"/>
                <w:rFonts w:ascii="Times New Roman" w:hAnsi="Times New Roman" w:cs="Times New Roman"/>
                <w:noProof/>
              </w:rPr>
              <w:t>4.1 Background information:</w:t>
            </w:r>
            <w:r>
              <w:rPr>
                <w:noProof/>
                <w:webHidden/>
              </w:rPr>
              <w:tab/>
            </w:r>
            <w:r>
              <w:rPr>
                <w:noProof/>
                <w:webHidden/>
              </w:rPr>
              <w:fldChar w:fldCharType="begin"/>
            </w:r>
            <w:r>
              <w:rPr>
                <w:noProof/>
                <w:webHidden/>
              </w:rPr>
              <w:instrText xml:space="preserve"> PAGEREF _Toc128217495 \h </w:instrText>
            </w:r>
            <w:r>
              <w:rPr>
                <w:noProof/>
                <w:webHidden/>
              </w:rPr>
            </w:r>
            <w:r>
              <w:rPr>
                <w:noProof/>
                <w:webHidden/>
              </w:rPr>
              <w:fldChar w:fldCharType="separate"/>
            </w:r>
            <w:r>
              <w:rPr>
                <w:noProof/>
                <w:webHidden/>
              </w:rPr>
              <w:t>9</w:t>
            </w:r>
            <w:r>
              <w:rPr>
                <w:noProof/>
                <w:webHidden/>
              </w:rPr>
              <w:fldChar w:fldCharType="end"/>
            </w:r>
          </w:hyperlink>
        </w:p>
        <w:p w14:paraId="20542E6F" w14:textId="6AFF7E6D" w:rsidR="003B13DD" w:rsidRDefault="003B13DD">
          <w:pPr>
            <w:pStyle w:val="TOC3"/>
            <w:tabs>
              <w:tab w:val="right" w:leader="dot" w:pos="9016"/>
            </w:tabs>
            <w:rPr>
              <w:rFonts w:asciiTheme="minorHAnsi" w:eastAsiaTheme="minorEastAsia" w:hAnsiTheme="minorHAnsi" w:cstheme="minorBidi"/>
              <w:noProof/>
              <w:kern w:val="2"/>
              <w:sz w:val="21"/>
              <w:szCs w:val="22"/>
            </w:rPr>
          </w:pPr>
          <w:hyperlink w:anchor="_Toc128217496" w:history="1">
            <w:r w:rsidRPr="001D7A05">
              <w:rPr>
                <w:rStyle w:val="Hyperlink"/>
                <w:rFonts w:ascii="Times New Roman" w:hAnsi="Times New Roman" w:cs="Times New Roman"/>
                <w:bCs/>
                <w:noProof/>
              </w:rPr>
              <w:t>4.1.1 Positioning and value of the business</w:t>
            </w:r>
            <w:r>
              <w:rPr>
                <w:noProof/>
                <w:webHidden/>
              </w:rPr>
              <w:tab/>
            </w:r>
            <w:r>
              <w:rPr>
                <w:noProof/>
                <w:webHidden/>
              </w:rPr>
              <w:fldChar w:fldCharType="begin"/>
            </w:r>
            <w:r>
              <w:rPr>
                <w:noProof/>
                <w:webHidden/>
              </w:rPr>
              <w:instrText xml:space="preserve"> PAGEREF _Toc128217496 \h </w:instrText>
            </w:r>
            <w:r>
              <w:rPr>
                <w:noProof/>
                <w:webHidden/>
              </w:rPr>
            </w:r>
            <w:r>
              <w:rPr>
                <w:noProof/>
                <w:webHidden/>
              </w:rPr>
              <w:fldChar w:fldCharType="separate"/>
            </w:r>
            <w:r>
              <w:rPr>
                <w:noProof/>
                <w:webHidden/>
              </w:rPr>
              <w:t>9</w:t>
            </w:r>
            <w:r>
              <w:rPr>
                <w:noProof/>
                <w:webHidden/>
              </w:rPr>
              <w:fldChar w:fldCharType="end"/>
            </w:r>
          </w:hyperlink>
        </w:p>
        <w:p w14:paraId="5886231A" w14:textId="719EB569" w:rsidR="003B13DD" w:rsidRDefault="003B13DD">
          <w:pPr>
            <w:pStyle w:val="TOC3"/>
            <w:tabs>
              <w:tab w:val="right" w:leader="dot" w:pos="9016"/>
            </w:tabs>
            <w:rPr>
              <w:rFonts w:asciiTheme="minorHAnsi" w:eastAsiaTheme="minorEastAsia" w:hAnsiTheme="minorHAnsi" w:cstheme="minorBidi"/>
              <w:noProof/>
              <w:kern w:val="2"/>
              <w:sz w:val="21"/>
              <w:szCs w:val="22"/>
            </w:rPr>
          </w:pPr>
          <w:hyperlink w:anchor="_Toc128217497" w:history="1">
            <w:r w:rsidRPr="001D7A05">
              <w:rPr>
                <w:rStyle w:val="Hyperlink"/>
                <w:rFonts w:ascii="Times New Roman" w:hAnsi="Times New Roman" w:cs="Times New Roman"/>
                <w:bCs/>
                <w:noProof/>
              </w:rPr>
              <w:t>4.1.2 History of development</w:t>
            </w:r>
            <w:r>
              <w:rPr>
                <w:noProof/>
                <w:webHidden/>
              </w:rPr>
              <w:tab/>
            </w:r>
            <w:r>
              <w:rPr>
                <w:noProof/>
                <w:webHidden/>
              </w:rPr>
              <w:fldChar w:fldCharType="begin"/>
            </w:r>
            <w:r>
              <w:rPr>
                <w:noProof/>
                <w:webHidden/>
              </w:rPr>
              <w:instrText xml:space="preserve"> PAGEREF _Toc128217497 \h </w:instrText>
            </w:r>
            <w:r>
              <w:rPr>
                <w:noProof/>
                <w:webHidden/>
              </w:rPr>
            </w:r>
            <w:r>
              <w:rPr>
                <w:noProof/>
                <w:webHidden/>
              </w:rPr>
              <w:fldChar w:fldCharType="separate"/>
            </w:r>
            <w:r>
              <w:rPr>
                <w:noProof/>
                <w:webHidden/>
              </w:rPr>
              <w:t>10</w:t>
            </w:r>
            <w:r>
              <w:rPr>
                <w:noProof/>
                <w:webHidden/>
              </w:rPr>
              <w:fldChar w:fldCharType="end"/>
            </w:r>
          </w:hyperlink>
        </w:p>
        <w:p w14:paraId="2CFD80ED" w14:textId="22510C4B" w:rsidR="003B13DD" w:rsidRDefault="003B13DD">
          <w:pPr>
            <w:pStyle w:val="TOC3"/>
            <w:tabs>
              <w:tab w:val="right" w:leader="dot" w:pos="9016"/>
            </w:tabs>
            <w:rPr>
              <w:rFonts w:asciiTheme="minorHAnsi" w:eastAsiaTheme="minorEastAsia" w:hAnsiTheme="minorHAnsi" w:cstheme="minorBidi"/>
              <w:noProof/>
              <w:kern w:val="2"/>
              <w:sz w:val="21"/>
              <w:szCs w:val="22"/>
            </w:rPr>
          </w:pPr>
          <w:hyperlink w:anchor="_Toc128217498" w:history="1">
            <w:r w:rsidRPr="001D7A05">
              <w:rPr>
                <w:rStyle w:val="Hyperlink"/>
                <w:rFonts w:ascii="Times New Roman" w:hAnsi="Times New Roman" w:cs="Times New Roman"/>
                <w:bCs/>
                <w:noProof/>
              </w:rPr>
              <w:t>4.1.3 Products and services</w:t>
            </w:r>
            <w:r>
              <w:rPr>
                <w:noProof/>
                <w:webHidden/>
              </w:rPr>
              <w:tab/>
            </w:r>
            <w:r>
              <w:rPr>
                <w:noProof/>
                <w:webHidden/>
              </w:rPr>
              <w:fldChar w:fldCharType="begin"/>
            </w:r>
            <w:r>
              <w:rPr>
                <w:noProof/>
                <w:webHidden/>
              </w:rPr>
              <w:instrText xml:space="preserve"> PAGEREF _Toc128217498 \h </w:instrText>
            </w:r>
            <w:r>
              <w:rPr>
                <w:noProof/>
                <w:webHidden/>
              </w:rPr>
            </w:r>
            <w:r>
              <w:rPr>
                <w:noProof/>
                <w:webHidden/>
              </w:rPr>
              <w:fldChar w:fldCharType="separate"/>
            </w:r>
            <w:r>
              <w:rPr>
                <w:noProof/>
                <w:webHidden/>
              </w:rPr>
              <w:t>11</w:t>
            </w:r>
            <w:r>
              <w:rPr>
                <w:noProof/>
                <w:webHidden/>
              </w:rPr>
              <w:fldChar w:fldCharType="end"/>
            </w:r>
          </w:hyperlink>
        </w:p>
        <w:p w14:paraId="1447CDD5" w14:textId="3FBEFB6D" w:rsidR="003B13DD" w:rsidRDefault="003B13DD">
          <w:pPr>
            <w:pStyle w:val="TOC3"/>
            <w:tabs>
              <w:tab w:val="right" w:leader="dot" w:pos="9016"/>
            </w:tabs>
            <w:rPr>
              <w:rFonts w:asciiTheme="minorHAnsi" w:eastAsiaTheme="minorEastAsia" w:hAnsiTheme="minorHAnsi" w:cstheme="minorBidi"/>
              <w:noProof/>
              <w:kern w:val="2"/>
              <w:sz w:val="21"/>
              <w:szCs w:val="22"/>
            </w:rPr>
          </w:pPr>
          <w:hyperlink w:anchor="_Toc128217499" w:history="1">
            <w:r w:rsidRPr="001D7A05">
              <w:rPr>
                <w:rStyle w:val="Hyperlink"/>
                <w:rFonts w:ascii="Times New Roman" w:hAnsi="Times New Roman" w:cs="Times New Roman"/>
                <w:bCs/>
                <w:noProof/>
              </w:rPr>
              <w:t>4.1.4 operation under the combination of light-asset as well as heavy-asset model:</w:t>
            </w:r>
            <w:r>
              <w:rPr>
                <w:noProof/>
                <w:webHidden/>
              </w:rPr>
              <w:tab/>
            </w:r>
            <w:r>
              <w:rPr>
                <w:noProof/>
                <w:webHidden/>
              </w:rPr>
              <w:fldChar w:fldCharType="begin"/>
            </w:r>
            <w:r>
              <w:rPr>
                <w:noProof/>
                <w:webHidden/>
              </w:rPr>
              <w:instrText xml:space="preserve"> PAGEREF _Toc128217499 \h </w:instrText>
            </w:r>
            <w:r>
              <w:rPr>
                <w:noProof/>
                <w:webHidden/>
              </w:rPr>
            </w:r>
            <w:r>
              <w:rPr>
                <w:noProof/>
                <w:webHidden/>
              </w:rPr>
              <w:fldChar w:fldCharType="separate"/>
            </w:r>
            <w:r>
              <w:rPr>
                <w:noProof/>
                <w:webHidden/>
              </w:rPr>
              <w:t>13</w:t>
            </w:r>
            <w:r>
              <w:rPr>
                <w:noProof/>
                <w:webHidden/>
              </w:rPr>
              <w:fldChar w:fldCharType="end"/>
            </w:r>
          </w:hyperlink>
        </w:p>
        <w:p w14:paraId="21B00DAB" w14:textId="1A588758" w:rsidR="003B13DD" w:rsidRDefault="003B13DD">
          <w:pPr>
            <w:pStyle w:val="TOC3"/>
            <w:tabs>
              <w:tab w:val="right" w:leader="dot" w:pos="9016"/>
            </w:tabs>
            <w:rPr>
              <w:rFonts w:asciiTheme="minorHAnsi" w:eastAsiaTheme="minorEastAsia" w:hAnsiTheme="minorHAnsi" w:cstheme="minorBidi"/>
              <w:noProof/>
              <w:kern w:val="2"/>
              <w:sz w:val="21"/>
              <w:szCs w:val="22"/>
            </w:rPr>
          </w:pPr>
          <w:hyperlink w:anchor="_Toc128217500" w:history="1">
            <w:r w:rsidRPr="001D7A05">
              <w:rPr>
                <w:rStyle w:val="Hyperlink"/>
                <w:rFonts w:ascii="Times New Roman" w:hAnsi="Times New Roman" w:cs="Times New Roman"/>
                <w:bCs/>
                <w:noProof/>
              </w:rPr>
              <w:t>4.1.5 Focusing on Consumer loan and SME loans</w:t>
            </w:r>
            <w:r>
              <w:rPr>
                <w:noProof/>
                <w:webHidden/>
              </w:rPr>
              <w:tab/>
            </w:r>
            <w:r>
              <w:rPr>
                <w:noProof/>
                <w:webHidden/>
              </w:rPr>
              <w:fldChar w:fldCharType="begin"/>
            </w:r>
            <w:r>
              <w:rPr>
                <w:noProof/>
                <w:webHidden/>
              </w:rPr>
              <w:instrText xml:space="preserve"> PAGEREF _Toc128217500 \h </w:instrText>
            </w:r>
            <w:r>
              <w:rPr>
                <w:noProof/>
                <w:webHidden/>
              </w:rPr>
            </w:r>
            <w:r>
              <w:rPr>
                <w:noProof/>
                <w:webHidden/>
              </w:rPr>
              <w:fldChar w:fldCharType="separate"/>
            </w:r>
            <w:r>
              <w:rPr>
                <w:noProof/>
                <w:webHidden/>
              </w:rPr>
              <w:t>13</w:t>
            </w:r>
            <w:r>
              <w:rPr>
                <w:noProof/>
                <w:webHidden/>
              </w:rPr>
              <w:fldChar w:fldCharType="end"/>
            </w:r>
          </w:hyperlink>
        </w:p>
        <w:p w14:paraId="7A090FD1" w14:textId="13EDA8D7" w:rsidR="003B13DD" w:rsidRDefault="003B13DD">
          <w:pPr>
            <w:pStyle w:val="TOC2"/>
            <w:rPr>
              <w:rFonts w:asciiTheme="minorHAnsi" w:eastAsiaTheme="minorEastAsia" w:hAnsiTheme="minorHAnsi" w:cstheme="minorBidi"/>
              <w:noProof/>
              <w:kern w:val="2"/>
              <w:sz w:val="21"/>
              <w:szCs w:val="22"/>
            </w:rPr>
          </w:pPr>
          <w:hyperlink w:anchor="_Toc128217501" w:history="1">
            <w:r w:rsidRPr="001D7A05">
              <w:rPr>
                <w:rStyle w:val="Hyperlink"/>
                <w:rFonts w:ascii="Times New Roman" w:hAnsi="Times New Roman" w:cs="Times New Roman"/>
                <w:noProof/>
              </w:rPr>
              <w:t>4.2. Risks and Challenges</w:t>
            </w:r>
            <w:r>
              <w:rPr>
                <w:noProof/>
                <w:webHidden/>
              </w:rPr>
              <w:tab/>
            </w:r>
            <w:r>
              <w:rPr>
                <w:noProof/>
                <w:webHidden/>
              </w:rPr>
              <w:fldChar w:fldCharType="begin"/>
            </w:r>
            <w:r>
              <w:rPr>
                <w:noProof/>
                <w:webHidden/>
              </w:rPr>
              <w:instrText xml:space="preserve"> PAGEREF _Toc128217501 \h </w:instrText>
            </w:r>
            <w:r>
              <w:rPr>
                <w:noProof/>
                <w:webHidden/>
              </w:rPr>
            </w:r>
            <w:r>
              <w:rPr>
                <w:noProof/>
                <w:webHidden/>
              </w:rPr>
              <w:fldChar w:fldCharType="separate"/>
            </w:r>
            <w:r>
              <w:rPr>
                <w:noProof/>
                <w:webHidden/>
              </w:rPr>
              <w:t>14</w:t>
            </w:r>
            <w:r>
              <w:rPr>
                <w:noProof/>
                <w:webHidden/>
              </w:rPr>
              <w:fldChar w:fldCharType="end"/>
            </w:r>
          </w:hyperlink>
        </w:p>
        <w:p w14:paraId="48B0B5B1" w14:textId="1B5B85BF" w:rsidR="003B13DD" w:rsidRDefault="003B13DD">
          <w:pPr>
            <w:pStyle w:val="TOC3"/>
            <w:tabs>
              <w:tab w:val="right" w:leader="dot" w:pos="9016"/>
            </w:tabs>
            <w:rPr>
              <w:rFonts w:asciiTheme="minorHAnsi" w:eastAsiaTheme="minorEastAsia" w:hAnsiTheme="minorHAnsi" w:cstheme="minorBidi"/>
              <w:noProof/>
              <w:kern w:val="2"/>
              <w:sz w:val="21"/>
              <w:szCs w:val="22"/>
            </w:rPr>
          </w:pPr>
          <w:hyperlink w:anchor="_Toc128217502" w:history="1">
            <w:r w:rsidRPr="001D7A05">
              <w:rPr>
                <w:rStyle w:val="Hyperlink"/>
                <w:rFonts w:ascii="Times New Roman" w:hAnsi="Times New Roman" w:cs="Times New Roman"/>
                <w:bCs/>
                <w:noProof/>
              </w:rPr>
              <w:t>4.2.1 Operational risks</w:t>
            </w:r>
            <w:r>
              <w:rPr>
                <w:noProof/>
                <w:webHidden/>
              </w:rPr>
              <w:tab/>
            </w:r>
            <w:r>
              <w:rPr>
                <w:noProof/>
                <w:webHidden/>
              </w:rPr>
              <w:fldChar w:fldCharType="begin"/>
            </w:r>
            <w:r>
              <w:rPr>
                <w:noProof/>
                <w:webHidden/>
              </w:rPr>
              <w:instrText xml:space="preserve"> PAGEREF _Toc128217502 \h </w:instrText>
            </w:r>
            <w:r>
              <w:rPr>
                <w:noProof/>
                <w:webHidden/>
              </w:rPr>
            </w:r>
            <w:r>
              <w:rPr>
                <w:noProof/>
                <w:webHidden/>
              </w:rPr>
              <w:fldChar w:fldCharType="separate"/>
            </w:r>
            <w:r>
              <w:rPr>
                <w:noProof/>
                <w:webHidden/>
              </w:rPr>
              <w:t>14</w:t>
            </w:r>
            <w:r>
              <w:rPr>
                <w:noProof/>
                <w:webHidden/>
              </w:rPr>
              <w:fldChar w:fldCharType="end"/>
            </w:r>
          </w:hyperlink>
        </w:p>
        <w:p w14:paraId="3E372F60" w14:textId="658E02BE" w:rsidR="003B13DD" w:rsidRDefault="003B13DD">
          <w:pPr>
            <w:pStyle w:val="TOC3"/>
            <w:tabs>
              <w:tab w:val="right" w:leader="dot" w:pos="9016"/>
            </w:tabs>
            <w:rPr>
              <w:rFonts w:asciiTheme="minorHAnsi" w:eastAsiaTheme="minorEastAsia" w:hAnsiTheme="minorHAnsi" w:cstheme="minorBidi"/>
              <w:noProof/>
              <w:kern w:val="2"/>
              <w:sz w:val="21"/>
              <w:szCs w:val="22"/>
            </w:rPr>
          </w:pPr>
          <w:hyperlink w:anchor="_Toc128217503" w:history="1">
            <w:r w:rsidRPr="001D7A05">
              <w:rPr>
                <w:rStyle w:val="Hyperlink"/>
                <w:rFonts w:ascii="Times New Roman" w:hAnsi="Times New Roman" w:cs="Times New Roman"/>
                <w:bCs/>
                <w:noProof/>
              </w:rPr>
              <w:t>4.2.2 Market risks</w:t>
            </w:r>
            <w:r>
              <w:rPr>
                <w:noProof/>
                <w:webHidden/>
              </w:rPr>
              <w:tab/>
            </w:r>
            <w:r>
              <w:rPr>
                <w:noProof/>
                <w:webHidden/>
              </w:rPr>
              <w:fldChar w:fldCharType="begin"/>
            </w:r>
            <w:r>
              <w:rPr>
                <w:noProof/>
                <w:webHidden/>
              </w:rPr>
              <w:instrText xml:space="preserve"> PAGEREF _Toc128217503 \h </w:instrText>
            </w:r>
            <w:r>
              <w:rPr>
                <w:noProof/>
                <w:webHidden/>
              </w:rPr>
            </w:r>
            <w:r>
              <w:rPr>
                <w:noProof/>
                <w:webHidden/>
              </w:rPr>
              <w:fldChar w:fldCharType="separate"/>
            </w:r>
            <w:r>
              <w:rPr>
                <w:noProof/>
                <w:webHidden/>
              </w:rPr>
              <w:t>16</w:t>
            </w:r>
            <w:r>
              <w:rPr>
                <w:noProof/>
                <w:webHidden/>
              </w:rPr>
              <w:fldChar w:fldCharType="end"/>
            </w:r>
          </w:hyperlink>
        </w:p>
        <w:p w14:paraId="66215B2D" w14:textId="3291CFB1" w:rsidR="003B13DD" w:rsidRDefault="003B13DD">
          <w:pPr>
            <w:pStyle w:val="TOC3"/>
            <w:tabs>
              <w:tab w:val="right" w:leader="dot" w:pos="9016"/>
            </w:tabs>
            <w:rPr>
              <w:rFonts w:asciiTheme="minorHAnsi" w:eastAsiaTheme="minorEastAsia" w:hAnsiTheme="minorHAnsi" w:cstheme="minorBidi"/>
              <w:noProof/>
              <w:kern w:val="2"/>
              <w:sz w:val="21"/>
              <w:szCs w:val="22"/>
            </w:rPr>
          </w:pPr>
          <w:hyperlink w:anchor="_Toc128217504" w:history="1">
            <w:r w:rsidRPr="001D7A05">
              <w:rPr>
                <w:rStyle w:val="Hyperlink"/>
                <w:rFonts w:ascii="Times New Roman" w:hAnsi="Times New Roman" w:cs="Times New Roman"/>
                <w:bCs/>
                <w:noProof/>
              </w:rPr>
              <w:t>4.2.3 Risks from the stock market</w:t>
            </w:r>
            <w:r>
              <w:rPr>
                <w:noProof/>
                <w:webHidden/>
              </w:rPr>
              <w:tab/>
            </w:r>
            <w:r>
              <w:rPr>
                <w:noProof/>
                <w:webHidden/>
              </w:rPr>
              <w:fldChar w:fldCharType="begin"/>
            </w:r>
            <w:r>
              <w:rPr>
                <w:noProof/>
                <w:webHidden/>
              </w:rPr>
              <w:instrText xml:space="preserve"> PAGEREF _Toc128217504 \h </w:instrText>
            </w:r>
            <w:r>
              <w:rPr>
                <w:noProof/>
                <w:webHidden/>
              </w:rPr>
            </w:r>
            <w:r>
              <w:rPr>
                <w:noProof/>
                <w:webHidden/>
              </w:rPr>
              <w:fldChar w:fldCharType="separate"/>
            </w:r>
            <w:r>
              <w:rPr>
                <w:noProof/>
                <w:webHidden/>
              </w:rPr>
              <w:t>16</w:t>
            </w:r>
            <w:r>
              <w:rPr>
                <w:noProof/>
                <w:webHidden/>
              </w:rPr>
              <w:fldChar w:fldCharType="end"/>
            </w:r>
          </w:hyperlink>
        </w:p>
        <w:p w14:paraId="28B3BD5E" w14:textId="1B872269" w:rsidR="003B13DD" w:rsidRDefault="003B13DD">
          <w:pPr>
            <w:pStyle w:val="TOC2"/>
            <w:rPr>
              <w:rFonts w:asciiTheme="minorHAnsi" w:eastAsiaTheme="minorEastAsia" w:hAnsiTheme="minorHAnsi" w:cstheme="minorBidi"/>
              <w:noProof/>
              <w:kern w:val="2"/>
              <w:sz w:val="21"/>
              <w:szCs w:val="22"/>
            </w:rPr>
          </w:pPr>
          <w:hyperlink w:anchor="_Toc128217505" w:history="1">
            <w:r w:rsidRPr="001D7A05">
              <w:rPr>
                <w:rStyle w:val="Hyperlink"/>
                <w:rFonts w:ascii="Times New Roman" w:hAnsi="Times New Roman" w:cs="Times New Roman"/>
                <w:noProof/>
              </w:rPr>
              <w:t>4.3 The Opportunities of 360 Digitech for Secondary Listing</w:t>
            </w:r>
            <w:r>
              <w:rPr>
                <w:noProof/>
                <w:webHidden/>
              </w:rPr>
              <w:tab/>
            </w:r>
            <w:r>
              <w:rPr>
                <w:noProof/>
                <w:webHidden/>
              </w:rPr>
              <w:fldChar w:fldCharType="begin"/>
            </w:r>
            <w:r>
              <w:rPr>
                <w:noProof/>
                <w:webHidden/>
              </w:rPr>
              <w:instrText xml:space="preserve"> PAGEREF _Toc128217505 \h </w:instrText>
            </w:r>
            <w:r>
              <w:rPr>
                <w:noProof/>
                <w:webHidden/>
              </w:rPr>
            </w:r>
            <w:r>
              <w:rPr>
                <w:noProof/>
                <w:webHidden/>
              </w:rPr>
              <w:fldChar w:fldCharType="separate"/>
            </w:r>
            <w:r>
              <w:rPr>
                <w:noProof/>
                <w:webHidden/>
              </w:rPr>
              <w:t>17</w:t>
            </w:r>
            <w:r>
              <w:rPr>
                <w:noProof/>
                <w:webHidden/>
              </w:rPr>
              <w:fldChar w:fldCharType="end"/>
            </w:r>
          </w:hyperlink>
        </w:p>
        <w:p w14:paraId="127487D5" w14:textId="6B51F400" w:rsidR="003B13DD" w:rsidRDefault="003B13DD">
          <w:pPr>
            <w:pStyle w:val="TOC3"/>
            <w:tabs>
              <w:tab w:val="right" w:leader="dot" w:pos="9016"/>
            </w:tabs>
            <w:rPr>
              <w:rFonts w:asciiTheme="minorHAnsi" w:eastAsiaTheme="minorEastAsia" w:hAnsiTheme="minorHAnsi" w:cstheme="minorBidi"/>
              <w:noProof/>
              <w:kern w:val="2"/>
              <w:sz w:val="21"/>
              <w:szCs w:val="22"/>
            </w:rPr>
          </w:pPr>
          <w:hyperlink w:anchor="_Toc128217506" w:history="1">
            <w:r w:rsidRPr="001D7A05">
              <w:rPr>
                <w:rStyle w:val="Hyperlink"/>
                <w:rFonts w:ascii="Times New Roman" w:hAnsi="Times New Roman" w:cs="Times New Roman"/>
                <w:bCs/>
                <w:noProof/>
              </w:rPr>
              <w:t>4.3.1 Operational Opportunities</w:t>
            </w:r>
            <w:r>
              <w:rPr>
                <w:noProof/>
                <w:webHidden/>
              </w:rPr>
              <w:tab/>
            </w:r>
            <w:r>
              <w:rPr>
                <w:noProof/>
                <w:webHidden/>
              </w:rPr>
              <w:fldChar w:fldCharType="begin"/>
            </w:r>
            <w:r>
              <w:rPr>
                <w:noProof/>
                <w:webHidden/>
              </w:rPr>
              <w:instrText xml:space="preserve"> PAGEREF _Toc128217506 \h </w:instrText>
            </w:r>
            <w:r>
              <w:rPr>
                <w:noProof/>
                <w:webHidden/>
              </w:rPr>
            </w:r>
            <w:r>
              <w:rPr>
                <w:noProof/>
                <w:webHidden/>
              </w:rPr>
              <w:fldChar w:fldCharType="separate"/>
            </w:r>
            <w:r>
              <w:rPr>
                <w:noProof/>
                <w:webHidden/>
              </w:rPr>
              <w:t>17</w:t>
            </w:r>
            <w:r>
              <w:rPr>
                <w:noProof/>
                <w:webHidden/>
              </w:rPr>
              <w:fldChar w:fldCharType="end"/>
            </w:r>
          </w:hyperlink>
        </w:p>
        <w:p w14:paraId="1B8BB133" w14:textId="2CEE34C7" w:rsidR="003B13DD" w:rsidRDefault="003B13DD">
          <w:pPr>
            <w:pStyle w:val="TOC3"/>
            <w:tabs>
              <w:tab w:val="right" w:leader="dot" w:pos="9016"/>
            </w:tabs>
            <w:rPr>
              <w:rFonts w:asciiTheme="minorHAnsi" w:eastAsiaTheme="minorEastAsia" w:hAnsiTheme="minorHAnsi" w:cstheme="minorBidi"/>
              <w:noProof/>
              <w:kern w:val="2"/>
              <w:sz w:val="21"/>
              <w:szCs w:val="22"/>
            </w:rPr>
          </w:pPr>
          <w:hyperlink w:anchor="_Toc128217507" w:history="1">
            <w:r w:rsidRPr="001D7A05">
              <w:rPr>
                <w:rStyle w:val="Hyperlink"/>
                <w:rFonts w:ascii="Times New Roman" w:hAnsi="Times New Roman" w:cs="Times New Roman"/>
                <w:bCs/>
                <w:noProof/>
              </w:rPr>
              <w:t>4.3.2 Market Opportunities</w:t>
            </w:r>
            <w:r>
              <w:rPr>
                <w:noProof/>
                <w:webHidden/>
              </w:rPr>
              <w:tab/>
            </w:r>
            <w:r>
              <w:rPr>
                <w:noProof/>
                <w:webHidden/>
              </w:rPr>
              <w:fldChar w:fldCharType="begin"/>
            </w:r>
            <w:r>
              <w:rPr>
                <w:noProof/>
                <w:webHidden/>
              </w:rPr>
              <w:instrText xml:space="preserve"> PAGEREF _Toc128217507 \h </w:instrText>
            </w:r>
            <w:r>
              <w:rPr>
                <w:noProof/>
                <w:webHidden/>
              </w:rPr>
            </w:r>
            <w:r>
              <w:rPr>
                <w:noProof/>
                <w:webHidden/>
              </w:rPr>
              <w:fldChar w:fldCharType="separate"/>
            </w:r>
            <w:r>
              <w:rPr>
                <w:noProof/>
                <w:webHidden/>
              </w:rPr>
              <w:t>17</w:t>
            </w:r>
            <w:r>
              <w:rPr>
                <w:noProof/>
                <w:webHidden/>
              </w:rPr>
              <w:fldChar w:fldCharType="end"/>
            </w:r>
          </w:hyperlink>
        </w:p>
        <w:p w14:paraId="5919BB8E" w14:textId="3C437405" w:rsidR="003B13DD" w:rsidRDefault="003B13DD">
          <w:pPr>
            <w:pStyle w:val="TOC3"/>
            <w:tabs>
              <w:tab w:val="right" w:leader="dot" w:pos="9016"/>
            </w:tabs>
            <w:rPr>
              <w:rFonts w:asciiTheme="minorHAnsi" w:eastAsiaTheme="minorEastAsia" w:hAnsiTheme="minorHAnsi" w:cstheme="minorBidi"/>
              <w:noProof/>
              <w:kern w:val="2"/>
              <w:sz w:val="21"/>
              <w:szCs w:val="22"/>
            </w:rPr>
          </w:pPr>
          <w:hyperlink w:anchor="_Toc128217508" w:history="1">
            <w:r w:rsidRPr="001D7A05">
              <w:rPr>
                <w:rStyle w:val="Hyperlink"/>
                <w:rFonts w:ascii="Times New Roman" w:hAnsi="Times New Roman" w:cs="Times New Roman"/>
                <w:bCs/>
                <w:noProof/>
              </w:rPr>
              <w:t>4.3.3 Stock market wise</w:t>
            </w:r>
            <w:r>
              <w:rPr>
                <w:noProof/>
                <w:webHidden/>
              </w:rPr>
              <w:tab/>
            </w:r>
            <w:r>
              <w:rPr>
                <w:noProof/>
                <w:webHidden/>
              </w:rPr>
              <w:fldChar w:fldCharType="begin"/>
            </w:r>
            <w:r>
              <w:rPr>
                <w:noProof/>
                <w:webHidden/>
              </w:rPr>
              <w:instrText xml:space="preserve"> PAGEREF _Toc128217508 \h </w:instrText>
            </w:r>
            <w:r>
              <w:rPr>
                <w:noProof/>
                <w:webHidden/>
              </w:rPr>
            </w:r>
            <w:r>
              <w:rPr>
                <w:noProof/>
                <w:webHidden/>
              </w:rPr>
              <w:fldChar w:fldCharType="separate"/>
            </w:r>
            <w:r>
              <w:rPr>
                <w:noProof/>
                <w:webHidden/>
              </w:rPr>
              <w:t>18</w:t>
            </w:r>
            <w:r>
              <w:rPr>
                <w:noProof/>
                <w:webHidden/>
              </w:rPr>
              <w:fldChar w:fldCharType="end"/>
            </w:r>
          </w:hyperlink>
        </w:p>
        <w:p w14:paraId="7F34C9CF" w14:textId="4B3D221C" w:rsidR="007A12BA" w:rsidRDefault="00000000" w:rsidP="007A12BA">
          <w:pPr>
            <w:spacing w:line="360" w:lineRule="auto"/>
            <w:jc w:val="both"/>
            <w:rPr>
              <w:rFonts w:eastAsiaTheme="minorEastAsia"/>
              <w:bCs/>
              <w:color w:val="000000" w:themeColor="text1"/>
              <w:sz w:val="28"/>
            </w:rPr>
          </w:pPr>
          <w:r>
            <w:rPr>
              <w:sz w:val="28"/>
            </w:rPr>
            <w:lastRenderedPageBreak/>
            <w:fldChar w:fldCharType="end"/>
          </w:r>
        </w:p>
      </w:sdtContent>
    </w:sdt>
    <w:p w14:paraId="4F124C91" w14:textId="77777777" w:rsidR="00780325" w:rsidRDefault="00000000" w:rsidP="00780325">
      <w:pPr>
        <w:pStyle w:val="IBSG"/>
        <w:spacing w:line="360" w:lineRule="auto"/>
        <w:jc w:val="both"/>
        <w:rPr>
          <w:b w:val="0"/>
          <w:bCs/>
          <w:sz w:val="36"/>
          <w:szCs w:val="36"/>
        </w:rPr>
      </w:pPr>
      <w:r w:rsidRPr="00FD4F96">
        <w:rPr>
          <w:b w:val="0"/>
          <w:bCs/>
          <w:sz w:val="36"/>
          <w:szCs w:val="36"/>
        </w:rPr>
        <w:br w:type="page"/>
      </w:r>
      <w:bookmarkStart w:id="4" w:name="_Toc118909405"/>
    </w:p>
    <w:p w14:paraId="4343F8AF" w14:textId="4AAC4CFC" w:rsidR="008669F9" w:rsidRPr="007A12BA" w:rsidRDefault="00341BA4" w:rsidP="00780325">
      <w:pPr>
        <w:pStyle w:val="IBSG"/>
        <w:spacing w:line="360" w:lineRule="auto"/>
        <w:jc w:val="both"/>
        <w:rPr>
          <w:rFonts w:ascii="Times New Roman" w:hAnsi="Times New Roman" w:cs="Times New Roman"/>
          <w:b w:val="0"/>
          <w:color w:val="auto"/>
          <w:sz w:val="28"/>
          <w:szCs w:val="24"/>
        </w:rPr>
      </w:pPr>
      <w:bookmarkStart w:id="5" w:name="_Toc128217488"/>
      <w:r w:rsidRPr="00780325">
        <w:rPr>
          <w:rFonts w:ascii="Times New Roman" w:hAnsi="Times New Roman" w:cs="Times New Roman"/>
          <w:sz w:val="36"/>
          <w:szCs w:val="36"/>
        </w:rPr>
        <w:lastRenderedPageBreak/>
        <w:t xml:space="preserve">1. </w:t>
      </w:r>
      <w:r w:rsidRPr="00780325">
        <w:rPr>
          <w:rFonts w:ascii="Times New Roman" w:hAnsi="Times New Roman" w:cs="Times New Roman" w:hint="eastAsia"/>
          <w:sz w:val="36"/>
          <w:szCs w:val="36"/>
        </w:rPr>
        <w:t>Introduction</w:t>
      </w:r>
      <w:bookmarkEnd w:id="4"/>
      <w:bookmarkEnd w:id="5"/>
    </w:p>
    <w:p w14:paraId="21A82C8A" w14:textId="77777777" w:rsidR="008669F9" w:rsidRDefault="00000000" w:rsidP="00FD4F96">
      <w:pPr>
        <w:spacing w:line="360" w:lineRule="auto"/>
        <w:jc w:val="both"/>
        <w:rPr>
          <w:rFonts w:eastAsiaTheme="minorEastAsia"/>
          <w:bCs/>
          <w:color w:val="000000" w:themeColor="text1"/>
          <w:szCs w:val="22"/>
        </w:rPr>
      </w:pPr>
      <w:r>
        <w:rPr>
          <w:rFonts w:eastAsiaTheme="minorEastAsia"/>
          <w:bCs/>
          <w:color w:val="000000" w:themeColor="text1"/>
          <w:szCs w:val="22"/>
        </w:rPr>
        <w:t xml:space="preserve">On November 29, 360 DigiTech </w:t>
      </w:r>
      <w:r>
        <w:rPr>
          <w:rFonts w:eastAsiaTheme="minorEastAsia" w:hint="eastAsia"/>
          <w:bCs/>
          <w:color w:val="000000" w:themeColor="text1"/>
          <w:szCs w:val="22"/>
        </w:rPr>
        <w:t>has</w:t>
      </w:r>
      <w:r>
        <w:rPr>
          <w:rFonts w:eastAsiaTheme="minorEastAsia"/>
          <w:bCs/>
          <w:color w:val="000000" w:themeColor="text1"/>
          <w:szCs w:val="22"/>
        </w:rPr>
        <w:t xml:space="preserve"> successfully listed on the Hong Kong Exchanges and Clearing (HKEX), becoming the first </w:t>
      </w:r>
      <w:r>
        <w:rPr>
          <w:rFonts w:eastAsiaTheme="minorEastAsia" w:hint="eastAsia"/>
          <w:bCs/>
          <w:color w:val="000000" w:themeColor="text1"/>
          <w:szCs w:val="22"/>
        </w:rPr>
        <w:t>listed</w:t>
      </w:r>
      <w:r>
        <w:rPr>
          <w:rFonts w:eastAsiaTheme="minorEastAsia"/>
          <w:bCs/>
          <w:color w:val="000000" w:themeColor="text1"/>
          <w:szCs w:val="22"/>
        </w:rPr>
        <w:t xml:space="preserve"> Credit </w:t>
      </w:r>
      <w:r>
        <w:rPr>
          <w:rFonts w:eastAsiaTheme="minorEastAsia" w:hint="eastAsia"/>
          <w:bCs/>
          <w:color w:val="000000" w:themeColor="text1"/>
          <w:szCs w:val="22"/>
        </w:rPr>
        <w:t>Technology</w:t>
      </w:r>
      <w:r>
        <w:rPr>
          <w:rFonts w:eastAsiaTheme="minorEastAsia"/>
          <w:bCs/>
          <w:color w:val="000000" w:themeColor="text1"/>
          <w:szCs w:val="22"/>
        </w:rPr>
        <w:t xml:space="preserve"> platform to complete a secondary listing. Priced at HK $50.03, it opened at HK $50.6 on its first day of trading and closed at HK $51.75, up 3.44%.</w:t>
      </w:r>
    </w:p>
    <w:p w14:paraId="57221976" w14:textId="245D9D71" w:rsidR="008669F9" w:rsidRDefault="00000000" w:rsidP="00FD4F96">
      <w:pPr>
        <w:spacing w:line="360" w:lineRule="auto"/>
        <w:jc w:val="both"/>
        <w:rPr>
          <w:rFonts w:eastAsiaTheme="minorEastAsia"/>
          <w:bCs/>
          <w:color w:val="000000" w:themeColor="text1"/>
          <w:szCs w:val="22"/>
        </w:rPr>
      </w:pPr>
      <w:r>
        <w:rPr>
          <w:rFonts w:eastAsiaTheme="minorEastAsia"/>
          <w:bCs/>
          <w:color w:val="000000" w:themeColor="text1"/>
          <w:szCs w:val="22"/>
        </w:rPr>
        <w:t xml:space="preserve">China Concept Stock is </w:t>
      </w:r>
      <w:r>
        <w:rPr>
          <w:rFonts w:eastAsiaTheme="minorEastAsia" w:hint="eastAsia"/>
          <w:bCs/>
          <w:color w:val="000000" w:themeColor="text1"/>
          <w:szCs w:val="22"/>
        </w:rPr>
        <w:t>stocks</w:t>
      </w:r>
      <w:r>
        <w:rPr>
          <w:rFonts w:eastAsiaTheme="minorEastAsia"/>
          <w:bCs/>
          <w:color w:val="000000" w:themeColor="text1"/>
          <w:szCs w:val="22"/>
        </w:rPr>
        <w:t xml:space="preserve"> listed in US but conduct actual business and assets in China. After years of development, about 280 China Concept Stock companies have been listed on various exchanges in the United States, including many new economy companies. With the listing of Chinese concept stocks in the United States, there are major uncertainties, and there are many high-quality companies among Chinese concept stock companies, which naturally become the target of competition for various exchanges. </w:t>
      </w:r>
    </w:p>
    <w:p w14:paraId="523797B6" w14:textId="3E5D4C30" w:rsidR="008669F9" w:rsidRPr="00780325" w:rsidRDefault="00FD4F96" w:rsidP="00780325">
      <w:pPr>
        <w:pStyle w:val="IBSG"/>
        <w:spacing w:line="360" w:lineRule="auto"/>
        <w:jc w:val="both"/>
        <w:rPr>
          <w:rFonts w:ascii="Times New Roman" w:hAnsi="Times New Roman" w:cs="Times New Roman"/>
          <w:sz w:val="36"/>
          <w:szCs w:val="36"/>
        </w:rPr>
      </w:pPr>
      <w:bookmarkStart w:id="6" w:name="_Toc128217489"/>
      <w:r w:rsidRPr="00780325">
        <w:rPr>
          <w:rFonts w:ascii="Times New Roman" w:hAnsi="Times New Roman" w:cs="Times New Roman"/>
          <w:sz w:val="36"/>
          <w:szCs w:val="36"/>
        </w:rPr>
        <w:t xml:space="preserve">2. Overview of Fintech </w:t>
      </w:r>
      <w:r w:rsidRPr="00780325">
        <w:rPr>
          <w:rFonts w:ascii="Times New Roman" w:hAnsi="Times New Roman" w:cs="Times New Roman" w:hint="eastAsia"/>
          <w:sz w:val="36"/>
          <w:szCs w:val="36"/>
        </w:rPr>
        <w:t>S</w:t>
      </w:r>
      <w:r w:rsidRPr="00780325">
        <w:rPr>
          <w:rFonts w:ascii="Times New Roman" w:hAnsi="Times New Roman" w:cs="Times New Roman"/>
          <w:sz w:val="36"/>
          <w:szCs w:val="36"/>
        </w:rPr>
        <w:t>hares</w:t>
      </w:r>
      <w:bookmarkEnd w:id="6"/>
    </w:p>
    <w:p w14:paraId="2FF7E9BC" w14:textId="77777777" w:rsidR="008669F9" w:rsidRDefault="00000000" w:rsidP="00FD4F96">
      <w:pPr>
        <w:pStyle w:val="Heading2"/>
        <w:spacing w:line="360" w:lineRule="auto"/>
        <w:jc w:val="both"/>
      </w:pPr>
      <w:bookmarkStart w:id="7" w:name="_Toc128217490"/>
      <w:r>
        <w:rPr>
          <w:rFonts w:ascii="Times New Roman" w:hAnsi="Times New Roman" w:cs="Times New Roman"/>
          <w:b w:val="0"/>
          <w:szCs w:val="24"/>
        </w:rPr>
        <w:t>1.1 The economic resurgence:</w:t>
      </w:r>
      <w:bookmarkEnd w:id="7"/>
    </w:p>
    <w:p w14:paraId="54CEA7EA" w14:textId="02BF9316" w:rsidR="008669F9"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 xml:space="preserve">Following the major optimization and adjustment of the epidemic prevention and control policy, the focus of the </w:t>
      </w:r>
      <w:r w:rsidRPr="002F1635">
        <w:rPr>
          <w:rFonts w:eastAsiaTheme="minorEastAsia" w:hint="eastAsia"/>
          <w:bCs/>
          <w:color w:val="000000" w:themeColor="text1"/>
          <w:szCs w:val="22"/>
        </w:rPr>
        <w:t>Chinese</w:t>
      </w:r>
      <w:r w:rsidRPr="002F1635">
        <w:rPr>
          <w:rFonts w:eastAsiaTheme="minorEastAsia"/>
          <w:bCs/>
          <w:color w:val="000000" w:themeColor="text1"/>
          <w:szCs w:val="22"/>
        </w:rPr>
        <w:t xml:space="preserve"> government has shifted to stable growth, and</w:t>
      </w:r>
      <w:r w:rsidR="00090D6A" w:rsidRPr="002F1635">
        <w:rPr>
          <w:rFonts w:eastAsiaTheme="minorEastAsia"/>
          <w:bCs/>
          <w:color w:val="000000" w:themeColor="text1"/>
          <w:szCs w:val="22"/>
        </w:rPr>
        <w:t xml:space="preserve"> v</w:t>
      </w:r>
      <w:r w:rsidRPr="002F1635">
        <w:rPr>
          <w:rFonts w:eastAsiaTheme="minorEastAsia"/>
          <w:bCs/>
          <w:color w:val="000000" w:themeColor="text1"/>
          <w:szCs w:val="22"/>
        </w:rPr>
        <w:t xml:space="preserve">arious positive factors have boosted the market. The GDP growth is expected to pick up, especially the strong economic recovery momentum in the second half of 2023. The domestic epidemic prevention and control measures ushered in a series of optimization and adjustment. </w:t>
      </w:r>
    </w:p>
    <w:p w14:paraId="170C94F3" w14:textId="62916C16" w:rsidR="008669F9"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 xml:space="preserve">China's monetary policy is expected to remain loose in 2023, because we believe that the road to economic restart will be gradual and bumpy, while the restrained demand is </w:t>
      </w:r>
      <w:r w:rsidR="007A12BA" w:rsidRPr="002F1635">
        <w:rPr>
          <w:rFonts w:eastAsiaTheme="minorEastAsia"/>
          <w:bCs/>
          <w:color w:val="000000" w:themeColor="text1"/>
          <w:szCs w:val="22"/>
        </w:rPr>
        <w:t>weak,</w:t>
      </w:r>
      <w:r w:rsidRPr="002F1635">
        <w:rPr>
          <w:rFonts w:eastAsiaTheme="minorEastAsia"/>
          <w:bCs/>
          <w:color w:val="000000" w:themeColor="text1"/>
          <w:szCs w:val="22"/>
        </w:rPr>
        <w:t xml:space="preserve"> and the inflation risk is low. Even if inflation rises sharply at the beginning of the re-opening, we also believe that the driving factor behind it will be the supply interruption rather than the strong demand. Before the economy is fully restarted, the People's Bank of China is expected to maintain a loose monetary policy stance and will probably increase the stimulus to cope with the situation of rising infection cases and significantly weakening demand. In view of the limited space for further reduction of reserve requirements and interest rates, the central bank is expected to continue to expand the scale of its balance sheet through </w:t>
      </w:r>
      <w:r w:rsidR="00090D6A" w:rsidRPr="002F1635">
        <w:rPr>
          <w:rFonts w:eastAsiaTheme="minorEastAsia"/>
          <w:bCs/>
          <w:color w:val="000000" w:themeColor="text1"/>
          <w:szCs w:val="22"/>
        </w:rPr>
        <w:t xml:space="preserve">the offering of </w:t>
      </w:r>
      <w:r w:rsidRPr="002F1635">
        <w:rPr>
          <w:rFonts w:eastAsiaTheme="minorEastAsia"/>
          <w:bCs/>
          <w:color w:val="000000" w:themeColor="text1"/>
          <w:szCs w:val="22"/>
        </w:rPr>
        <w:t>MLF, PSL and refinancing.</w:t>
      </w:r>
    </w:p>
    <w:p w14:paraId="24C4EE68" w14:textId="77777777" w:rsidR="008669F9" w:rsidRDefault="00000000" w:rsidP="00FD4F96">
      <w:pPr>
        <w:pStyle w:val="Heading2"/>
        <w:spacing w:line="360" w:lineRule="auto"/>
        <w:jc w:val="both"/>
        <w:rPr>
          <w:rFonts w:ascii="Times New Roman" w:hAnsi="Times New Roman" w:cs="Times New Roman"/>
          <w:b w:val="0"/>
          <w:szCs w:val="24"/>
        </w:rPr>
      </w:pPr>
      <w:bookmarkStart w:id="8" w:name="_Toc128217491"/>
      <w:r>
        <w:rPr>
          <w:rFonts w:ascii="Times New Roman" w:hAnsi="Times New Roman" w:cs="Times New Roman"/>
          <w:b w:val="0"/>
          <w:szCs w:val="24"/>
        </w:rPr>
        <w:lastRenderedPageBreak/>
        <w:t>1.2 The succeed in serving consumers and small business owners to meet their financing needs.</w:t>
      </w:r>
      <w:bookmarkEnd w:id="8"/>
    </w:p>
    <w:p w14:paraId="7FC0E805" w14:textId="366DC873" w:rsidR="008669F9"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In 2016, 360 Financial Services began to provide small consumer loan products to consumers whose financing needs were not met by traditional financial institutions. At the end of 2020, the company launched loan assistance services for small and micro business owners. The company mainly relies on online channels to gain customers and is also exploring offline channels to expand the loan business of small and micro enterprises. The financing parties of the loans initiated through the 360 Digital Science Platform are mainly financial institutions. By the end of 2020, 360 Digital has reached cooperation with 99 financial institutions, including national and regional banks and consumer finance companies.</w:t>
      </w:r>
    </w:p>
    <w:p w14:paraId="2691F896" w14:textId="77777777" w:rsidR="008669F9" w:rsidRDefault="00000000" w:rsidP="00FD4F96">
      <w:pPr>
        <w:pStyle w:val="Heading2"/>
        <w:spacing w:line="360" w:lineRule="auto"/>
        <w:jc w:val="both"/>
        <w:rPr>
          <w:rFonts w:ascii="Times New Roman" w:hAnsi="Times New Roman" w:cs="Times New Roman"/>
          <w:b w:val="0"/>
          <w:szCs w:val="24"/>
        </w:rPr>
      </w:pPr>
      <w:bookmarkStart w:id="9" w:name="_Toc128217492"/>
      <w:r>
        <w:rPr>
          <w:rFonts w:ascii="Times New Roman" w:hAnsi="Times New Roman" w:cs="Times New Roman"/>
          <w:b w:val="0"/>
          <w:szCs w:val="24"/>
        </w:rPr>
        <w:t>1.3 Industry regulatory uncertainty is weakening</w:t>
      </w:r>
      <w:bookmarkEnd w:id="9"/>
    </w:p>
    <w:p w14:paraId="48FA5434" w14:textId="77777777" w:rsidR="008669F9"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Since the second half of 2020, the uncertainty of the regulatory prospects of the Internet finance industry has become a major adverse factor affecting the performance of the industry's share price. We believe that the borrowing costs, capital requirements, consumer protection and credit reporting business of Internet loan companies are the areas that investors pay most attention to.</w:t>
      </w:r>
    </w:p>
    <w:p w14:paraId="467D3432" w14:textId="77777777" w:rsidR="008669F9"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Long before this round of large-scale tightening of regulation, regulators have begun to tighten the regulation of the Internet finance industry in the field of retail credit. Since November 2020, Chinese regulators have issued a series of regulatory documents; In 2021, some Internet platform leaders involved in financial business carried out business rectification according to regulatory requirements.</w:t>
      </w:r>
    </w:p>
    <w:p w14:paraId="4C482BD1" w14:textId="77777777" w:rsidR="008669F9"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At present, the regulatory uncertainty is gradually weakening in the middle of the industry consolidation, which may support the moderate repair of the valuation of the listed Internet loan leader. We believe that the tightening of regulation may lead to a slowdown in the growth of new loans in the industry from 2022 to 2023, but the strict regulation also raises the threshold of the industry, which may squeeze the space of some smaller participants, which is conducive to the long-term sustainable development of compliant large and medium-sized Internet finance companies.</w:t>
      </w:r>
    </w:p>
    <w:p w14:paraId="07C5DFF9" w14:textId="15AD0E8D" w:rsidR="008669F9"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 xml:space="preserve">The guidance and stricter supervision of the regulators on the rectification of the Internet finance industry emphasize the financial nature of Internet finance. The financial business of the Internet platform is subject to the same regulatory requirements as traditional financial institutions. The boundary between finance and technology is clearer. At present, the main fields of financial business of the technology platform, including payment, credit and credit </w:t>
      </w:r>
      <w:r w:rsidRPr="002F1635">
        <w:rPr>
          <w:rFonts w:eastAsiaTheme="minorEastAsia"/>
          <w:bCs/>
          <w:color w:val="000000" w:themeColor="text1"/>
          <w:szCs w:val="22"/>
        </w:rPr>
        <w:lastRenderedPageBreak/>
        <w:t>investigation, insurance, banking, and securities/wealth management, have all been incorporated into the financial regulatory framework.</w:t>
      </w:r>
      <w:r w:rsidR="00090D6A" w:rsidRPr="002F1635">
        <w:rPr>
          <w:rFonts w:eastAsiaTheme="minorEastAsia"/>
          <w:bCs/>
          <w:color w:val="000000" w:themeColor="text1"/>
          <w:szCs w:val="22"/>
        </w:rPr>
        <w:t xml:space="preserve"> We expect that the year-on-year growth rate of social finance stock in 2023 will be around 10.5%, basically the same as that in 2022.</w:t>
      </w:r>
    </w:p>
    <w:p w14:paraId="4D2E0E46" w14:textId="48F4C8CF" w:rsidR="008669F9" w:rsidRPr="00780325" w:rsidRDefault="00FD4F96" w:rsidP="00780325">
      <w:pPr>
        <w:pStyle w:val="IBSG"/>
        <w:spacing w:line="360" w:lineRule="auto"/>
        <w:jc w:val="both"/>
        <w:rPr>
          <w:rFonts w:ascii="Times New Roman" w:hAnsi="Times New Roman" w:cs="Times New Roman"/>
          <w:sz w:val="36"/>
          <w:szCs w:val="36"/>
        </w:rPr>
      </w:pPr>
      <w:bookmarkStart w:id="10" w:name="_Toc128217493"/>
      <w:r w:rsidRPr="00780325">
        <w:rPr>
          <w:rFonts w:ascii="Times New Roman" w:hAnsi="Times New Roman" w:cs="Times New Roman"/>
          <w:sz w:val="36"/>
          <w:szCs w:val="36"/>
        </w:rPr>
        <w:t>3. Advantages of H-share Issuing</w:t>
      </w:r>
      <w:bookmarkEnd w:id="10"/>
    </w:p>
    <w:p w14:paraId="7AE683D2" w14:textId="4F0BF3EB" w:rsidR="008669F9" w:rsidRPr="002F1635" w:rsidRDefault="00000000" w:rsidP="002F1635">
      <w:pPr>
        <w:spacing w:line="360" w:lineRule="auto"/>
        <w:jc w:val="both"/>
        <w:rPr>
          <w:rFonts w:eastAsiaTheme="minorEastAsia"/>
          <w:bCs/>
          <w:color w:val="000000" w:themeColor="text1"/>
          <w:szCs w:val="22"/>
        </w:rPr>
      </w:pPr>
      <w:bookmarkStart w:id="11" w:name="_Toc117700790"/>
      <w:r w:rsidRPr="002F1635">
        <w:rPr>
          <w:rFonts w:eastAsiaTheme="minorEastAsia"/>
          <w:bCs/>
          <w:color w:val="000000" w:themeColor="text1"/>
          <w:szCs w:val="22"/>
        </w:rPr>
        <w:t>In recent years, against the background of scarce global listing resources and the continued to intensify of strategic game between China and the US, both the Mainland and Hong Kong began to gradually relax their listing requirements around 2018, appropriately easing the listing restrictions for companies with the same share different rights and red chip structures. Further catalyzed by the U.S. SEC's continued difficulties with Chinese stocks and the Foreign Company Accountability Act, many Chinese companies have chosen to return to A-shares and Hong Kong stock markets.</w:t>
      </w:r>
    </w:p>
    <w:p w14:paraId="785BFACF" w14:textId="77777777" w:rsidR="008669F9"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According to retaining the listing status in the original listing place, there are two ways for Chinese Stock delist from the U.S. markets. The first way is privatization, delisting from the U.S. market, and then finding the opportunity to go public again in A-share or H-share. This method is mainly adapted to the State-owned Enterprise. The second way is to retain the listing status of the original listing place and return to Hong Kong markets in the form of introduction, secondary listing, dual primary listing, etc.</w:t>
      </w:r>
    </w:p>
    <w:p w14:paraId="0626BB27" w14:textId="23CBFB58" w:rsidR="0089404D"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Compared with A-share, H-share’s approval time is relatively shorter. For companies with a steady position in their market segment, HKEx is more encouraged. The Enterprise value in H-share is more widely recognized by the investors.</w:t>
      </w:r>
    </w:p>
    <w:p w14:paraId="068CD95A" w14:textId="719A2BD0" w:rsidR="0089404D" w:rsidRPr="0089404D" w:rsidRDefault="0089404D" w:rsidP="0089404D">
      <w:pPr>
        <w:pStyle w:val="Caption"/>
        <w:keepNext/>
        <w:spacing w:line="360" w:lineRule="auto"/>
        <w:jc w:val="center"/>
        <w:rPr>
          <w:rFonts w:ascii="Times New Roman" w:hAnsi="Times New Roman" w:cs="Times New Roman"/>
          <w:i/>
          <w:iCs/>
          <w:sz w:val="21"/>
          <w:szCs w:val="21"/>
        </w:rPr>
      </w:pPr>
      <w:r w:rsidRPr="0089404D">
        <w:rPr>
          <w:rFonts w:ascii="Times New Roman" w:hAnsi="Times New Roman" w:cs="Times New Roman"/>
          <w:i/>
          <w:iCs/>
          <w:sz w:val="21"/>
          <w:szCs w:val="21"/>
        </w:rPr>
        <w:lastRenderedPageBreak/>
        <w:t xml:space="preserve">Figure </w:t>
      </w:r>
      <w:r w:rsidRPr="0089404D">
        <w:rPr>
          <w:rFonts w:ascii="Times New Roman" w:hAnsi="Times New Roman" w:cs="Times New Roman"/>
          <w:i/>
          <w:iCs/>
          <w:sz w:val="21"/>
          <w:szCs w:val="21"/>
        </w:rPr>
        <w:fldChar w:fldCharType="begin"/>
      </w:r>
      <w:r w:rsidRPr="0089404D">
        <w:rPr>
          <w:rFonts w:ascii="Times New Roman" w:hAnsi="Times New Roman" w:cs="Times New Roman"/>
          <w:i/>
          <w:iCs/>
          <w:sz w:val="21"/>
          <w:szCs w:val="21"/>
        </w:rPr>
        <w:instrText xml:space="preserve"> SEQ Figure \* ARABIC </w:instrText>
      </w:r>
      <w:r w:rsidRPr="0089404D">
        <w:rPr>
          <w:rFonts w:ascii="Times New Roman" w:hAnsi="Times New Roman" w:cs="Times New Roman"/>
          <w:i/>
          <w:iCs/>
          <w:sz w:val="21"/>
          <w:szCs w:val="21"/>
        </w:rPr>
        <w:fldChar w:fldCharType="separate"/>
      </w:r>
      <w:r w:rsidR="003B13DD">
        <w:rPr>
          <w:rFonts w:ascii="Times New Roman" w:hAnsi="Times New Roman" w:cs="Times New Roman"/>
          <w:i/>
          <w:iCs/>
          <w:noProof/>
          <w:sz w:val="21"/>
          <w:szCs w:val="21"/>
        </w:rPr>
        <w:t>1</w:t>
      </w:r>
      <w:r w:rsidRPr="0089404D">
        <w:rPr>
          <w:rFonts w:ascii="Times New Roman" w:hAnsi="Times New Roman" w:cs="Times New Roman"/>
          <w:i/>
          <w:iCs/>
          <w:sz w:val="21"/>
          <w:szCs w:val="21"/>
        </w:rPr>
        <w:fldChar w:fldCharType="end"/>
      </w:r>
      <w:r w:rsidRPr="0089404D">
        <w:rPr>
          <w:rFonts w:ascii="Times New Roman" w:hAnsi="Times New Roman" w:cs="Times New Roman"/>
          <w:i/>
          <w:iCs/>
          <w:sz w:val="21"/>
          <w:szCs w:val="21"/>
        </w:rPr>
        <w:t>: Compare Listing Between A-share and H-</w:t>
      </w:r>
      <w:proofErr w:type="gramStart"/>
      <w:r w:rsidRPr="0089404D">
        <w:rPr>
          <w:rFonts w:ascii="Times New Roman" w:hAnsi="Times New Roman" w:cs="Times New Roman"/>
          <w:i/>
          <w:iCs/>
          <w:sz w:val="21"/>
          <w:szCs w:val="21"/>
        </w:rPr>
        <w:t>share</w:t>
      </w:r>
      <w:proofErr w:type="gramEnd"/>
    </w:p>
    <w:tbl>
      <w:tblPr>
        <w:tblW w:w="0" w:type="auto"/>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ook w:val="04A0" w:firstRow="1" w:lastRow="0" w:firstColumn="1" w:lastColumn="0" w:noHBand="0" w:noVBand="1"/>
      </w:tblPr>
      <w:tblGrid>
        <w:gridCol w:w="1575"/>
        <w:gridCol w:w="4923"/>
        <w:gridCol w:w="2498"/>
      </w:tblGrid>
      <w:tr w:rsidR="0089404D" w14:paraId="7D2045AD" w14:textId="77777777" w:rsidTr="002F1635">
        <w:trPr>
          <w:tblHeader/>
        </w:trPr>
        <w:tc>
          <w:tcPr>
            <w:tcW w:w="0" w:type="auto"/>
            <w:shd w:val="clear" w:color="auto" w:fill="003400"/>
            <w:tcMar>
              <w:top w:w="100" w:type="dxa"/>
              <w:left w:w="100" w:type="dxa"/>
              <w:bottom w:w="100" w:type="dxa"/>
              <w:right w:w="100" w:type="dxa"/>
            </w:tcMar>
          </w:tcPr>
          <w:p w14:paraId="472EF140" w14:textId="77777777" w:rsidR="0089404D" w:rsidRDefault="0089404D" w:rsidP="00FD4F96">
            <w:pPr>
              <w:spacing w:line="360" w:lineRule="auto"/>
              <w:jc w:val="both"/>
              <w:rPr>
                <w:rFonts w:ascii="Gungsuh" w:eastAsia="Gungsuh" w:hAnsi="Gungsuh" w:cs="Gungsuh"/>
                <w:b/>
                <w:color w:val="FFFFFF"/>
                <w:sz w:val="21"/>
                <w:szCs w:val="21"/>
              </w:rPr>
            </w:pPr>
          </w:p>
        </w:tc>
        <w:tc>
          <w:tcPr>
            <w:tcW w:w="0" w:type="auto"/>
            <w:shd w:val="clear" w:color="auto" w:fill="003400"/>
            <w:tcMar>
              <w:top w:w="100" w:type="dxa"/>
              <w:left w:w="100" w:type="dxa"/>
              <w:bottom w:w="100" w:type="dxa"/>
              <w:right w:w="100" w:type="dxa"/>
            </w:tcMar>
            <w:vAlign w:val="center"/>
          </w:tcPr>
          <w:p w14:paraId="6EE9FE50" w14:textId="1226894B" w:rsidR="0089404D" w:rsidRDefault="0089404D" w:rsidP="002F1635">
            <w:pPr>
              <w:tabs>
                <w:tab w:val="left" w:pos="1260"/>
              </w:tabs>
              <w:spacing w:line="360" w:lineRule="auto"/>
              <w:jc w:val="center"/>
              <w:rPr>
                <w:b/>
                <w:color w:val="FFFFFF"/>
                <w:sz w:val="21"/>
                <w:szCs w:val="21"/>
              </w:rPr>
            </w:pPr>
            <w:r>
              <w:rPr>
                <w:rFonts w:hint="eastAsia"/>
                <w:b/>
                <w:color w:val="FFFFFF"/>
                <w:sz w:val="21"/>
                <w:szCs w:val="21"/>
              </w:rPr>
              <w:t>HKEX</w:t>
            </w:r>
          </w:p>
        </w:tc>
        <w:tc>
          <w:tcPr>
            <w:tcW w:w="0" w:type="auto"/>
            <w:shd w:val="clear" w:color="auto" w:fill="003400"/>
            <w:tcMar>
              <w:top w:w="100" w:type="dxa"/>
              <w:left w:w="100" w:type="dxa"/>
              <w:bottom w:w="100" w:type="dxa"/>
              <w:right w:w="100" w:type="dxa"/>
            </w:tcMar>
            <w:vAlign w:val="center"/>
          </w:tcPr>
          <w:p w14:paraId="21CE29A4" w14:textId="2F7E0DB1" w:rsidR="0089404D" w:rsidRDefault="0089404D" w:rsidP="002F1635">
            <w:pPr>
              <w:spacing w:line="360" w:lineRule="auto"/>
              <w:jc w:val="center"/>
              <w:rPr>
                <w:b/>
                <w:color w:val="FFFFFF"/>
                <w:sz w:val="21"/>
                <w:szCs w:val="21"/>
              </w:rPr>
            </w:pPr>
            <w:r>
              <w:rPr>
                <w:rFonts w:hint="eastAsia"/>
                <w:b/>
                <w:color w:val="FFFFFF"/>
                <w:sz w:val="21"/>
                <w:szCs w:val="21"/>
              </w:rPr>
              <w:t>SZSE/SSE</w:t>
            </w:r>
          </w:p>
        </w:tc>
      </w:tr>
      <w:tr w:rsidR="008669F9" w14:paraId="20EE490B" w14:textId="77777777" w:rsidTr="002F1635">
        <w:trPr>
          <w:tblHeader/>
        </w:trPr>
        <w:tc>
          <w:tcPr>
            <w:tcW w:w="0" w:type="auto"/>
            <w:tcMar>
              <w:top w:w="100" w:type="dxa"/>
              <w:left w:w="100" w:type="dxa"/>
              <w:bottom w:w="100" w:type="dxa"/>
              <w:right w:w="100" w:type="dxa"/>
            </w:tcMar>
          </w:tcPr>
          <w:p w14:paraId="6FC71098" w14:textId="77777777" w:rsidR="008669F9" w:rsidRDefault="00000000" w:rsidP="00FD4F96">
            <w:pPr>
              <w:spacing w:line="360" w:lineRule="auto"/>
              <w:jc w:val="both"/>
              <w:rPr>
                <w:b/>
                <w:color w:val="333333"/>
                <w:sz w:val="21"/>
                <w:szCs w:val="21"/>
              </w:rPr>
            </w:pPr>
            <w:r>
              <w:rPr>
                <w:b/>
                <w:color w:val="333333"/>
                <w:sz w:val="21"/>
                <w:szCs w:val="21"/>
              </w:rPr>
              <w:t>Popular Industry</w:t>
            </w:r>
          </w:p>
        </w:tc>
        <w:tc>
          <w:tcPr>
            <w:tcW w:w="0" w:type="auto"/>
            <w:tcMar>
              <w:top w:w="100" w:type="dxa"/>
              <w:left w:w="100" w:type="dxa"/>
              <w:bottom w:w="100" w:type="dxa"/>
              <w:right w:w="100" w:type="dxa"/>
            </w:tcMar>
          </w:tcPr>
          <w:p w14:paraId="42D499D2" w14:textId="77777777" w:rsidR="008669F9" w:rsidRDefault="00000000" w:rsidP="00FD4F96">
            <w:pPr>
              <w:spacing w:line="360" w:lineRule="auto"/>
              <w:jc w:val="both"/>
              <w:rPr>
                <w:color w:val="333333"/>
                <w:sz w:val="21"/>
                <w:szCs w:val="21"/>
              </w:rPr>
            </w:pPr>
            <w:r>
              <w:rPr>
                <w:color w:val="333333"/>
                <w:sz w:val="21"/>
                <w:szCs w:val="21"/>
              </w:rPr>
              <w:t>Biotech, Retail, 2C Tech, Cloud computing, etc.</w:t>
            </w:r>
          </w:p>
        </w:tc>
        <w:tc>
          <w:tcPr>
            <w:tcW w:w="0" w:type="auto"/>
            <w:tcMar>
              <w:top w:w="100" w:type="dxa"/>
              <w:left w:w="100" w:type="dxa"/>
              <w:bottom w:w="100" w:type="dxa"/>
              <w:right w:w="100" w:type="dxa"/>
            </w:tcMar>
          </w:tcPr>
          <w:p w14:paraId="711DD7D7" w14:textId="77777777" w:rsidR="008669F9" w:rsidRDefault="00000000" w:rsidP="00FD4F96">
            <w:pPr>
              <w:spacing w:line="360" w:lineRule="auto"/>
              <w:jc w:val="both"/>
              <w:rPr>
                <w:color w:val="333333"/>
                <w:sz w:val="21"/>
                <w:szCs w:val="21"/>
              </w:rPr>
            </w:pPr>
            <w:r>
              <w:rPr>
                <w:color w:val="333333"/>
                <w:sz w:val="21"/>
                <w:szCs w:val="21"/>
              </w:rPr>
              <w:t>Conform to the national strategy</w:t>
            </w:r>
          </w:p>
        </w:tc>
      </w:tr>
      <w:tr w:rsidR="008669F9" w14:paraId="5A5639C9" w14:textId="77777777" w:rsidTr="002F1635">
        <w:trPr>
          <w:tblHeader/>
        </w:trPr>
        <w:tc>
          <w:tcPr>
            <w:tcW w:w="0" w:type="auto"/>
            <w:shd w:val="clear" w:color="auto" w:fill="E2EEDA"/>
            <w:tcMar>
              <w:top w:w="100" w:type="dxa"/>
              <w:left w:w="100" w:type="dxa"/>
              <w:bottom w:w="100" w:type="dxa"/>
              <w:right w:w="100" w:type="dxa"/>
            </w:tcMar>
          </w:tcPr>
          <w:p w14:paraId="7075013C" w14:textId="77777777" w:rsidR="008669F9" w:rsidRDefault="00000000" w:rsidP="00FD4F96">
            <w:pPr>
              <w:spacing w:line="360" w:lineRule="auto"/>
              <w:jc w:val="both"/>
              <w:rPr>
                <w:b/>
                <w:color w:val="333333"/>
                <w:sz w:val="21"/>
                <w:szCs w:val="21"/>
              </w:rPr>
            </w:pPr>
            <w:r>
              <w:rPr>
                <w:b/>
                <w:color w:val="333333"/>
                <w:sz w:val="21"/>
                <w:szCs w:val="21"/>
              </w:rPr>
              <w:t>Time to Market</w:t>
            </w:r>
          </w:p>
        </w:tc>
        <w:tc>
          <w:tcPr>
            <w:tcW w:w="0" w:type="auto"/>
            <w:shd w:val="clear" w:color="auto" w:fill="E2EEDA"/>
            <w:tcMar>
              <w:top w:w="100" w:type="dxa"/>
              <w:left w:w="100" w:type="dxa"/>
              <w:bottom w:w="100" w:type="dxa"/>
              <w:right w:w="100" w:type="dxa"/>
            </w:tcMar>
          </w:tcPr>
          <w:p w14:paraId="53BD5D9F" w14:textId="77777777" w:rsidR="008669F9" w:rsidRDefault="00000000" w:rsidP="00FD4F96">
            <w:pPr>
              <w:spacing w:line="360" w:lineRule="auto"/>
              <w:jc w:val="both"/>
              <w:rPr>
                <w:color w:val="333333"/>
                <w:sz w:val="21"/>
                <w:szCs w:val="21"/>
              </w:rPr>
            </w:pPr>
            <w:r>
              <w:rPr>
                <w:color w:val="333333"/>
                <w:sz w:val="21"/>
                <w:szCs w:val="21"/>
              </w:rPr>
              <w:t>6-8 months</w:t>
            </w:r>
          </w:p>
        </w:tc>
        <w:tc>
          <w:tcPr>
            <w:tcW w:w="0" w:type="auto"/>
            <w:shd w:val="clear" w:color="auto" w:fill="E2EEDA"/>
            <w:tcMar>
              <w:top w:w="100" w:type="dxa"/>
              <w:left w:w="100" w:type="dxa"/>
              <w:bottom w:w="100" w:type="dxa"/>
              <w:right w:w="100" w:type="dxa"/>
            </w:tcMar>
          </w:tcPr>
          <w:p w14:paraId="22BD7C4C" w14:textId="77777777" w:rsidR="008669F9" w:rsidRDefault="00000000" w:rsidP="00FD4F96">
            <w:pPr>
              <w:spacing w:line="360" w:lineRule="auto"/>
              <w:jc w:val="both"/>
              <w:rPr>
                <w:color w:val="333333"/>
                <w:sz w:val="21"/>
                <w:szCs w:val="21"/>
              </w:rPr>
            </w:pPr>
            <w:r>
              <w:rPr>
                <w:color w:val="333333"/>
                <w:sz w:val="21"/>
                <w:szCs w:val="21"/>
              </w:rPr>
              <w:t>Nearly 12 months</w:t>
            </w:r>
          </w:p>
        </w:tc>
      </w:tr>
      <w:tr w:rsidR="008669F9" w14:paraId="5EE3B68A" w14:textId="77777777" w:rsidTr="002F1635">
        <w:trPr>
          <w:tblHeader/>
        </w:trPr>
        <w:tc>
          <w:tcPr>
            <w:tcW w:w="0" w:type="auto"/>
            <w:tcMar>
              <w:top w:w="100" w:type="dxa"/>
              <w:left w:w="100" w:type="dxa"/>
              <w:bottom w:w="100" w:type="dxa"/>
              <w:right w:w="100" w:type="dxa"/>
            </w:tcMar>
          </w:tcPr>
          <w:p w14:paraId="38F3CD7B" w14:textId="77777777" w:rsidR="008669F9" w:rsidRDefault="00000000" w:rsidP="00FD4F96">
            <w:pPr>
              <w:spacing w:line="360" w:lineRule="auto"/>
              <w:jc w:val="both"/>
              <w:rPr>
                <w:b/>
                <w:color w:val="333333"/>
                <w:sz w:val="21"/>
                <w:szCs w:val="21"/>
              </w:rPr>
            </w:pPr>
            <w:r>
              <w:rPr>
                <w:b/>
                <w:color w:val="333333"/>
                <w:sz w:val="21"/>
                <w:szCs w:val="21"/>
              </w:rPr>
              <w:t>Regulatory Focus</w:t>
            </w:r>
          </w:p>
        </w:tc>
        <w:tc>
          <w:tcPr>
            <w:tcW w:w="0" w:type="auto"/>
            <w:tcMar>
              <w:top w:w="100" w:type="dxa"/>
              <w:left w:w="100" w:type="dxa"/>
              <w:bottom w:w="100" w:type="dxa"/>
              <w:right w:w="100" w:type="dxa"/>
            </w:tcMar>
          </w:tcPr>
          <w:p w14:paraId="7C1EAC04" w14:textId="77777777" w:rsidR="008669F9" w:rsidRDefault="00000000" w:rsidP="00FD4F96">
            <w:pPr>
              <w:spacing w:line="360" w:lineRule="auto"/>
              <w:jc w:val="both"/>
              <w:rPr>
                <w:color w:val="333333"/>
                <w:sz w:val="21"/>
                <w:szCs w:val="21"/>
              </w:rPr>
            </w:pPr>
            <w:r>
              <w:rPr>
                <w:color w:val="333333"/>
                <w:sz w:val="21"/>
                <w:szCs w:val="21"/>
              </w:rPr>
              <w:t>Semi-registration system includes both information disclosure and substantive audit</w:t>
            </w:r>
          </w:p>
        </w:tc>
        <w:tc>
          <w:tcPr>
            <w:tcW w:w="0" w:type="auto"/>
            <w:tcMar>
              <w:top w:w="100" w:type="dxa"/>
              <w:left w:w="100" w:type="dxa"/>
              <w:bottom w:w="100" w:type="dxa"/>
              <w:right w:w="100" w:type="dxa"/>
            </w:tcMar>
          </w:tcPr>
          <w:p w14:paraId="3FBA0878" w14:textId="77777777" w:rsidR="008669F9" w:rsidRDefault="00000000" w:rsidP="00FD4F96">
            <w:pPr>
              <w:spacing w:line="360" w:lineRule="auto"/>
              <w:jc w:val="both"/>
              <w:rPr>
                <w:color w:val="333333"/>
                <w:sz w:val="21"/>
                <w:szCs w:val="21"/>
              </w:rPr>
            </w:pPr>
            <w:r>
              <w:rPr>
                <w:color w:val="333333"/>
                <w:sz w:val="21"/>
                <w:szCs w:val="21"/>
              </w:rPr>
              <w:t>Information disclosure orientated registration system</w:t>
            </w:r>
          </w:p>
        </w:tc>
      </w:tr>
      <w:tr w:rsidR="008669F9" w14:paraId="250C3960" w14:textId="77777777" w:rsidTr="002F1635">
        <w:trPr>
          <w:tblHeader/>
        </w:trPr>
        <w:tc>
          <w:tcPr>
            <w:tcW w:w="0" w:type="auto"/>
            <w:shd w:val="clear" w:color="auto" w:fill="E2EEDA"/>
            <w:tcMar>
              <w:top w:w="100" w:type="dxa"/>
              <w:left w:w="100" w:type="dxa"/>
              <w:bottom w:w="100" w:type="dxa"/>
              <w:right w:w="100" w:type="dxa"/>
            </w:tcMar>
          </w:tcPr>
          <w:p w14:paraId="60DEA8E4" w14:textId="77777777" w:rsidR="008669F9" w:rsidRDefault="00000000" w:rsidP="00FD4F96">
            <w:pPr>
              <w:spacing w:line="360" w:lineRule="auto"/>
              <w:jc w:val="both"/>
              <w:rPr>
                <w:b/>
                <w:color w:val="333333"/>
                <w:sz w:val="21"/>
                <w:szCs w:val="21"/>
              </w:rPr>
            </w:pPr>
            <w:r>
              <w:rPr>
                <w:b/>
                <w:color w:val="333333"/>
                <w:sz w:val="21"/>
                <w:szCs w:val="21"/>
              </w:rPr>
              <w:t>Regulatory Procedure</w:t>
            </w:r>
          </w:p>
        </w:tc>
        <w:tc>
          <w:tcPr>
            <w:tcW w:w="0" w:type="auto"/>
            <w:shd w:val="clear" w:color="auto" w:fill="E2EEDA"/>
            <w:tcMar>
              <w:top w:w="100" w:type="dxa"/>
              <w:left w:w="100" w:type="dxa"/>
              <w:bottom w:w="100" w:type="dxa"/>
              <w:right w:w="100" w:type="dxa"/>
            </w:tcMar>
          </w:tcPr>
          <w:p w14:paraId="59022E15" w14:textId="77777777" w:rsidR="008669F9" w:rsidRDefault="00000000" w:rsidP="00FD4F96">
            <w:pPr>
              <w:spacing w:line="360" w:lineRule="auto"/>
              <w:jc w:val="both"/>
              <w:rPr>
                <w:color w:val="333333"/>
                <w:sz w:val="21"/>
                <w:szCs w:val="21"/>
              </w:rPr>
            </w:pPr>
            <w:r>
              <w:rPr>
                <w:color w:val="333333"/>
                <w:sz w:val="21"/>
                <w:szCs w:val="21"/>
              </w:rPr>
              <w:t>HKEx and SFC</w:t>
            </w:r>
          </w:p>
        </w:tc>
        <w:tc>
          <w:tcPr>
            <w:tcW w:w="0" w:type="auto"/>
            <w:shd w:val="clear" w:color="auto" w:fill="E2EEDA"/>
            <w:tcMar>
              <w:top w:w="100" w:type="dxa"/>
              <w:left w:w="100" w:type="dxa"/>
              <w:bottom w:w="100" w:type="dxa"/>
              <w:right w:w="100" w:type="dxa"/>
            </w:tcMar>
          </w:tcPr>
          <w:p w14:paraId="43AED41D" w14:textId="77777777" w:rsidR="008669F9" w:rsidRDefault="00000000" w:rsidP="00FD4F96">
            <w:pPr>
              <w:spacing w:line="360" w:lineRule="auto"/>
              <w:jc w:val="both"/>
              <w:rPr>
                <w:color w:val="333333"/>
                <w:sz w:val="21"/>
                <w:szCs w:val="21"/>
              </w:rPr>
            </w:pPr>
            <w:r>
              <w:rPr>
                <w:color w:val="333333"/>
                <w:sz w:val="21"/>
                <w:szCs w:val="21"/>
              </w:rPr>
              <w:t>CSRS and Stock Exchange</w:t>
            </w:r>
          </w:p>
        </w:tc>
      </w:tr>
      <w:tr w:rsidR="008669F9" w14:paraId="4E4EF9D5" w14:textId="77777777" w:rsidTr="002F1635">
        <w:trPr>
          <w:tblHeader/>
        </w:trPr>
        <w:tc>
          <w:tcPr>
            <w:tcW w:w="0" w:type="auto"/>
            <w:tcMar>
              <w:top w:w="100" w:type="dxa"/>
              <w:left w:w="100" w:type="dxa"/>
              <w:bottom w:w="100" w:type="dxa"/>
              <w:right w:w="100" w:type="dxa"/>
            </w:tcMar>
          </w:tcPr>
          <w:p w14:paraId="2E95C0EA" w14:textId="77777777" w:rsidR="008669F9" w:rsidRDefault="00000000" w:rsidP="00FD4F96">
            <w:pPr>
              <w:spacing w:line="360" w:lineRule="auto"/>
              <w:jc w:val="both"/>
              <w:rPr>
                <w:b/>
                <w:color w:val="333333"/>
                <w:sz w:val="21"/>
                <w:szCs w:val="21"/>
              </w:rPr>
            </w:pPr>
            <w:r>
              <w:rPr>
                <w:b/>
                <w:color w:val="333333"/>
                <w:sz w:val="21"/>
                <w:szCs w:val="21"/>
              </w:rPr>
              <w:t>Business Record</w:t>
            </w:r>
          </w:p>
          <w:p w14:paraId="6101CD5F" w14:textId="7BAE448A" w:rsidR="005A30A3" w:rsidRDefault="005A30A3" w:rsidP="00FD4F96">
            <w:pPr>
              <w:spacing w:line="360" w:lineRule="auto"/>
              <w:jc w:val="both"/>
              <w:rPr>
                <w:b/>
                <w:color w:val="333333"/>
                <w:sz w:val="21"/>
                <w:szCs w:val="21"/>
              </w:rPr>
            </w:pPr>
          </w:p>
        </w:tc>
        <w:tc>
          <w:tcPr>
            <w:tcW w:w="0" w:type="auto"/>
            <w:tcMar>
              <w:top w:w="100" w:type="dxa"/>
              <w:left w:w="100" w:type="dxa"/>
              <w:bottom w:w="100" w:type="dxa"/>
              <w:right w:w="100" w:type="dxa"/>
            </w:tcMar>
          </w:tcPr>
          <w:p w14:paraId="1D30A9E1" w14:textId="77777777" w:rsidR="008669F9" w:rsidRDefault="00000000" w:rsidP="00FD4F96">
            <w:pPr>
              <w:spacing w:line="360" w:lineRule="auto"/>
              <w:jc w:val="both"/>
              <w:rPr>
                <w:color w:val="333333"/>
                <w:sz w:val="21"/>
                <w:szCs w:val="21"/>
              </w:rPr>
            </w:pPr>
            <w:r>
              <w:rPr>
                <w:color w:val="333333"/>
                <w:sz w:val="21"/>
                <w:szCs w:val="21"/>
              </w:rPr>
              <w:t>Must have no fewer than three fiscal years of operating records management before and at least 3 fiscal years remain unchanged</w:t>
            </w:r>
          </w:p>
        </w:tc>
        <w:tc>
          <w:tcPr>
            <w:tcW w:w="0" w:type="auto"/>
            <w:tcMar>
              <w:top w:w="100" w:type="dxa"/>
              <w:left w:w="100" w:type="dxa"/>
              <w:bottom w:w="100" w:type="dxa"/>
              <w:right w:w="100" w:type="dxa"/>
            </w:tcMar>
          </w:tcPr>
          <w:p w14:paraId="6EF1D395" w14:textId="77777777" w:rsidR="008669F9" w:rsidRDefault="00000000" w:rsidP="0089404D">
            <w:pPr>
              <w:keepNext/>
              <w:spacing w:line="360" w:lineRule="auto"/>
              <w:jc w:val="both"/>
              <w:rPr>
                <w:color w:val="333333"/>
                <w:sz w:val="21"/>
                <w:szCs w:val="21"/>
              </w:rPr>
            </w:pPr>
            <w:r>
              <w:rPr>
                <w:color w:val="333333"/>
                <w:sz w:val="21"/>
                <w:szCs w:val="21"/>
              </w:rPr>
              <w:t>Continuing operation for more than 3 years</w:t>
            </w:r>
          </w:p>
        </w:tc>
      </w:tr>
    </w:tbl>
    <w:p w14:paraId="1CBEAFFC" w14:textId="2A4F7629" w:rsidR="005A30A3" w:rsidRPr="0089404D" w:rsidRDefault="00000000" w:rsidP="0089404D">
      <w:pPr>
        <w:pStyle w:val="Caption"/>
        <w:spacing w:line="360" w:lineRule="auto"/>
        <w:jc w:val="both"/>
        <w:rPr>
          <w:rFonts w:ascii="Times New Roman" w:hAnsi="Times New Roman" w:cs="Times New Roman"/>
          <w:i/>
          <w:iCs/>
          <w:sz w:val="21"/>
          <w:szCs w:val="21"/>
          <w:lang w:val="fr-CA"/>
        </w:rPr>
      </w:pPr>
      <w:r w:rsidRPr="0089404D">
        <w:rPr>
          <w:rFonts w:ascii="Times New Roman" w:hAnsi="Times New Roman" w:cs="Times New Roman"/>
          <w:i/>
          <w:iCs/>
          <w:sz w:val="21"/>
          <w:szCs w:val="21"/>
          <w:lang w:val="fr-CA"/>
        </w:rPr>
        <w:t>Source: Public Information, IBSG</w:t>
      </w:r>
    </w:p>
    <w:p w14:paraId="6171B218" w14:textId="77777777" w:rsidR="008669F9" w:rsidRDefault="00000000" w:rsidP="00FD4F96">
      <w:pPr>
        <w:pStyle w:val="Caption"/>
        <w:keepNext/>
        <w:spacing w:line="360" w:lineRule="auto"/>
        <w:jc w:val="both"/>
        <w:rPr>
          <w:rFonts w:ascii="Times New Roman" w:hAnsi="Times New Roman" w:cs="Times New Roman"/>
          <w:i/>
          <w:iCs/>
          <w:sz w:val="21"/>
          <w:szCs w:val="21"/>
        </w:rPr>
      </w:pPr>
      <w:r>
        <w:rPr>
          <w:rFonts w:ascii="Times New Roman" w:hAnsi="Times New Roman" w:cs="Times New Roman"/>
          <w:i/>
          <w:iCs/>
          <w:sz w:val="21"/>
          <w:szCs w:val="21"/>
        </w:rPr>
        <w:lastRenderedPageBreak/>
        <w:t>Figure 2: Compare of Different Listing Method</w:t>
      </w:r>
    </w:p>
    <w:tbl>
      <w:tblPr>
        <w:tblW w:w="5000" w:type="pct"/>
        <w:tblLook w:val="04A0" w:firstRow="1" w:lastRow="0" w:firstColumn="1" w:lastColumn="0" w:noHBand="0" w:noVBand="1"/>
      </w:tblPr>
      <w:tblGrid>
        <w:gridCol w:w="4102"/>
        <w:gridCol w:w="1559"/>
        <w:gridCol w:w="1561"/>
        <w:gridCol w:w="1788"/>
      </w:tblGrid>
      <w:tr w:rsidR="008669F9" w14:paraId="612145EC" w14:textId="77777777" w:rsidTr="00313334">
        <w:trPr>
          <w:tblHeader/>
        </w:trPr>
        <w:tc>
          <w:tcPr>
            <w:tcW w:w="2276" w:type="pct"/>
            <w:tcBorders>
              <w:top w:val="single" w:sz="6" w:space="0" w:color="000000"/>
              <w:left w:val="single" w:sz="6" w:space="0" w:color="000000"/>
              <w:bottom w:val="single" w:sz="6" w:space="0" w:color="000000"/>
              <w:right w:val="single" w:sz="6" w:space="0" w:color="000000"/>
            </w:tcBorders>
            <w:shd w:val="clear" w:color="auto" w:fill="003400"/>
            <w:tcMar>
              <w:top w:w="100" w:type="dxa"/>
              <w:left w:w="100" w:type="dxa"/>
              <w:bottom w:w="100" w:type="dxa"/>
              <w:right w:w="100" w:type="dxa"/>
            </w:tcMar>
          </w:tcPr>
          <w:p w14:paraId="61CA2EEA" w14:textId="77777777" w:rsidR="008669F9" w:rsidRDefault="00000000" w:rsidP="00FD4F96">
            <w:pPr>
              <w:spacing w:line="360" w:lineRule="auto"/>
              <w:jc w:val="both"/>
              <w:rPr>
                <w:b/>
                <w:color w:val="FFFFFF"/>
                <w:sz w:val="21"/>
                <w:szCs w:val="21"/>
              </w:rPr>
            </w:pPr>
            <w:r>
              <w:rPr>
                <w:b/>
                <w:color w:val="FFFFFF"/>
                <w:sz w:val="21"/>
                <w:szCs w:val="21"/>
              </w:rPr>
              <w:t>Method</w:t>
            </w:r>
          </w:p>
        </w:tc>
        <w:tc>
          <w:tcPr>
            <w:tcW w:w="865" w:type="pct"/>
            <w:tcBorders>
              <w:top w:val="single" w:sz="6" w:space="0" w:color="000000"/>
              <w:left w:val="nil"/>
              <w:bottom w:val="single" w:sz="6" w:space="0" w:color="000000"/>
              <w:right w:val="single" w:sz="6" w:space="0" w:color="000000"/>
            </w:tcBorders>
            <w:shd w:val="clear" w:color="auto" w:fill="003400"/>
            <w:tcMar>
              <w:top w:w="100" w:type="dxa"/>
              <w:left w:w="100" w:type="dxa"/>
              <w:bottom w:w="100" w:type="dxa"/>
              <w:right w:w="100" w:type="dxa"/>
            </w:tcMar>
          </w:tcPr>
          <w:p w14:paraId="2476ABF0" w14:textId="77777777" w:rsidR="008669F9" w:rsidRDefault="00000000" w:rsidP="00FD4F96">
            <w:pPr>
              <w:spacing w:line="360" w:lineRule="auto"/>
              <w:jc w:val="both"/>
              <w:rPr>
                <w:b/>
                <w:color w:val="FFFFFF"/>
                <w:sz w:val="21"/>
                <w:szCs w:val="21"/>
              </w:rPr>
            </w:pPr>
            <w:r>
              <w:rPr>
                <w:b/>
                <w:color w:val="FFFFFF"/>
                <w:sz w:val="21"/>
                <w:szCs w:val="21"/>
              </w:rPr>
              <w:t>Cost of Time</w:t>
            </w:r>
          </w:p>
        </w:tc>
        <w:tc>
          <w:tcPr>
            <w:tcW w:w="866" w:type="pct"/>
            <w:tcBorders>
              <w:top w:val="single" w:sz="6" w:space="0" w:color="000000"/>
              <w:left w:val="nil"/>
              <w:bottom w:val="single" w:sz="6" w:space="0" w:color="000000"/>
              <w:right w:val="single" w:sz="6" w:space="0" w:color="000000"/>
            </w:tcBorders>
            <w:shd w:val="clear" w:color="auto" w:fill="003400"/>
            <w:tcMar>
              <w:top w:w="100" w:type="dxa"/>
              <w:left w:w="100" w:type="dxa"/>
              <w:bottom w:w="100" w:type="dxa"/>
              <w:right w:w="100" w:type="dxa"/>
            </w:tcMar>
          </w:tcPr>
          <w:p w14:paraId="77AEE35C" w14:textId="77777777" w:rsidR="008669F9" w:rsidRDefault="00000000" w:rsidP="00FD4F96">
            <w:pPr>
              <w:spacing w:line="360" w:lineRule="auto"/>
              <w:jc w:val="both"/>
              <w:rPr>
                <w:b/>
                <w:color w:val="FFFFFF"/>
                <w:sz w:val="21"/>
                <w:szCs w:val="21"/>
              </w:rPr>
            </w:pPr>
            <w:r>
              <w:rPr>
                <w:b/>
                <w:color w:val="FFFFFF"/>
                <w:sz w:val="21"/>
                <w:szCs w:val="21"/>
              </w:rPr>
              <w:t>Financial Cost</w:t>
            </w:r>
          </w:p>
        </w:tc>
        <w:tc>
          <w:tcPr>
            <w:tcW w:w="992" w:type="pct"/>
            <w:tcBorders>
              <w:top w:val="single" w:sz="6" w:space="0" w:color="000000"/>
              <w:left w:val="nil"/>
              <w:bottom w:val="single" w:sz="6" w:space="0" w:color="000000"/>
              <w:right w:val="single" w:sz="6" w:space="0" w:color="000000"/>
            </w:tcBorders>
            <w:shd w:val="clear" w:color="auto" w:fill="003400"/>
            <w:tcMar>
              <w:top w:w="100" w:type="dxa"/>
              <w:left w:w="100" w:type="dxa"/>
              <w:bottom w:w="100" w:type="dxa"/>
              <w:right w:w="100" w:type="dxa"/>
            </w:tcMar>
          </w:tcPr>
          <w:p w14:paraId="0B554413" w14:textId="77777777" w:rsidR="008669F9" w:rsidRDefault="00000000" w:rsidP="00FD4F96">
            <w:pPr>
              <w:spacing w:line="360" w:lineRule="auto"/>
              <w:jc w:val="both"/>
              <w:rPr>
                <w:b/>
                <w:color w:val="FFFFFF"/>
                <w:sz w:val="21"/>
                <w:szCs w:val="21"/>
              </w:rPr>
            </w:pPr>
            <w:r>
              <w:rPr>
                <w:b/>
                <w:color w:val="FFFFFF"/>
                <w:sz w:val="21"/>
                <w:szCs w:val="21"/>
              </w:rPr>
              <w:t>Regulatory Risk</w:t>
            </w:r>
          </w:p>
        </w:tc>
      </w:tr>
      <w:tr w:rsidR="008669F9" w14:paraId="04EEE1A1" w14:textId="77777777" w:rsidTr="00313334">
        <w:trPr>
          <w:tblHeader/>
        </w:trPr>
        <w:tc>
          <w:tcPr>
            <w:tcW w:w="2276"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4845157" w14:textId="77777777" w:rsidR="008669F9" w:rsidRDefault="00000000" w:rsidP="00FD4F96">
            <w:pPr>
              <w:spacing w:line="360" w:lineRule="auto"/>
              <w:jc w:val="both"/>
              <w:rPr>
                <w:b/>
                <w:color w:val="333333"/>
                <w:sz w:val="21"/>
                <w:szCs w:val="21"/>
              </w:rPr>
            </w:pPr>
            <w:r>
              <w:rPr>
                <w:b/>
                <w:color w:val="333333"/>
                <w:sz w:val="21"/>
                <w:szCs w:val="21"/>
              </w:rPr>
              <w:t>Secondary Listing</w:t>
            </w:r>
          </w:p>
        </w:tc>
        <w:tc>
          <w:tcPr>
            <w:tcW w:w="865" w:type="pct"/>
            <w:tcBorders>
              <w:top w:val="nil"/>
              <w:left w:val="nil"/>
              <w:bottom w:val="single" w:sz="6" w:space="0" w:color="000000"/>
              <w:right w:val="single" w:sz="6" w:space="0" w:color="000000"/>
            </w:tcBorders>
            <w:tcMar>
              <w:top w:w="100" w:type="dxa"/>
              <w:left w:w="100" w:type="dxa"/>
              <w:bottom w:w="100" w:type="dxa"/>
              <w:right w:w="100" w:type="dxa"/>
            </w:tcMar>
          </w:tcPr>
          <w:p w14:paraId="733151F1" w14:textId="77777777" w:rsidR="008669F9" w:rsidRDefault="00000000" w:rsidP="00FD4F96">
            <w:pPr>
              <w:spacing w:line="360" w:lineRule="auto"/>
              <w:jc w:val="both"/>
              <w:rPr>
                <w:color w:val="333333"/>
                <w:sz w:val="21"/>
                <w:szCs w:val="21"/>
              </w:rPr>
            </w:pPr>
            <w:r>
              <w:rPr>
                <w:rFonts w:ascii="Gungsuh" w:eastAsia="Gungsuh" w:hAnsi="Gungsuh" w:cs="Gungsuh"/>
                <w:color w:val="333333"/>
                <w:sz w:val="21"/>
                <w:szCs w:val="21"/>
              </w:rPr>
              <w:t xml:space="preserve">　</w:t>
            </w:r>
          </w:p>
        </w:tc>
        <w:tc>
          <w:tcPr>
            <w:tcW w:w="866" w:type="pct"/>
            <w:tcBorders>
              <w:top w:val="nil"/>
              <w:left w:val="nil"/>
              <w:bottom w:val="single" w:sz="6" w:space="0" w:color="000000"/>
              <w:right w:val="single" w:sz="6" w:space="0" w:color="000000"/>
            </w:tcBorders>
            <w:tcMar>
              <w:top w:w="100" w:type="dxa"/>
              <w:left w:w="100" w:type="dxa"/>
              <w:bottom w:w="100" w:type="dxa"/>
              <w:right w:w="100" w:type="dxa"/>
            </w:tcMar>
          </w:tcPr>
          <w:p w14:paraId="46217480" w14:textId="77777777" w:rsidR="008669F9" w:rsidRDefault="00000000" w:rsidP="00FD4F96">
            <w:pPr>
              <w:spacing w:line="360" w:lineRule="auto"/>
              <w:jc w:val="both"/>
              <w:rPr>
                <w:color w:val="333333"/>
                <w:sz w:val="21"/>
                <w:szCs w:val="21"/>
              </w:rPr>
            </w:pPr>
            <w:r>
              <w:rPr>
                <w:rFonts w:ascii="Gungsuh" w:eastAsia="Gungsuh" w:hAnsi="Gungsuh" w:cs="Gungsuh"/>
                <w:color w:val="333333"/>
                <w:sz w:val="21"/>
                <w:szCs w:val="21"/>
              </w:rPr>
              <w:t xml:space="preserve">　</w:t>
            </w:r>
          </w:p>
        </w:tc>
        <w:tc>
          <w:tcPr>
            <w:tcW w:w="992" w:type="pct"/>
            <w:tcBorders>
              <w:top w:val="nil"/>
              <w:left w:val="nil"/>
              <w:bottom w:val="single" w:sz="6" w:space="0" w:color="000000"/>
              <w:right w:val="single" w:sz="6" w:space="0" w:color="000000"/>
            </w:tcBorders>
            <w:tcMar>
              <w:top w:w="100" w:type="dxa"/>
              <w:left w:w="100" w:type="dxa"/>
              <w:bottom w:w="100" w:type="dxa"/>
              <w:right w:w="100" w:type="dxa"/>
            </w:tcMar>
          </w:tcPr>
          <w:p w14:paraId="0C7F2659" w14:textId="77777777" w:rsidR="008669F9" w:rsidRDefault="00000000" w:rsidP="00FD4F96">
            <w:pPr>
              <w:spacing w:line="360" w:lineRule="auto"/>
              <w:jc w:val="both"/>
              <w:rPr>
                <w:color w:val="333333"/>
                <w:sz w:val="21"/>
                <w:szCs w:val="21"/>
              </w:rPr>
            </w:pPr>
            <w:r>
              <w:rPr>
                <w:rFonts w:ascii="Gungsuh" w:eastAsia="Gungsuh" w:hAnsi="Gungsuh" w:cs="Gungsuh"/>
                <w:color w:val="333333"/>
                <w:sz w:val="21"/>
                <w:szCs w:val="21"/>
              </w:rPr>
              <w:t xml:space="preserve">　</w:t>
            </w:r>
          </w:p>
        </w:tc>
      </w:tr>
      <w:tr w:rsidR="008669F9" w14:paraId="1EFC0063" w14:textId="77777777" w:rsidTr="00313334">
        <w:trPr>
          <w:tblHeader/>
        </w:trPr>
        <w:tc>
          <w:tcPr>
            <w:tcW w:w="2276" w:type="pct"/>
            <w:tcBorders>
              <w:top w:val="nil"/>
              <w:left w:val="single" w:sz="6" w:space="0" w:color="000000"/>
              <w:bottom w:val="single" w:sz="6" w:space="0" w:color="000000"/>
              <w:right w:val="single" w:sz="6" w:space="0" w:color="000000"/>
            </w:tcBorders>
            <w:shd w:val="clear" w:color="auto" w:fill="E2EEDA"/>
            <w:tcMar>
              <w:top w:w="100" w:type="dxa"/>
              <w:left w:w="100" w:type="dxa"/>
              <w:bottom w:w="100" w:type="dxa"/>
              <w:right w:w="100" w:type="dxa"/>
            </w:tcMar>
          </w:tcPr>
          <w:p w14:paraId="5B5280EE" w14:textId="77777777" w:rsidR="008669F9" w:rsidRDefault="00000000" w:rsidP="00FD4F96">
            <w:pPr>
              <w:spacing w:line="360" w:lineRule="auto"/>
              <w:jc w:val="both"/>
              <w:rPr>
                <w:color w:val="333333"/>
                <w:sz w:val="21"/>
                <w:szCs w:val="21"/>
              </w:rPr>
            </w:pPr>
            <w:r>
              <w:rPr>
                <w:color w:val="333333"/>
                <w:sz w:val="21"/>
                <w:szCs w:val="21"/>
              </w:rPr>
              <w:t>Secondary Listing in Hong Kong</w:t>
            </w:r>
          </w:p>
        </w:tc>
        <w:tc>
          <w:tcPr>
            <w:tcW w:w="865"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07290115" w14:textId="77777777" w:rsidR="008669F9" w:rsidRDefault="00000000" w:rsidP="00FD4F96">
            <w:pPr>
              <w:spacing w:line="360" w:lineRule="auto"/>
              <w:jc w:val="both"/>
              <w:rPr>
                <w:color w:val="333333"/>
                <w:sz w:val="21"/>
                <w:szCs w:val="21"/>
              </w:rPr>
            </w:pPr>
            <w:r>
              <w:rPr>
                <w:color w:val="333333"/>
                <w:sz w:val="21"/>
                <w:szCs w:val="21"/>
              </w:rPr>
              <w:t>Low</w:t>
            </w:r>
          </w:p>
        </w:tc>
        <w:tc>
          <w:tcPr>
            <w:tcW w:w="866"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4B1B3535" w14:textId="77777777" w:rsidR="008669F9" w:rsidRDefault="00000000" w:rsidP="00FD4F96">
            <w:pPr>
              <w:spacing w:line="360" w:lineRule="auto"/>
              <w:jc w:val="both"/>
              <w:rPr>
                <w:color w:val="333333"/>
                <w:sz w:val="21"/>
                <w:szCs w:val="21"/>
              </w:rPr>
            </w:pPr>
            <w:r>
              <w:rPr>
                <w:color w:val="333333"/>
                <w:sz w:val="21"/>
                <w:szCs w:val="21"/>
              </w:rPr>
              <w:t>Low</w:t>
            </w:r>
          </w:p>
        </w:tc>
        <w:tc>
          <w:tcPr>
            <w:tcW w:w="992"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6DD4FD08" w14:textId="77777777" w:rsidR="008669F9" w:rsidRDefault="00000000" w:rsidP="00FD4F96">
            <w:pPr>
              <w:spacing w:line="360" w:lineRule="auto"/>
              <w:jc w:val="both"/>
              <w:rPr>
                <w:color w:val="333333"/>
                <w:sz w:val="21"/>
                <w:szCs w:val="21"/>
              </w:rPr>
            </w:pPr>
            <w:r>
              <w:rPr>
                <w:color w:val="333333"/>
                <w:sz w:val="21"/>
                <w:szCs w:val="21"/>
              </w:rPr>
              <w:t>Low</w:t>
            </w:r>
          </w:p>
        </w:tc>
      </w:tr>
      <w:tr w:rsidR="008669F9" w14:paraId="4B458EC8" w14:textId="77777777" w:rsidTr="00313334">
        <w:trPr>
          <w:tblHeader/>
        </w:trPr>
        <w:tc>
          <w:tcPr>
            <w:tcW w:w="2276"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4A79FC5" w14:textId="77777777" w:rsidR="008669F9" w:rsidRDefault="00000000" w:rsidP="00FD4F96">
            <w:pPr>
              <w:spacing w:line="360" w:lineRule="auto"/>
              <w:jc w:val="both"/>
              <w:rPr>
                <w:b/>
                <w:color w:val="333333"/>
                <w:sz w:val="21"/>
                <w:szCs w:val="21"/>
              </w:rPr>
            </w:pPr>
            <w:r>
              <w:rPr>
                <w:b/>
                <w:color w:val="333333"/>
                <w:sz w:val="21"/>
                <w:szCs w:val="21"/>
              </w:rPr>
              <w:t>Listing after Privatization</w:t>
            </w:r>
          </w:p>
        </w:tc>
        <w:tc>
          <w:tcPr>
            <w:tcW w:w="865" w:type="pct"/>
            <w:tcBorders>
              <w:top w:val="nil"/>
              <w:left w:val="nil"/>
              <w:bottom w:val="single" w:sz="6" w:space="0" w:color="000000"/>
              <w:right w:val="single" w:sz="6" w:space="0" w:color="000000"/>
            </w:tcBorders>
            <w:tcMar>
              <w:top w:w="100" w:type="dxa"/>
              <w:left w:w="100" w:type="dxa"/>
              <w:bottom w:w="100" w:type="dxa"/>
              <w:right w:w="100" w:type="dxa"/>
            </w:tcMar>
          </w:tcPr>
          <w:p w14:paraId="6DA91F2E" w14:textId="77777777" w:rsidR="008669F9" w:rsidRDefault="00000000" w:rsidP="00FD4F96">
            <w:pPr>
              <w:spacing w:line="360" w:lineRule="auto"/>
              <w:jc w:val="both"/>
              <w:rPr>
                <w:color w:val="333333"/>
                <w:sz w:val="21"/>
                <w:szCs w:val="21"/>
              </w:rPr>
            </w:pPr>
            <w:r>
              <w:rPr>
                <w:rFonts w:ascii="Gungsuh" w:eastAsia="Gungsuh" w:hAnsi="Gungsuh" w:cs="Gungsuh"/>
                <w:color w:val="333333"/>
                <w:sz w:val="21"/>
                <w:szCs w:val="21"/>
              </w:rPr>
              <w:t xml:space="preserve">　</w:t>
            </w:r>
          </w:p>
        </w:tc>
        <w:tc>
          <w:tcPr>
            <w:tcW w:w="866" w:type="pct"/>
            <w:tcBorders>
              <w:top w:val="nil"/>
              <w:left w:val="nil"/>
              <w:bottom w:val="single" w:sz="6" w:space="0" w:color="000000"/>
              <w:right w:val="single" w:sz="6" w:space="0" w:color="000000"/>
            </w:tcBorders>
            <w:tcMar>
              <w:top w:w="100" w:type="dxa"/>
              <w:left w:w="100" w:type="dxa"/>
              <w:bottom w:w="100" w:type="dxa"/>
              <w:right w:w="100" w:type="dxa"/>
            </w:tcMar>
          </w:tcPr>
          <w:p w14:paraId="0C1E2705" w14:textId="77777777" w:rsidR="008669F9" w:rsidRDefault="00000000" w:rsidP="00FD4F96">
            <w:pPr>
              <w:spacing w:line="360" w:lineRule="auto"/>
              <w:jc w:val="both"/>
              <w:rPr>
                <w:color w:val="333333"/>
                <w:sz w:val="21"/>
                <w:szCs w:val="21"/>
              </w:rPr>
            </w:pPr>
            <w:r>
              <w:rPr>
                <w:rFonts w:ascii="Gungsuh" w:eastAsia="Gungsuh" w:hAnsi="Gungsuh" w:cs="Gungsuh"/>
                <w:color w:val="333333"/>
                <w:sz w:val="21"/>
                <w:szCs w:val="21"/>
              </w:rPr>
              <w:t xml:space="preserve">　</w:t>
            </w:r>
          </w:p>
        </w:tc>
        <w:tc>
          <w:tcPr>
            <w:tcW w:w="992" w:type="pct"/>
            <w:tcBorders>
              <w:top w:val="nil"/>
              <w:left w:val="nil"/>
              <w:bottom w:val="single" w:sz="6" w:space="0" w:color="000000"/>
              <w:right w:val="single" w:sz="6" w:space="0" w:color="000000"/>
            </w:tcBorders>
            <w:tcMar>
              <w:top w:w="100" w:type="dxa"/>
              <w:left w:w="100" w:type="dxa"/>
              <w:bottom w:w="100" w:type="dxa"/>
              <w:right w:w="100" w:type="dxa"/>
            </w:tcMar>
          </w:tcPr>
          <w:p w14:paraId="7BCB8F4E" w14:textId="77777777" w:rsidR="008669F9" w:rsidRDefault="00000000" w:rsidP="00FD4F96">
            <w:pPr>
              <w:spacing w:line="360" w:lineRule="auto"/>
              <w:jc w:val="both"/>
              <w:rPr>
                <w:color w:val="333333"/>
                <w:sz w:val="21"/>
                <w:szCs w:val="21"/>
              </w:rPr>
            </w:pPr>
            <w:r>
              <w:rPr>
                <w:rFonts w:ascii="Gungsuh" w:eastAsia="Gungsuh" w:hAnsi="Gungsuh" w:cs="Gungsuh"/>
                <w:color w:val="333333"/>
                <w:sz w:val="21"/>
                <w:szCs w:val="21"/>
              </w:rPr>
              <w:t xml:space="preserve">　</w:t>
            </w:r>
          </w:p>
        </w:tc>
      </w:tr>
      <w:tr w:rsidR="008669F9" w14:paraId="1954FD6B" w14:textId="77777777" w:rsidTr="00313334">
        <w:trPr>
          <w:tblHeader/>
        </w:trPr>
        <w:tc>
          <w:tcPr>
            <w:tcW w:w="2276" w:type="pct"/>
            <w:tcBorders>
              <w:top w:val="nil"/>
              <w:left w:val="single" w:sz="6" w:space="0" w:color="000000"/>
              <w:bottom w:val="single" w:sz="6" w:space="0" w:color="000000"/>
              <w:right w:val="single" w:sz="6" w:space="0" w:color="000000"/>
            </w:tcBorders>
            <w:shd w:val="clear" w:color="auto" w:fill="E2EEDA"/>
            <w:tcMar>
              <w:top w:w="100" w:type="dxa"/>
              <w:left w:w="100" w:type="dxa"/>
              <w:bottom w:w="100" w:type="dxa"/>
              <w:right w:w="100" w:type="dxa"/>
            </w:tcMar>
          </w:tcPr>
          <w:p w14:paraId="46837AC7" w14:textId="77777777" w:rsidR="008669F9" w:rsidRDefault="00000000" w:rsidP="00FD4F96">
            <w:pPr>
              <w:spacing w:line="360" w:lineRule="auto"/>
              <w:jc w:val="both"/>
              <w:rPr>
                <w:color w:val="333333"/>
                <w:sz w:val="21"/>
                <w:szCs w:val="21"/>
              </w:rPr>
            </w:pPr>
            <w:r>
              <w:rPr>
                <w:color w:val="333333"/>
                <w:sz w:val="21"/>
                <w:szCs w:val="21"/>
              </w:rPr>
              <w:t>Listing in Hong Kong after Privatization</w:t>
            </w:r>
          </w:p>
        </w:tc>
        <w:tc>
          <w:tcPr>
            <w:tcW w:w="865"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3D0A0241" w14:textId="77777777" w:rsidR="008669F9" w:rsidRDefault="00000000" w:rsidP="00FD4F96">
            <w:pPr>
              <w:spacing w:line="360" w:lineRule="auto"/>
              <w:jc w:val="both"/>
              <w:rPr>
                <w:color w:val="333333"/>
                <w:sz w:val="21"/>
                <w:szCs w:val="21"/>
              </w:rPr>
            </w:pPr>
            <w:r>
              <w:rPr>
                <w:color w:val="333333"/>
                <w:sz w:val="21"/>
                <w:szCs w:val="21"/>
              </w:rPr>
              <w:t>Low</w:t>
            </w:r>
          </w:p>
        </w:tc>
        <w:tc>
          <w:tcPr>
            <w:tcW w:w="866"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440548E9" w14:textId="77777777" w:rsidR="008669F9" w:rsidRDefault="00000000" w:rsidP="00FD4F96">
            <w:pPr>
              <w:spacing w:line="360" w:lineRule="auto"/>
              <w:jc w:val="both"/>
              <w:rPr>
                <w:color w:val="333333"/>
                <w:sz w:val="21"/>
                <w:szCs w:val="21"/>
              </w:rPr>
            </w:pPr>
            <w:r>
              <w:rPr>
                <w:color w:val="333333"/>
                <w:sz w:val="21"/>
                <w:szCs w:val="21"/>
              </w:rPr>
              <w:t>Moderate</w:t>
            </w:r>
          </w:p>
        </w:tc>
        <w:tc>
          <w:tcPr>
            <w:tcW w:w="992"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19CAEF8F" w14:textId="77777777" w:rsidR="008669F9" w:rsidRDefault="00000000" w:rsidP="00FD4F96">
            <w:pPr>
              <w:spacing w:line="360" w:lineRule="auto"/>
              <w:jc w:val="both"/>
              <w:rPr>
                <w:color w:val="333333"/>
                <w:sz w:val="21"/>
                <w:szCs w:val="21"/>
              </w:rPr>
            </w:pPr>
            <w:r>
              <w:rPr>
                <w:color w:val="333333"/>
                <w:sz w:val="21"/>
                <w:szCs w:val="21"/>
              </w:rPr>
              <w:t>Low</w:t>
            </w:r>
          </w:p>
        </w:tc>
      </w:tr>
      <w:tr w:rsidR="008669F9" w14:paraId="61CE1094" w14:textId="77777777" w:rsidTr="00313334">
        <w:trPr>
          <w:tblHeader/>
        </w:trPr>
        <w:tc>
          <w:tcPr>
            <w:tcW w:w="2276"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C8ABBBF" w14:textId="77777777" w:rsidR="008669F9" w:rsidRDefault="00000000" w:rsidP="00FD4F96">
            <w:pPr>
              <w:spacing w:line="360" w:lineRule="auto"/>
              <w:jc w:val="both"/>
              <w:rPr>
                <w:color w:val="333333"/>
                <w:sz w:val="21"/>
                <w:szCs w:val="21"/>
              </w:rPr>
            </w:pPr>
            <w:r>
              <w:rPr>
                <w:color w:val="333333"/>
                <w:sz w:val="21"/>
                <w:szCs w:val="21"/>
              </w:rPr>
              <w:t>Listing in Hong Kong after Privatization and Dismantling the Red-chip Structure</w:t>
            </w:r>
          </w:p>
        </w:tc>
        <w:tc>
          <w:tcPr>
            <w:tcW w:w="865" w:type="pct"/>
            <w:tcBorders>
              <w:top w:val="nil"/>
              <w:left w:val="nil"/>
              <w:bottom w:val="single" w:sz="6" w:space="0" w:color="000000"/>
              <w:right w:val="single" w:sz="6" w:space="0" w:color="000000"/>
            </w:tcBorders>
            <w:tcMar>
              <w:top w:w="100" w:type="dxa"/>
              <w:left w:w="100" w:type="dxa"/>
              <w:bottom w:w="100" w:type="dxa"/>
              <w:right w:w="100" w:type="dxa"/>
            </w:tcMar>
          </w:tcPr>
          <w:p w14:paraId="21519256" w14:textId="77777777" w:rsidR="008669F9" w:rsidRDefault="00000000" w:rsidP="00FD4F96">
            <w:pPr>
              <w:spacing w:line="360" w:lineRule="auto"/>
              <w:jc w:val="both"/>
              <w:rPr>
                <w:color w:val="333333"/>
                <w:sz w:val="21"/>
                <w:szCs w:val="21"/>
              </w:rPr>
            </w:pPr>
            <w:r>
              <w:rPr>
                <w:color w:val="333333"/>
                <w:sz w:val="21"/>
                <w:szCs w:val="21"/>
              </w:rPr>
              <w:t>Moderate</w:t>
            </w:r>
          </w:p>
        </w:tc>
        <w:tc>
          <w:tcPr>
            <w:tcW w:w="866" w:type="pct"/>
            <w:tcBorders>
              <w:top w:val="nil"/>
              <w:left w:val="nil"/>
              <w:bottom w:val="single" w:sz="6" w:space="0" w:color="000000"/>
              <w:right w:val="single" w:sz="6" w:space="0" w:color="000000"/>
            </w:tcBorders>
            <w:tcMar>
              <w:top w:w="100" w:type="dxa"/>
              <w:left w:w="100" w:type="dxa"/>
              <w:bottom w:w="100" w:type="dxa"/>
              <w:right w:w="100" w:type="dxa"/>
            </w:tcMar>
          </w:tcPr>
          <w:p w14:paraId="5167C223" w14:textId="77777777" w:rsidR="008669F9" w:rsidRDefault="00000000" w:rsidP="00FD4F96">
            <w:pPr>
              <w:spacing w:line="360" w:lineRule="auto"/>
              <w:jc w:val="both"/>
              <w:rPr>
                <w:color w:val="333333"/>
                <w:sz w:val="21"/>
                <w:szCs w:val="21"/>
              </w:rPr>
            </w:pPr>
            <w:r>
              <w:rPr>
                <w:color w:val="333333"/>
                <w:sz w:val="21"/>
                <w:szCs w:val="21"/>
              </w:rPr>
              <w:t>High</w:t>
            </w:r>
          </w:p>
        </w:tc>
        <w:tc>
          <w:tcPr>
            <w:tcW w:w="992" w:type="pct"/>
            <w:tcBorders>
              <w:top w:val="nil"/>
              <w:left w:val="nil"/>
              <w:bottom w:val="single" w:sz="6" w:space="0" w:color="000000"/>
              <w:right w:val="single" w:sz="6" w:space="0" w:color="000000"/>
            </w:tcBorders>
            <w:tcMar>
              <w:top w:w="100" w:type="dxa"/>
              <w:left w:w="100" w:type="dxa"/>
              <w:bottom w:w="100" w:type="dxa"/>
              <w:right w:w="100" w:type="dxa"/>
            </w:tcMar>
          </w:tcPr>
          <w:p w14:paraId="148F8AD7" w14:textId="77777777" w:rsidR="008669F9" w:rsidRDefault="00000000" w:rsidP="00FD4F96">
            <w:pPr>
              <w:spacing w:line="360" w:lineRule="auto"/>
              <w:jc w:val="both"/>
              <w:rPr>
                <w:color w:val="333333"/>
                <w:sz w:val="21"/>
                <w:szCs w:val="21"/>
              </w:rPr>
            </w:pPr>
            <w:r>
              <w:rPr>
                <w:color w:val="333333"/>
                <w:sz w:val="21"/>
                <w:szCs w:val="21"/>
              </w:rPr>
              <w:t>Low to Moderate</w:t>
            </w:r>
          </w:p>
        </w:tc>
      </w:tr>
      <w:tr w:rsidR="008669F9" w14:paraId="1B586848" w14:textId="77777777" w:rsidTr="00313334">
        <w:trPr>
          <w:tblHeader/>
        </w:trPr>
        <w:tc>
          <w:tcPr>
            <w:tcW w:w="2276" w:type="pct"/>
            <w:tcBorders>
              <w:top w:val="nil"/>
              <w:left w:val="single" w:sz="6" w:space="0" w:color="000000"/>
              <w:bottom w:val="single" w:sz="6" w:space="0" w:color="000000"/>
              <w:right w:val="single" w:sz="6" w:space="0" w:color="000000"/>
            </w:tcBorders>
            <w:shd w:val="clear" w:color="auto" w:fill="E2EEDA"/>
            <w:tcMar>
              <w:top w:w="100" w:type="dxa"/>
              <w:left w:w="100" w:type="dxa"/>
              <w:bottom w:w="100" w:type="dxa"/>
              <w:right w:w="100" w:type="dxa"/>
            </w:tcMar>
          </w:tcPr>
          <w:p w14:paraId="395ED9A1" w14:textId="77777777" w:rsidR="008669F9" w:rsidRDefault="00000000" w:rsidP="00FD4F96">
            <w:pPr>
              <w:spacing w:line="360" w:lineRule="auto"/>
              <w:jc w:val="both"/>
              <w:rPr>
                <w:color w:val="333333"/>
                <w:sz w:val="21"/>
                <w:szCs w:val="21"/>
              </w:rPr>
            </w:pPr>
            <w:r>
              <w:rPr>
                <w:color w:val="333333"/>
                <w:sz w:val="21"/>
                <w:szCs w:val="21"/>
              </w:rPr>
              <w:t>Red-chips List in Mainland after Privatization</w:t>
            </w:r>
          </w:p>
        </w:tc>
        <w:tc>
          <w:tcPr>
            <w:tcW w:w="865"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06CFC37E" w14:textId="77777777" w:rsidR="008669F9" w:rsidRDefault="00000000" w:rsidP="00FD4F96">
            <w:pPr>
              <w:spacing w:line="360" w:lineRule="auto"/>
              <w:jc w:val="both"/>
              <w:rPr>
                <w:color w:val="333333"/>
                <w:sz w:val="21"/>
                <w:szCs w:val="21"/>
              </w:rPr>
            </w:pPr>
            <w:r>
              <w:rPr>
                <w:color w:val="333333"/>
                <w:sz w:val="21"/>
                <w:szCs w:val="21"/>
              </w:rPr>
              <w:t>High</w:t>
            </w:r>
          </w:p>
        </w:tc>
        <w:tc>
          <w:tcPr>
            <w:tcW w:w="866"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6B8B6F9E" w14:textId="77777777" w:rsidR="008669F9" w:rsidRDefault="00000000" w:rsidP="00FD4F96">
            <w:pPr>
              <w:spacing w:line="360" w:lineRule="auto"/>
              <w:jc w:val="both"/>
              <w:rPr>
                <w:color w:val="333333"/>
                <w:sz w:val="21"/>
                <w:szCs w:val="21"/>
              </w:rPr>
            </w:pPr>
            <w:r>
              <w:rPr>
                <w:color w:val="333333"/>
                <w:sz w:val="21"/>
                <w:szCs w:val="21"/>
              </w:rPr>
              <w:t>High</w:t>
            </w:r>
          </w:p>
        </w:tc>
        <w:tc>
          <w:tcPr>
            <w:tcW w:w="992"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5F45FF1A" w14:textId="77777777" w:rsidR="008669F9" w:rsidRDefault="00000000" w:rsidP="00FD4F96">
            <w:pPr>
              <w:spacing w:line="360" w:lineRule="auto"/>
              <w:jc w:val="both"/>
              <w:rPr>
                <w:color w:val="333333"/>
                <w:sz w:val="21"/>
                <w:szCs w:val="21"/>
              </w:rPr>
            </w:pPr>
            <w:r>
              <w:rPr>
                <w:color w:val="333333"/>
                <w:sz w:val="21"/>
                <w:szCs w:val="21"/>
              </w:rPr>
              <w:t>Moderate</w:t>
            </w:r>
          </w:p>
        </w:tc>
      </w:tr>
      <w:tr w:rsidR="008669F9" w14:paraId="0CEF771B" w14:textId="77777777" w:rsidTr="00313334">
        <w:trPr>
          <w:tblHeader/>
        </w:trPr>
        <w:tc>
          <w:tcPr>
            <w:tcW w:w="2276"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9A551D9" w14:textId="77777777" w:rsidR="008669F9" w:rsidRDefault="00000000" w:rsidP="00FD4F96">
            <w:pPr>
              <w:spacing w:line="360" w:lineRule="auto"/>
              <w:jc w:val="both"/>
              <w:rPr>
                <w:color w:val="333333"/>
                <w:sz w:val="21"/>
                <w:szCs w:val="21"/>
              </w:rPr>
            </w:pPr>
            <w:r>
              <w:rPr>
                <w:color w:val="333333"/>
                <w:sz w:val="21"/>
                <w:szCs w:val="21"/>
              </w:rPr>
              <w:t>Listing in Mainland after Privatization</w:t>
            </w:r>
          </w:p>
        </w:tc>
        <w:tc>
          <w:tcPr>
            <w:tcW w:w="865" w:type="pct"/>
            <w:tcBorders>
              <w:top w:val="nil"/>
              <w:left w:val="nil"/>
              <w:bottom w:val="single" w:sz="6" w:space="0" w:color="000000"/>
              <w:right w:val="single" w:sz="6" w:space="0" w:color="000000"/>
            </w:tcBorders>
            <w:tcMar>
              <w:top w:w="100" w:type="dxa"/>
              <w:left w:w="100" w:type="dxa"/>
              <w:bottom w:w="100" w:type="dxa"/>
              <w:right w:w="100" w:type="dxa"/>
            </w:tcMar>
          </w:tcPr>
          <w:p w14:paraId="4641B471" w14:textId="77777777" w:rsidR="008669F9" w:rsidRDefault="00000000" w:rsidP="00FD4F96">
            <w:pPr>
              <w:spacing w:line="360" w:lineRule="auto"/>
              <w:jc w:val="both"/>
              <w:rPr>
                <w:color w:val="333333"/>
                <w:sz w:val="21"/>
                <w:szCs w:val="21"/>
              </w:rPr>
            </w:pPr>
            <w:r>
              <w:rPr>
                <w:color w:val="333333"/>
                <w:sz w:val="21"/>
                <w:szCs w:val="21"/>
              </w:rPr>
              <w:t>Moderate to High</w:t>
            </w:r>
          </w:p>
        </w:tc>
        <w:tc>
          <w:tcPr>
            <w:tcW w:w="866" w:type="pct"/>
            <w:tcBorders>
              <w:top w:val="nil"/>
              <w:left w:val="nil"/>
              <w:bottom w:val="single" w:sz="6" w:space="0" w:color="000000"/>
              <w:right w:val="single" w:sz="6" w:space="0" w:color="000000"/>
            </w:tcBorders>
            <w:tcMar>
              <w:top w:w="100" w:type="dxa"/>
              <w:left w:w="100" w:type="dxa"/>
              <w:bottom w:w="100" w:type="dxa"/>
              <w:right w:w="100" w:type="dxa"/>
            </w:tcMar>
          </w:tcPr>
          <w:p w14:paraId="61B43F3F" w14:textId="77777777" w:rsidR="008669F9" w:rsidRDefault="00000000" w:rsidP="00FD4F96">
            <w:pPr>
              <w:spacing w:line="360" w:lineRule="auto"/>
              <w:jc w:val="both"/>
              <w:rPr>
                <w:color w:val="333333"/>
                <w:sz w:val="21"/>
                <w:szCs w:val="21"/>
              </w:rPr>
            </w:pPr>
            <w:r>
              <w:rPr>
                <w:color w:val="333333"/>
                <w:sz w:val="21"/>
                <w:szCs w:val="21"/>
              </w:rPr>
              <w:t>Moderate</w:t>
            </w:r>
          </w:p>
        </w:tc>
        <w:tc>
          <w:tcPr>
            <w:tcW w:w="992" w:type="pct"/>
            <w:tcBorders>
              <w:top w:val="nil"/>
              <w:left w:val="nil"/>
              <w:bottom w:val="single" w:sz="6" w:space="0" w:color="000000"/>
              <w:right w:val="single" w:sz="6" w:space="0" w:color="000000"/>
            </w:tcBorders>
            <w:tcMar>
              <w:top w:w="100" w:type="dxa"/>
              <w:left w:w="100" w:type="dxa"/>
              <w:bottom w:w="100" w:type="dxa"/>
              <w:right w:w="100" w:type="dxa"/>
            </w:tcMar>
          </w:tcPr>
          <w:p w14:paraId="5AEB38D0" w14:textId="77777777" w:rsidR="008669F9" w:rsidRDefault="00000000" w:rsidP="00FD4F96">
            <w:pPr>
              <w:spacing w:line="360" w:lineRule="auto"/>
              <w:jc w:val="both"/>
              <w:rPr>
                <w:color w:val="333333"/>
                <w:sz w:val="21"/>
                <w:szCs w:val="21"/>
              </w:rPr>
            </w:pPr>
            <w:r>
              <w:rPr>
                <w:color w:val="333333"/>
                <w:sz w:val="21"/>
                <w:szCs w:val="21"/>
              </w:rPr>
              <w:t>Moderate</w:t>
            </w:r>
          </w:p>
        </w:tc>
      </w:tr>
      <w:tr w:rsidR="008669F9" w14:paraId="4392B645" w14:textId="77777777" w:rsidTr="00313334">
        <w:trPr>
          <w:tblHeader/>
        </w:trPr>
        <w:tc>
          <w:tcPr>
            <w:tcW w:w="2276" w:type="pct"/>
            <w:tcBorders>
              <w:top w:val="nil"/>
              <w:left w:val="single" w:sz="6" w:space="0" w:color="000000"/>
              <w:bottom w:val="single" w:sz="6" w:space="0" w:color="000000"/>
              <w:right w:val="single" w:sz="6" w:space="0" w:color="000000"/>
            </w:tcBorders>
            <w:shd w:val="clear" w:color="auto" w:fill="E2EEDA"/>
            <w:tcMar>
              <w:top w:w="100" w:type="dxa"/>
              <w:left w:w="100" w:type="dxa"/>
              <w:bottom w:w="100" w:type="dxa"/>
              <w:right w:w="100" w:type="dxa"/>
            </w:tcMar>
          </w:tcPr>
          <w:p w14:paraId="59B8FDBB" w14:textId="77777777" w:rsidR="008669F9" w:rsidRDefault="00000000" w:rsidP="00FD4F96">
            <w:pPr>
              <w:spacing w:line="360" w:lineRule="auto"/>
              <w:jc w:val="both"/>
              <w:rPr>
                <w:color w:val="333333"/>
                <w:sz w:val="21"/>
                <w:szCs w:val="21"/>
              </w:rPr>
            </w:pPr>
            <w:r>
              <w:rPr>
                <w:color w:val="333333"/>
                <w:sz w:val="21"/>
                <w:szCs w:val="21"/>
              </w:rPr>
              <w:t>Back-door Listing in Mainland after Privatization</w:t>
            </w:r>
          </w:p>
        </w:tc>
        <w:tc>
          <w:tcPr>
            <w:tcW w:w="865"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28EACE3E" w14:textId="77777777" w:rsidR="008669F9" w:rsidRDefault="00000000" w:rsidP="00FD4F96">
            <w:pPr>
              <w:spacing w:line="360" w:lineRule="auto"/>
              <w:jc w:val="both"/>
              <w:rPr>
                <w:color w:val="333333"/>
                <w:sz w:val="21"/>
                <w:szCs w:val="21"/>
              </w:rPr>
            </w:pPr>
            <w:r>
              <w:rPr>
                <w:color w:val="333333"/>
                <w:sz w:val="21"/>
                <w:szCs w:val="21"/>
              </w:rPr>
              <w:t>Moderate to High</w:t>
            </w:r>
          </w:p>
        </w:tc>
        <w:tc>
          <w:tcPr>
            <w:tcW w:w="866"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52F6FC29" w14:textId="77777777" w:rsidR="008669F9" w:rsidRDefault="00000000" w:rsidP="00FD4F96">
            <w:pPr>
              <w:spacing w:line="360" w:lineRule="auto"/>
              <w:jc w:val="both"/>
              <w:rPr>
                <w:color w:val="333333"/>
                <w:sz w:val="21"/>
                <w:szCs w:val="21"/>
              </w:rPr>
            </w:pPr>
            <w:r>
              <w:rPr>
                <w:color w:val="333333"/>
                <w:sz w:val="21"/>
                <w:szCs w:val="21"/>
              </w:rPr>
              <w:t>Moderate to High</w:t>
            </w:r>
          </w:p>
        </w:tc>
        <w:tc>
          <w:tcPr>
            <w:tcW w:w="992"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6834905A" w14:textId="77777777" w:rsidR="008669F9" w:rsidRDefault="00000000" w:rsidP="00FD4F96">
            <w:pPr>
              <w:spacing w:line="360" w:lineRule="auto"/>
              <w:jc w:val="both"/>
              <w:rPr>
                <w:color w:val="333333"/>
                <w:sz w:val="21"/>
                <w:szCs w:val="21"/>
              </w:rPr>
            </w:pPr>
            <w:r>
              <w:rPr>
                <w:color w:val="333333"/>
                <w:sz w:val="21"/>
                <w:szCs w:val="21"/>
              </w:rPr>
              <w:t>Moderate</w:t>
            </w:r>
          </w:p>
        </w:tc>
      </w:tr>
      <w:tr w:rsidR="008669F9" w14:paraId="6AB40A14" w14:textId="77777777" w:rsidTr="00313334">
        <w:trPr>
          <w:tblHeader/>
        </w:trPr>
        <w:tc>
          <w:tcPr>
            <w:tcW w:w="2276"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E674C48" w14:textId="77777777" w:rsidR="008669F9" w:rsidRDefault="00000000" w:rsidP="00FD4F96">
            <w:pPr>
              <w:spacing w:line="360" w:lineRule="auto"/>
              <w:jc w:val="both"/>
              <w:rPr>
                <w:b/>
                <w:color w:val="333333"/>
                <w:sz w:val="21"/>
                <w:szCs w:val="21"/>
              </w:rPr>
            </w:pPr>
            <w:r>
              <w:rPr>
                <w:b/>
                <w:color w:val="333333"/>
                <w:sz w:val="21"/>
                <w:szCs w:val="21"/>
              </w:rPr>
              <w:t>Dual Listing</w:t>
            </w:r>
          </w:p>
        </w:tc>
        <w:tc>
          <w:tcPr>
            <w:tcW w:w="865" w:type="pct"/>
            <w:tcBorders>
              <w:top w:val="nil"/>
              <w:left w:val="nil"/>
              <w:bottom w:val="single" w:sz="6" w:space="0" w:color="000000"/>
              <w:right w:val="single" w:sz="6" w:space="0" w:color="000000"/>
            </w:tcBorders>
            <w:tcMar>
              <w:top w:w="100" w:type="dxa"/>
              <w:left w:w="100" w:type="dxa"/>
              <w:bottom w:w="100" w:type="dxa"/>
              <w:right w:w="100" w:type="dxa"/>
            </w:tcMar>
          </w:tcPr>
          <w:p w14:paraId="0BE6507C" w14:textId="77777777" w:rsidR="008669F9" w:rsidRDefault="00000000" w:rsidP="00FD4F96">
            <w:pPr>
              <w:spacing w:line="360" w:lineRule="auto"/>
              <w:jc w:val="both"/>
              <w:rPr>
                <w:color w:val="333333"/>
                <w:sz w:val="21"/>
                <w:szCs w:val="21"/>
              </w:rPr>
            </w:pPr>
            <w:r>
              <w:rPr>
                <w:rFonts w:ascii="Gungsuh" w:eastAsia="Gungsuh" w:hAnsi="Gungsuh" w:cs="Gungsuh"/>
                <w:color w:val="333333"/>
                <w:sz w:val="21"/>
                <w:szCs w:val="21"/>
              </w:rPr>
              <w:t xml:space="preserve">　</w:t>
            </w:r>
          </w:p>
        </w:tc>
        <w:tc>
          <w:tcPr>
            <w:tcW w:w="866" w:type="pct"/>
            <w:tcBorders>
              <w:top w:val="nil"/>
              <w:left w:val="nil"/>
              <w:bottom w:val="single" w:sz="6" w:space="0" w:color="000000"/>
              <w:right w:val="single" w:sz="6" w:space="0" w:color="000000"/>
            </w:tcBorders>
            <w:tcMar>
              <w:top w:w="100" w:type="dxa"/>
              <w:left w:w="100" w:type="dxa"/>
              <w:bottom w:w="100" w:type="dxa"/>
              <w:right w:w="100" w:type="dxa"/>
            </w:tcMar>
          </w:tcPr>
          <w:p w14:paraId="1DAA4EEF" w14:textId="77777777" w:rsidR="008669F9" w:rsidRDefault="00000000" w:rsidP="00FD4F96">
            <w:pPr>
              <w:spacing w:line="360" w:lineRule="auto"/>
              <w:jc w:val="both"/>
              <w:rPr>
                <w:color w:val="333333"/>
                <w:sz w:val="21"/>
                <w:szCs w:val="21"/>
              </w:rPr>
            </w:pPr>
            <w:r>
              <w:rPr>
                <w:rFonts w:ascii="Gungsuh" w:eastAsia="Gungsuh" w:hAnsi="Gungsuh" w:cs="Gungsuh"/>
                <w:color w:val="333333"/>
                <w:sz w:val="21"/>
                <w:szCs w:val="21"/>
              </w:rPr>
              <w:t xml:space="preserve">　</w:t>
            </w:r>
          </w:p>
        </w:tc>
        <w:tc>
          <w:tcPr>
            <w:tcW w:w="992" w:type="pct"/>
            <w:tcBorders>
              <w:top w:val="nil"/>
              <w:left w:val="nil"/>
              <w:bottom w:val="single" w:sz="6" w:space="0" w:color="000000"/>
              <w:right w:val="single" w:sz="6" w:space="0" w:color="000000"/>
            </w:tcBorders>
            <w:tcMar>
              <w:top w:w="100" w:type="dxa"/>
              <w:left w:w="100" w:type="dxa"/>
              <w:bottom w:w="100" w:type="dxa"/>
              <w:right w:w="100" w:type="dxa"/>
            </w:tcMar>
          </w:tcPr>
          <w:p w14:paraId="29A2EEE8" w14:textId="77777777" w:rsidR="008669F9" w:rsidRDefault="00000000" w:rsidP="00FD4F96">
            <w:pPr>
              <w:spacing w:line="360" w:lineRule="auto"/>
              <w:jc w:val="both"/>
              <w:rPr>
                <w:color w:val="333333"/>
                <w:sz w:val="21"/>
                <w:szCs w:val="21"/>
              </w:rPr>
            </w:pPr>
            <w:r>
              <w:rPr>
                <w:rFonts w:ascii="Gungsuh" w:eastAsia="Gungsuh" w:hAnsi="Gungsuh" w:cs="Gungsuh"/>
                <w:color w:val="333333"/>
                <w:sz w:val="21"/>
                <w:szCs w:val="21"/>
              </w:rPr>
              <w:t xml:space="preserve">　</w:t>
            </w:r>
          </w:p>
        </w:tc>
      </w:tr>
      <w:tr w:rsidR="008669F9" w14:paraId="0B6A1410" w14:textId="77777777" w:rsidTr="00313334">
        <w:trPr>
          <w:tblHeader/>
        </w:trPr>
        <w:tc>
          <w:tcPr>
            <w:tcW w:w="2276" w:type="pct"/>
            <w:tcBorders>
              <w:top w:val="nil"/>
              <w:left w:val="single" w:sz="6" w:space="0" w:color="000000"/>
              <w:bottom w:val="single" w:sz="6" w:space="0" w:color="000000"/>
              <w:right w:val="single" w:sz="6" w:space="0" w:color="000000"/>
            </w:tcBorders>
            <w:shd w:val="clear" w:color="auto" w:fill="E2EEDA"/>
            <w:tcMar>
              <w:top w:w="100" w:type="dxa"/>
              <w:left w:w="100" w:type="dxa"/>
              <w:bottom w:w="100" w:type="dxa"/>
              <w:right w:w="100" w:type="dxa"/>
            </w:tcMar>
          </w:tcPr>
          <w:p w14:paraId="17F38C44" w14:textId="77777777" w:rsidR="008669F9" w:rsidRDefault="00000000" w:rsidP="00FD4F96">
            <w:pPr>
              <w:spacing w:line="360" w:lineRule="auto"/>
              <w:jc w:val="both"/>
              <w:rPr>
                <w:color w:val="333333"/>
                <w:sz w:val="21"/>
                <w:szCs w:val="21"/>
              </w:rPr>
            </w:pPr>
            <w:r>
              <w:rPr>
                <w:color w:val="333333"/>
                <w:sz w:val="21"/>
                <w:szCs w:val="21"/>
              </w:rPr>
              <w:t>Hong Kong IPO</w:t>
            </w:r>
          </w:p>
        </w:tc>
        <w:tc>
          <w:tcPr>
            <w:tcW w:w="865"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7558CEDD" w14:textId="77777777" w:rsidR="008669F9" w:rsidRDefault="00000000" w:rsidP="00FD4F96">
            <w:pPr>
              <w:spacing w:line="360" w:lineRule="auto"/>
              <w:jc w:val="both"/>
              <w:rPr>
                <w:color w:val="333333"/>
                <w:sz w:val="21"/>
                <w:szCs w:val="21"/>
              </w:rPr>
            </w:pPr>
            <w:r>
              <w:rPr>
                <w:color w:val="333333"/>
                <w:sz w:val="21"/>
                <w:szCs w:val="21"/>
              </w:rPr>
              <w:t>Low</w:t>
            </w:r>
          </w:p>
        </w:tc>
        <w:tc>
          <w:tcPr>
            <w:tcW w:w="866"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6B04DD08" w14:textId="77777777" w:rsidR="008669F9" w:rsidRDefault="00000000" w:rsidP="00FD4F96">
            <w:pPr>
              <w:spacing w:line="360" w:lineRule="auto"/>
              <w:jc w:val="both"/>
              <w:rPr>
                <w:color w:val="333333"/>
                <w:sz w:val="21"/>
                <w:szCs w:val="21"/>
              </w:rPr>
            </w:pPr>
            <w:r>
              <w:rPr>
                <w:color w:val="333333"/>
                <w:sz w:val="21"/>
                <w:szCs w:val="21"/>
              </w:rPr>
              <w:t>Moderate</w:t>
            </w:r>
          </w:p>
        </w:tc>
        <w:tc>
          <w:tcPr>
            <w:tcW w:w="992"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34A079B6" w14:textId="77777777" w:rsidR="008669F9" w:rsidRDefault="00000000" w:rsidP="00FD4F96">
            <w:pPr>
              <w:spacing w:line="360" w:lineRule="auto"/>
              <w:jc w:val="both"/>
              <w:rPr>
                <w:color w:val="333333"/>
                <w:sz w:val="21"/>
                <w:szCs w:val="21"/>
              </w:rPr>
            </w:pPr>
            <w:r>
              <w:rPr>
                <w:color w:val="333333"/>
                <w:sz w:val="21"/>
                <w:szCs w:val="21"/>
              </w:rPr>
              <w:t>Low</w:t>
            </w:r>
          </w:p>
        </w:tc>
      </w:tr>
      <w:tr w:rsidR="008669F9" w14:paraId="52F68ED5" w14:textId="77777777" w:rsidTr="00313334">
        <w:trPr>
          <w:tblHeader/>
        </w:trPr>
        <w:tc>
          <w:tcPr>
            <w:tcW w:w="2276"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F904E39" w14:textId="77777777" w:rsidR="008669F9" w:rsidRDefault="00000000" w:rsidP="00FD4F96">
            <w:pPr>
              <w:spacing w:line="360" w:lineRule="auto"/>
              <w:jc w:val="both"/>
              <w:rPr>
                <w:color w:val="333333"/>
                <w:sz w:val="21"/>
                <w:szCs w:val="21"/>
              </w:rPr>
            </w:pPr>
            <w:r>
              <w:rPr>
                <w:color w:val="333333"/>
                <w:sz w:val="21"/>
                <w:szCs w:val="21"/>
              </w:rPr>
              <w:t>Red-chips Mainland IPO</w:t>
            </w:r>
          </w:p>
        </w:tc>
        <w:tc>
          <w:tcPr>
            <w:tcW w:w="865" w:type="pct"/>
            <w:tcBorders>
              <w:top w:val="nil"/>
              <w:left w:val="nil"/>
              <w:bottom w:val="single" w:sz="6" w:space="0" w:color="000000"/>
              <w:right w:val="single" w:sz="6" w:space="0" w:color="000000"/>
            </w:tcBorders>
            <w:tcMar>
              <w:top w:w="100" w:type="dxa"/>
              <w:left w:w="100" w:type="dxa"/>
              <w:bottom w:w="100" w:type="dxa"/>
              <w:right w:w="100" w:type="dxa"/>
            </w:tcMar>
          </w:tcPr>
          <w:p w14:paraId="5E15EB8C" w14:textId="77777777" w:rsidR="008669F9" w:rsidRDefault="00000000" w:rsidP="00FD4F96">
            <w:pPr>
              <w:spacing w:line="360" w:lineRule="auto"/>
              <w:jc w:val="both"/>
              <w:rPr>
                <w:color w:val="333333"/>
                <w:sz w:val="21"/>
                <w:szCs w:val="21"/>
              </w:rPr>
            </w:pPr>
            <w:r>
              <w:rPr>
                <w:color w:val="333333"/>
                <w:sz w:val="21"/>
                <w:szCs w:val="21"/>
              </w:rPr>
              <w:t>-</w:t>
            </w:r>
          </w:p>
        </w:tc>
        <w:tc>
          <w:tcPr>
            <w:tcW w:w="866" w:type="pct"/>
            <w:tcBorders>
              <w:top w:val="nil"/>
              <w:left w:val="nil"/>
              <w:bottom w:val="single" w:sz="6" w:space="0" w:color="000000"/>
              <w:right w:val="single" w:sz="6" w:space="0" w:color="000000"/>
            </w:tcBorders>
            <w:tcMar>
              <w:top w:w="100" w:type="dxa"/>
              <w:left w:w="100" w:type="dxa"/>
              <w:bottom w:w="100" w:type="dxa"/>
              <w:right w:w="100" w:type="dxa"/>
            </w:tcMar>
          </w:tcPr>
          <w:p w14:paraId="09FA4A08" w14:textId="77777777" w:rsidR="008669F9" w:rsidRDefault="00000000" w:rsidP="00FD4F96">
            <w:pPr>
              <w:spacing w:line="360" w:lineRule="auto"/>
              <w:jc w:val="both"/>
              <w:rPr>
                <w:color w:val="333333"/>
                <w:sz w:val="21"/>
                <w:szCs w:val="21"/>
              </w:rPr>
            </w:pPr>
            <w:r>
              <w:rPr>
                <w:color w:val="333333"/>
                <w:sz w:val="21"/>
                <w:szCs w:val="21"/>
              </w:rPr>
              <w:t>Low to Moderate</w:t>
            </w:r>
          </w:p>
        </w:tc>
        <w:tc>
          <w:tcPr>
            <w:tcW w:w="992" w:type="pct"/>
            <w:tcBorders>
              <w:top w:val="nil"/>
              <w:left w:val="nil"/>
              <w:bottom w:val="single" w:sz="6" w:space="0" w:color="000000"/>
              <w:right w:val="single" w:sz="6" w:space="0" w:color="000000"/>
            </w:tcBorders>
            <w:tcMar>
              <w:top w:w="100" w:type="dxa"/>
              <w:left w:w="100" w:type="dxa"/>
              <w:bottom w:w="100" w:type="dxa"/>
              <w:right w:w="100" w:type="dxa"/>
            </w:tcMar>
          </w:tcPr>
          <w:p w14:paraId="61F6C529" w14:textId="77777777" w:rsidR="008669F9" w:rsidRDefault="00000000" w:rsidP="00FD4F96">
            <w:pPr>
              <w:spacing w:line="360" w:lineRule="auto"/>
              <w:jc w:val="both"/>
              <w:rPr>
                <w:color w:val="333333"/>
                <w:sz w:val="21"/>
                <w:szCs w:val="21"/>
              </w:rPr>
            </w:pPr>
            <w:r>
              <w:rPr>
                <w:color w:val="333333"/>
                <w:sz w:val="21"/>
                <w:szCs w:val="21"/>
              </w:rPr>
              <w:t>High</w:t>
            </w:r>
          </w:p>
        </w:tc>
      </w:tr>
      <w:tr w:rsidR="008669F9" w14:paraId="4629F32D" w14:textId="77777777" w:rsidTr="00313334">
        <w:trPr>
          <w:tblHeader/>
        </w:trPr>
        <w:tc>
          <w:tcPr>
            <w:tcW w:w="2276" w:type="pct"/>
            <w:tcBorders>
              <w:top w:val="nil"/>
              <w:left w:val="single" w:sz="6" w:space="0" w:color="000000"/>
              <w:bottom w:val="single" w:sz="6" w:space="0" w:color="000000"/>
              <w:right w:val="single" w:sz="6" w:space="0" w:color="000000"/>
            </w:tcBorders>
            <w:shd w:val="clear" w:color="auto" w:fill="E2EEDA"/>
            <w:tcMar>
              <w:top w:w="100" w:type="dxa"/>
              <w:left w:w="100" w:type="dxa"/>
              <w:bottom w:w="100" w:type="dxa"/>
              <w:right w:w="100" w:type="dxa"/>
            </w:tcMar>
          </w:tcPr>
          <w:p w14:paraId="57D27285" w14:textId="77777777" w:rsidR="008669F9" w:rsidRDefault="00000000" w:rsidP="00FD4F96">
            <w:pPr>
              <w:spacing w:line="360" w:lineRule="auto"/>
              <w:jc w:val="both"/>
              <w:rPr>
                <w:color w:val="333333"/>
                <w:sz w:val="21"/>
                <w:szCs w:val="21"/>
              </w:rPr>
            </w:pPr>
            <w:r>
              <w:rPr>
                <w:color w:val="333333"/>
                <w:sz w:val="21"/>
                <w:szCs w:val="21"/>
              </w:rPr>
              <w:t>Mainland IPO</w:t>
            </w:r>
          </w:p>
        </w:tc>
        <w:tc>
          <w:tcPr>
            <w:tcW w:w="865"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3F803CCC" w14:textId="77777777" w:rsidR="008669F9" w:rsidRDefault="00000000" w:rsidP="00FD4F96">
            <w:pPr>
              <w:spacing w:line="360" w:lineRule="auto"/>
              <w:jc w:val="both"/>
              <w:rPr>
                <w:color w:val="333333"/>
                <w:sz w:val="21"/>
                <w:szCs w:val="21"/>
              </w:rPr>
            </w:pPr>
            <w:r>
              <w:rPr>
                <w:color w:val="333333"/>
                <w:sz w:val="21"/>
                <w:szCs w:val="21"/>
              </w:rPr>
              <w:t>-</w:t>
            </w:r>
          </w:p>
        </w:tc>
        <w:tc>
          <w:tcPr>
            <w:tcW w:w="866"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35A927D7" w14:textId="77777777" w:rsidR="008669F9" w:rsidRDefault="00000000" w:rsidP="00FD4F96">
            <w:pPr>
              <w:spacing w:line="360" w:lineRule="auto"/>
              <w:jc w:val="both"/>
              <w:rPr>
                <w:color w:val="333333"/>
                <w:sz w:val="21"/>
                <w:szCs w:val="21"/>
              </w:rPr>
            </w:pPr>
            <w:r>
              <w:rPr>
                <w:color w:val="333333"/>
                <w:sz w:val="21"/>
                <w:szCs w:val="21"/>
              </w:rPr>
              <w:t>Low to Moderate</w:t>
            </w:r>
          </w:p>
        </w:tc>
        <w:tc>
          <w:tcPr>
            <w:tcW w:w="992"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356A32C1" w14:textId="77777777" w:rsidR="008669F9" w:rsidRDefault="00000000" w:rsidP="00FD4F96">
            <w:pPr>
              <w:spacing w:line="360" w:lineRule="auto"/>
              <w:jc w:val="both"/>
              <w:rPr>
                <w:color w:val="333333"/>
                <w:sz w:val="21"/>
                <w:szCs w:val="21"/>
              </w:rPr>
            </w:pPr>
            <w:r>
              <w:rPr>
                <w:color w:val="333333"/>
                <w:sz w:val="21"/>
                <w:szCs w:val="21"/>
              </w:rPr>
              <w:t>High</w:t>
            </w:r>
          </w:p>
        </w:tc>
      </w:tr>
    </w:tbl>
    <w:p w14:paraId="33C8E0C0" w14:textId="6A502578" w:rsidR="008669F9" w:rsidRPr="00FD4F96" w:rsidRDefault="00000000" w:rsidP="00FD4F96">
      <w:pPr>
        <w:pStyle w:val="Caption"/>
        <w:spacing w:line="360" w:lineRule="auto"/>
        <w:jc w:val="both"/>
        <w:rPr>
          <w:rFonts w:ascii="Times New Roman" w:hAnsi="Times New Roman" w:cs="Times New Roman"/>
          <w:i/>
          <w:iCs/>
          <w:sz w:val="21"/>
          <w:szCs w:val="21"/>
        </w:rPr>
      </w:pPr>
      <w:r>
        <w:rPr>
          <w:rFonts w:ascii="Times New Roman" w:hAnsi="Times New Roman" w:cs="Times New Roman"/>
          <w:i/>
          <w:iCs/>
          <w:sz w:val="21"/>
          <w:szCs w:val="21"/>
        </w:rPr>
        <w:t>Source: Public Information, IBSG</w:t>
      </w:r>
    </w:p>
    <w:p w14:paraId="3C630416" w14:textId="31C41BCA" w:rsidR="008669F9" w:rsidRPr="00090D6A" w:rsidRDefault="00000000" w:rsidP="002F1635">
      <w:pPr>
        <w:spacing w:line="360" w:lineRule="auto"/>
        <w:jc w:val="both"/>
        <w:rPr>
          <w:rFonts w:ascii="PingFang TC" w:eastAsia="PingFang TC" w:hAnsi="PingFang TC" w:cs="PingFang TC"/>
          <w:bCs/>
        </w:rPr>
      </w:pPr>
      <w:r w:rsidRPr="002F1635">
        <w:rPr>
          <w:rFonts w:eastAsiaTheme="minorEastAsia"/>
          <w:bCs/>
          <w:color w:val="000000" w:themeColor="text1"/>
          <w:szCs w:val="22"/>
        </w:rPr>
        <w:t>By comparing the above, it is easy to see that there are not many options for Chinese stocks in the Asian market, especially in specific industries, such as financial technology and education, which are not encouraged by the mainland exchanges. For Chinese stocks looking for another way out, certainty is always the priority, in addition to the cost of time or money to go public. For this reason, secondary listing in the Hong Kong market may be the best solution for fintech companies such as 360 Digital Technology, which can avoid regulatory risks and gain market and investor recognition besides reasonable valuation.</w:t>
      </w:r>
      <w:r w:rsidR="00090D6A" w:rsidRPr="002F1635">
        <w:rPr>
          <w:rFonts w:eastAsiaTheme="minorEastAsia"/>
          <w:bCs/>
          <w:color w:val="000000" w:themeColor="text1"/>
          <w:szCs w:val="22"/>
        </w:rPr>
        <w:t xml:space="preserve"> </w:t>
      </w:r>
      <w:r w:rsidR="00090D6A" w:rsidRPr="002F1635">
        <w:rPr>
          <w:rFonts w:eastAsiaTheme="minorEastAsia" w:hint="eastAsia"/>
          <w:bCs/>
          <w:color w:val="000000" w:themeColor="text1"/>
          <w:szCs w:val="22"/>
        </w:rPr>
        <w:t>Some</w:t>
      </w:r>
      <w:r w:rsidR="00090D6A" w:rsidRPr="002F1635">
        <w:rPr>
          <w:rFonts w:eastAsiaTheme="minorEastAsia"/>
          <w:bCs/>
          <w:color w:val="000000" w:themeColor="text1"/>
          <w:szCs w:val="22"/>
        </w:rPr>
        <w:t xml:space="preserve"> other examples</w:t>
      </w:r>
      <w:r w:rsidR="00090D6A">
        <w:rPr>
          <w:bCs/>
        </w:rPr>
        <w:t xml:space="preserve"> choosing Hong </w:t>
      </w:r>
      <w:r w:rsidR="00090D6A">
        <w:rPr>
          <w:bCs/>
        </w:rPr>
        <w:lastRenderedPageBreak/>
        <w:t xml:space="preserve">Kong market as the secondary listing place are </w:t>
      </w:r>
      <w:r w:rsidR="00090D6A" w:rsidRPr="00090D6A">
        <w:rPr>
          <w:bCs/>
        </w:rPr>
        <w:t>ANT GROUP CO., LTD</w:t>
      </w:r>
      <w:r w:rsidR="00090D6A">
        <w:rPr>
          <w:bCs/>
        </w:rPr>
        <w:t>.,</w:t>
      </w:r>
      <w:r w:rsidR="00924422">
        <w:rPr>
          <w:bCs/>
        </w:rPr>
        <w:t xml:space="preserve"> Oneconnect and </w:t>
      </w:r>
      <w:r w:rsidR="00924422" w:rsidRPr="00924422">
        <w:rPr>
          <w:bCs/>
        </w:rPr>
        <w:t>Lufax Holding Ltd</w:t>
      </w:r>
      <w:r w:rsidR="00924422">
        <w:rPr>
          <w:bCs/>
        </w:rPr>
        <w:t xml:space="preserve"> (planning stage).</w:t>
      </w:r>
    </w:p>
    <w:p w14:paraId="536B86DF" w14:textId="0E14D486" w:rsidR="008669F9" w:rsidRPr="00780325" w:rsidRDefault="00FD4F96" w:rsidP="00780325">
      <w:pPr>
        <w:pStyle w:val="IBSG"/>
        <w:spacing w:line="360" w:lineRule="auto"/>
        <w:jc w:val="both"/>
        <w:rPr>
          <w:rFonts w:ascii="Times New Roman" w:hAnsi="Times New Roman" w:cs="Times New Roman"/>
          <w:sz w:val="36"/>
          <w:szCs w:val="36"/>
        </w:rPr>
      </w:pPr>
      <w:bookmarkStart w:id="12" w:name="_Toc128217494"/>
      <w:r w:rsidRPr="00780325">
        <w:rPr>
          <w:rFonts w:ascii="Times New Roman" w:hAnsi="Times New Roman" w:cs="Times New Roman"/>
          <w:sz w:val="36"/>
          <w:szCs w:val="36"/>
        </w:rPr>
        <w:t>4. Case Study of 360DigiTech</w:t>
      </w:r>
      <w:bookmarkEnd w:id="12"/>
    </w:p>
    <w:p w14:paraId="5F21FDB7" w14:textId="5229BA84" w:rsidR="008669F9" w:rsidRPr="002F1635" w:rsidRDefault="002F1635" w:rsidP="00FD4F96">
      <w:pPr>
        <w:pStyle w:val="Heading2"/>
        <w:spacing w:line="360" w:lineRule="auto"/>
        <w:jc w:val="both"/>
        <w:rPr>
          <w:b w:val="0"/>
        </w:rPr>
      </w:pPr>
      <w:bookmarkStart w:id="13" w:name="_Toc128217495"/>
      <w:r w:rsidRPr="002F1635">
        <w:rPr>
          <w:rFonts w:ascii="Times New Roman" w:hAnsi="Times New Roman" w:cs="Times New Roman"/>
          <w:b w:val="0"/>
          <w:szCs w:val="24"/>
        </w:rPr>
        <w:t>4</w:t>
      </w:r>
      <w:r w:rsidR="00000000" w:rsidRPr="002F1635">
        <w:rPr>
          <w:rFonts w:ascii="Times New Roman" w:hAnsi="Times New Roman" w:cs="Times New Roman"/>
          <w:b w:val="0"/>
          <w:szCs w:val="24"/>
        </w:rPr>
        <w:t>.1 Background information:</w:t>
      </w:r>
      <w:bookmarkEnd w:id="13"/>
    </w:p>
    <w:p w14:paraId="360F341E" w14:textId="635D174C" w:rsidR="008669F9" w:rsidRPr="002F1635" w:rsidRDefault="002F1635" w:rsidP="002F1635">
      <w:pPr>
        <w:pStyle w:val="Heading3"/>
        <w:spacing w:line="360" w:lineRule="auto"/>
        <w:rPr>
          <w:rFonts w:ascii="Times New Roman" w:hAnsi="Times New Roman" w:cs="Times New Roman"/>
          <w:bCs/>
        </w:rPr>
      </w:pPr>
      <w:bookmarkStart w:id="14" w:name="_Toc128217496"/>
      <w:bookmarkEnd w:id="0"/>
      <w:bookmarkEnd w:id="1"/>
      <w:bookmarkEnd w:id="11"/>
      <w:r w:rsidRPr="002F1635">
        <w:rPr>
          <w:rFonts w:ascii="Times New Roman" w:hAnsi="Times New Roman" w:cs="Times New Roman"/>
          <w:bCs/>
        </w:rPr>
        <w:t>4</w:t>
      </w:r>
      <w:r w:rsidR="00000000" w:rsidRPr="002F1635">
        <w:rPr>
          <w:rFonts w:ascii="Times New Roman" w:hAnsi="Times New Roman" w:cs="Times New Roman"/>
          <w:bCs/>
        </w:rPr>
        <w:t>.1.1 Positioning and value of the business</w:t>
      </w:r>
      <w:bookmarkEnd w:id="14"/>
    </w:p>
    <w:p w14:paraId="004F2630" w14:textId="6E7996BA" w:rsidR="008669F9"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360 DigiTech. Inc. is a leading credit-tech business in China, founded in 2016 and starting by the name 360 Finance. It is ranked the 3rd largest consumer credit-tech platform in China, behind Ant Group and JDT. The fact that it is coupled in partnership with 360 group which specialize</w:t>
      </w:r>
      <w:r w:rsidR="002F1635">
        <w:rPr>
          <w:rFonts w:eastAsiaTheme="minorEastAsia"/>
          <w:bCs/>
          <w:color w:val="000000" w:themeColor="text1"/>
          <w:szCs w:val="22"/>
        </w:rPr>
        <w:t>s</w:t>
      </w:r>
      <w:r w:rsidRPr="002F1635">
        <w:rPr>
          <w:rFonts w:eastAsiaTheme="minorEastAsia"/>
          <w:bCs/>
          <w:color w:val="000000" w:themeColor="text1"/>
          <w:szCs w:val="22"/>
        </w:rPr>
        <w:t xml:space="preserve"> in cyber security guarantee</w:t>
      </w:r>
      <w:r w:rsidR="002F1635">
        <w:rPr>
          <w:rFonts w:eastAsiaTheme="minorEastAsia"/>
          <w:bCs/>
          <w:color w:val="000000" w:themeColor="text1"/>
          <w:szCs w:val="22"/>
        </w:rPr>
        <w:t>s</w:t>
      </w:r>
      <w:r w:rsidRPr="002F1635">
        <w:rPr>
          <w:rFonts w:eastAsiaTheme="minorEastAsia"/>
          <w:bCs/>
          <w:color w:val="000000" w:themeColor="text1"/>
          <w:szCs w:val="22"/>
        </w:rPr>
        <w:t xml:space="preserve"> an advantage in customer acquisition, funding optimization, risk assessment and post-lending management.</w:t>
      </w:r>
    </w:p>
    <w:p w14:paraId="7778B742" w14:textId="2D204FAF" w:rsidR="008669F9" w:rsidRPr="002F1635" w:rsidRDefault="00313334"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 xml:space="preserve">Via its Credit-Tech services to financial institutions, the company has devoted itself throughout the years to increasing the personalization and accessibility of credit services for consumers and SMEs. By empowering financial institutions across different stages in the lone lifecycle, including deploying technology to identify diverse needs of individual borrowers and SMEs that can’t be satisfied by traditional loans, cross-channel-assessing of </w:t>
      </w:r>
      <w:r w:rsidR="007A12BA" w:rsidRPr="002F1635">
        <w:rPr>
          <w:rFonts w:eastAsiaTheme="minorEastAsia"/>
          <w:bCs/>
          <w:color w:val="000000" w:themeColor="text1"/>
          <w:szCs w:val="22"/>
        </w:rPr>
        <w:t>borrowers’</w:t>
      </w:r>
      <w:r w:rsidRPr="002F1635">
        <w:rPr>
          <w:rFonts w:eastAsiaTheme="minorEastAsia"/>
          <w:bCs/>
          <w:color w:val="000000" w:themeColor="text1"/>
          <w:szCs w:val="22"/>
        </w:rPr>
        <w:t xml:space="preserve"> creditworthiness, and enhancing the effectiveness of debt recollection.</w:t>
      </w:r>
    </w:p>
    <w:p w14:paraId="6D1B452E" w14:textId="77777777" w:rsidR="008669F9"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t>The targets of their service are mainly Financial Institutions, consumers, and SMEs</w:t>
      </w:r>
      <w:r w:rsidRPr="002F1635">
        <w:rPr>
          <w:rFonts w:eastAsiaTheme="minorEastAsia" w:hint="eastAsia"/>
          <w:bCs/>
          <w:color w:val="000000" w:themeColor="text1"/>
          <w:szCs w:val="22"/>
        </w:rPr>
        <w:t>.</w:t>
      </w:r>
    </w:p>
    <w:p w14:paraId="279F9D2D" w14:textId="20DCE00B" w:rsidR="008669F9" w:rsidRPr="00FD4F96" w:rsidRDefault="00000000" w:rsidP="00FD4F96">
      <w:pPr>
        <w:pStyle w:val="Caption"/>
        <w:keepNext/>
        <w:spacing w:line="360" w:lineRule="auto"/>
        <w:jc w:val="both"/>
        <w:rPr>
          <w:rFonts w:ascii="Times New Roman" w:hAnsi="Times New Roman" w:cs="Times New Roman"/>
          <w:i/>
          <w:iCs/>
          <w:sz w:val="21"/>
          <w:szCs w:val="21"/>
        </w:rPr>
      </w:pPr>
      <w:r>
        <w:rPr>
          <w:rFonts w:ascii="Times New Roman" w:eastAsia="Times New Roman" w:hAnsi="Times New Roman" w:cs="Times New Roman"/>
          <w:i/>
          <w:color w:val="0A0A0A"/>
          <w:sz w:val="21"/>
          <w:szCs w:val="21"/>
          <w:highlight w:val="white"/>
        </w:rPr>
        <w:lastRenderedPageBreak/>
        <w:t>Figure 3: Targets of 360 DigiTech’s services</w:t>
      </w:r>
    </w:p>
    <w:tbl>
      <w:tblPr>
        <w:tblW w:w="8923" w:type="dxa"/>
        <w:tblLayout w:type="fixed"/>
        <w:tblLook w:val="04A0" w:firstRow="1" w:lastRow="0" w:firstColumn="1" w:lastColumn="0" w:noHBand="0" w:noVBand="1"/>
      </w:tblPr>
      <w:tblGrid>
        <w:gridCol w:w="1268"/>
        <w:gridCol w:w="3544"/>
        <w:gridCol w:w="4111"/>
      </w:tblGrid>
      <w:tr w:rsidR="008669F9" w14:paraId="29ED438C" w14:textId="77777777" w:rsidTr="002F1635">
        <w:trPr>
          <w:trHeight w:val="22"/>
          <w:tblHeader/>
        </w:trPr>
        <w:tc>
          <w:tcPr>
            <w:tcW w:w="1268" w:type="dxa"/>
            <w:tcBorders>
              <w:top w:val="single" w:sz="12" w:space="0" w:color="auto"/>
              <w:left w:val="single" w:sz="12" w:space="0" w:color="auto"/>
              <w:bottom w:val="single" w:sz="6" w:space="0" w:color="000000"/>
              <w:right w:val="single" w:sz="6" w:space="0" w:color="000000"/>
            </w:tcBorders>
            <w:shd w:val="clear" w:color="auto" w:fill="003400"/>
            <w:tcMar>
              <w:top w:w="100" w:type="dxa"/>
              <w:left w:w="100" w:type="dxa"/>
              <w:bottom w:w="100" w:type="dxa"/>
              <w:right w:w="100" w:type="dxa"/>
            </w:tcMar>
          </w:tcPr>
          <w:p w14:paraId="315D9C05" w14:textId="77777777" w:rsidR="008669F9" w:rsidRDefault="00000000" w:rsidP="00FD4F96">
            <w:pPr>
              <w:spacing w:line="360" w:lineRule="auto"/>
              <w:jc w:val="both"/>
              <w:rPr>
                <w:b/>
                <w:color w:val="FFFFFF"/>
                <w:sz w:val="21"/>
                <w:szCs w:val="21"/>
              </w:rPr>
            </w:pPr>
            <w:r>
              <w:rPr>
                <w:rFonts w:ascii="Gungsuh" w:eastAsia="Gungsuh" w:hAnsi="Gungsuh" w:cs="Gungsuh"/>
                <w:b/>
                <w:color w:val="FFFFFF"/>
                <w:sz w:val="21"/>
                <w:szCs w:val="21"/>
              </w:rPr>
              <w:t xml:space="preserve">　</w:t>
            </w:r>
          </w:p>
        </w:tc>
        <w:tc>
          <w:tcPr>
            <w:tcW w:w="3544" w:type="dxa"/>
            <w:tcBorders>
              <w:top w:val="single" w:sz="12" w:space="0" w:color="auto"/>
              <w:left w:val="nil"/>
              <w:bottom w:val="single" w:sz="6" w:space="0" w:color="000000"/>
              <w:right w:val="single" w:sz="6" w:space="0" w:color="000000"/>
            </w:tcBorders>
            <w:shd w:val="clear" w:color="auto" w:fill="003400"/>
            <w:tcMar>
              <w:top w:w="100" w:type="dxa"/>
              <w:left w:w="100" w:type="dxa"/>
              <w:bottom w:w="100" w:type="dxa"/>
              <w:right w:w="100" w:type="dxa"/>
            </w:tcMar>
          </w:tcPr>
          <w:p w14:paraId="6F372908" w14:textId="77777777" w:rsidR="008669F9" w:rsidRDefault="00000000" w:rsidP="00FD4F96">
            <w:pPr>
              <w:spacing w:line="360" w:lineRule="auto"/>
              <w:jc w:val="both"/>
              <w:rPr>
                <w:b/>
                <w:color w:val="FFFFFF"/>
                <w:sz w:val="21"/>
                <w:szCs w:val="21"/>
              </w:rPr>
            </w:pPr>
            <w:r>
              <w:rPr>
                <w:b/>
                <w:color w:val="FFFFFF"/>
                <w:sz w:val="21"/>
                <w:szCs w:val="21"/>
              </w:rPr>
              <w:t>Characteristics</w:t>
            </w:r>
          </w:p>
        </w:tc>
        <w:tc>
          <w:tcPr>
            <w:tcW w:w="4111" w:type="dxa"/>
            <w:tcBorders>
              <w:top w:val="single" w:sz="12" w:space="0" w:color="auto"/>
              <w:left w:val="nil"/>
              <w:bottom w:val="single" w:sz="6" w:space="0" w:color="000000"/>
              <w:right w:val="single" w:sz="12" w:space="0" w:color="auto"/>
            </w:tcBorders>
            <w:shd w:val="clear" w:color="auto" w:fill="003400"/>
            <w:tcMar>
              <w:top w:w="100" w:type="dxa"/>
              <w:left w:w="100" w:type="dxa"/>
              <w:bottom w:w="100" w:type="dxa"/>
              <w:right w:w="100" w:type="dxa"/>
            </w:tcMar>
          </w:tcPr>
          <w:p w14:paraId="322E011B" w14:textId="77777777" w:rsidR="008669F9" w:rsidRDefault="00000000" w:rsidP="00FD4F96">
            <w:pPr>
              <w:spacing w:line="360" w:lineRule="auto"/>
              <w:jc w:val="both"/>
              <w:rPr>
                <w:b/>
                <w:color w:val="FFFFFF"/>
                <w:sz w:val="21"/>
                <w:szCs w:val="21"/>
              </w:rPr>
            </w:pPr>
            <w:r>
              <w:rPr>
                <w:b/>
                <w:color w:val="FFFFFF"/>
                <w:sz w:val="21"/>
                <w:szCs w:val="21"/>
              </w:rPr>
              <w:t>Services</w:t>
            </w:r>
          </w:p>
        </w:tc>
      </w:tr>
      <w:tr w:rsidR="008669F9" w14:paraId="4293B390" w14:textId="77777777" w:rsidTr="002F1635">
        <w:trPr>
          <w:trHeight w:val="20"/>
          <w:tblHeader/>
        </w:trPr>
        <w:tc>
          <w:tcPr>
            <w:tcW w:w="1268" w:type="dxa"/>
            <w:vMerge w:val="restart"/>
            <w:tcBorders>
              <w:top w:val="nil"/>
              <w:left w:val="single" w:sz="12" w:space="0" w:color="auto"/>
              <w:right w:val="single" w:sz="6" w:space="0" w:color="000000"/>
            </w:tcBorders>
            <w:tcMar>
              <w:top w:w="100" w:type="dxa"/>
              <w:left w:w="100" w:type="dxa"/>
              <w:bottom w:w="100" w:type="dxa"/>
              <w:right w:w="100" w:type="dxa"/>
            </w:tcMar>
          </w:tcPr>
          <w:p w14:paraId="0E452A6E" w14:textId="77777777" w:rsidR="008669F9" w:rsidRDefault="00000000" w:rsidP="00FD4F96">
            <w:pPr>
              <w:spacing w:line="360" w:lineRule="auto"/>
              <w:jc w:val="both"/>
              <w:rPr>
                <w:b/>
                <w:color w:val="333333"/>
                <w:sz w:val="21"/>
                <w:szCs w:val="21"/>
              </w:rPr>
            </w:pPr>
            <w:r>
              <w:rPr>
                <w:b/>
                <w:color w:val="333333"/>
                <w:sz w:val="21"/>
                <w:szCs w:val="21"/>
              </w:rPr>
              <w:t>Financial</w:t>
            </w:r>
          </w:p>
          <w:p w14:paraId="0E7965E7" w14:textId="77777777" w:rsidR="008669F9" w:rsidRDefault="00000000" w:rsidP="00FD4F96">
            <w:pPr>
              <w:spacing w:line="360" w:lineRule="auto"/>
              <w:jc w:val="both"/>
              <w:rPr>
                <w:b/>
                <w:color w:val="333333"/>
                <w:sz w:val="21"/>
                <w:szCs w:val="21"/>
              </w:rPr>
            </w:pPr>
            <w:r>
              <w:rPr>
                <w:b/>
                <w:color w:val="333333"/>
                <w:sz w:val="21"/>
                <w:szCs w:val="21"/>
              </w:rPr>
              <w:t>Institutions</w:t>
            </w:r>
          </w:p>
        </w:tc>
        <w:tc>
          <w:tcPr>
            <w:tcW w:w="3544" w:type="dxa"/>
            <w:vMerge w:val="restart"/>
            <w:tcBorders>
              <w:top w:val="nil"/>
              <w:left w:val="nil"/>
              <w:right w:val="single" w:sz="6" w:space="0" w:color="000000"/>
            </w:tcBorders>
            <w:tcMar>
              <w:top w:w="100" w:type="dxa"/>
              <w:left w:w="100" w:type="dxa"/>
              <w:bottom w:w="100" w:type="dxa"/>
              <w:right w:w="100" w:type="dxa"/>
            </w:tcMar>
          </w:tcPr>
          <w:p w14:paraId="6246FB46" w14:textId="77777777" w:rsidR="008669F9" w:rsidRDefault="00000000" w:rsidP="00FD4F96">
            <w:pPr>
              <w:spacing w:line="360" w:lineRule="auto"/>
              <w:jc w:val="both"/>
              <w:rPr>
                <w:color w:val="333333"/>
                <w:sz w:val="21"/>
                <w:szCs w:val="21"/>
              </w:rPr>
            </w:pPr>
            <w:r>
              <w:rPr>
                <w:color w:val="333333"/>
                <w:sz w:val="21"/>
                <w:szCs w:val="21"/>
              </w:rPr>
              <w:t>National And Regional Banks Consumer Finance Companies</w:t>
            </w:r>
          </w:p>
        </w:tc>
        <w:tc>
          <w:tcPr>
            <w:tcW w:w="4111" w:type="dxa"/>
            <w:tcBorders>
              <w:top w:val="nil"/>
              <w:left w:val="nil"/>
              <w:bottom w:val="single" w:sz="6" w:space="0" w:color="000000"/>
              <w:right w:val="single" w:sz="12" w:space="0" w:color="auto"/>
            </w:tcBorders>
            <w:tcMar>
              <w:top w:w="100" w:type="dxa"/>
              <w:left w:w="100" w:type="dxa"/>
              <w:bottom w:w="100" w:type="dxa"/>
              <w:right w:w="100" w:type="dxa"/>
            </w:tcMar>
          </w:tcPr>
          <w:p w14:paraId="58229AA6" w14:textId="77777777" w:rsidR="008669F9" w:rsidRDefault="00000000" w:rsidP="00FD4F96">
            <w:pPr>
              <w:spacing w:line="360" w:lineRule="auto"/>
              <w:jc w:val="both"/>
              <w:rPr>
                <w:color w:val="333333"/>
                <w:sz w:val="21"/>
                <w:szCs w:val="21"/>
              </w:rPr>
            </w:pPr>
            <w:r>
              <w:rPr>
                <w:color w:val="333333"/>
                <w:sz w:val="21"/>
                <w:szCs w:val="21"/>
              </w:rPr>
              <w:t>Real-Time Automatic Borrower Acquisition</w:t>
            </w:r>
          </w:p>
        </w:tc>
      </w:tr>
      <w:tr w:rsidR="008669F9" w14:paraId="047A0584" w14:textId="77777777" w:rsidTr="002F1635">
        <w:trPr>
          <w:trHeight w:val="20"/>
          <w:tblHeader/>
        </w:trPr>
        <w:tc>
          <w:tcPr>
            <w:tcW w:w="1268" w:type="dxa"/>
            <w:vMerge/>
            <w:tcBorders>
              <w:left w:val="single" w:sz="12" w:space="0" w:color="auto"/>
              <w:right w:val="single" w:sz="6" w:space="0" w:color="000000"/>
            </w:tcBorders>
            <w:shd w:val="clear" w:color="auto" w:fill="E2EEDA"/>
            <w:tcMar>
              <w:top w:w="100" w:type="dxa"/>
              <w:left w:w="100" w:type="dxa"/>
              <w:bottom w:w="100" w:type="dxa"/>
              <w:right w:w="100" w:type="dxa"/>
            </w:tcMar>
          </w:tcPr>
          <w:p w14:paraId="375C6C50" w14:textId="77777777" w:rsidR="008669F9" w:rsidRDefault="008669F9" w:rsidP="00FD4F96">
            <w:pPr>
              <w:spacing w:line="360" w:lineRule="auto"/>
              <w:jc w:val="both"/>
              <w:rPr>
                <w:b/>
                <w:color w:val="333333"/>
                <w:sz w:val="21"/>
                <w:szCs w:val="21"/>
              </w:rPr>
            </w:pPr>
          </w:p>
        </w:tc>
        <w:tc>
          <w:tcPr>
            <w:tcW w:w="3544" w:type="dxa"/>
            <w:vMerge/>
            <w:tcBorders>
              <w:left w:val="nil"/>
              <w:right w:val="single" w:sz="6" w:space="0" w:color="000000"/>
            </w:tcBorders>
            <w:shd w:val="clear" w:color="auto" w:fill="E2EEDA"/>
            <w:tcMar>
              <w:top w:w="100" w:type="dxa"/>
              <w:left w:w="100" w:type="dxa"/>
              <w:bottom w:w="100" w:type="dxa"/>
              <w:right w:w="100" w:type="dxa"/>
            </w:tcMar>
          </w:tcPr>
          <w:p w14:paraId="6FB3FA19" w14:textId="77777777" w:rsidR="008669F9" w:rsidRDefault="008669F9" w:rsidP="00FD4F96">
            <w:pPr>
              <w:spacing w:line="360" w:lineRule="auto"/>
              <w:jc w:val="both"/>
              <w:rPr>
                <w:color w:val="333333"/>
                <w:sz w:val="21"/>
                <w:szCs w:val="21"/>
              </w:rPr>
            </w:pPr>
          </w:p>
        </w:tc>
        <w:tc>
          <w:tcPr>
            <w:tcW w:w="4111" w:type="dxa"/>
            <w:tcBorders>
              <w:top w:val="nil"/>
              <w:left w:val="nil"/>
              <w:bottom w:val="single" w:sz="6" w:space="0" w:color="000000"/>
              <w:right w:val="single" w:sz="12" w:space="0" w:color="auto"/>
            </w:tcBorders>
            <w:shd w:val="clear" w:color="auto" w:fill="E2EEDA"/>
            <w:tcMar>
              <w:top w:w="100" w:type="dxa"/>
              <w:left w:w="100" w:type="dxa"/>
              <w:bottom w:w="100" w:type="dxa"/>
              <w:right w:w="100" w:type="dxa"/>
            </w:tcMar>
          </w:tcPr>
          <w:p w14:paraId="668E8465" w14:textId="77777777" w:rsidR="008669F9" w:rsidRDefault="00000000" w:rsidP="00FD4F96">
            <w:pPr>
              <w:spacing w:line="360" w:lineRule="auto"/>
              <w:jc w:val="both"/>
              <w:rPr>
                <w:color w:val="333333"/>
                <w:sz w:val="21"/>
                <w:szCs w:val="21"/>
              </w:rPr>
            </w:pPr>
            <w:r>
              <w:rPr>
                <w:color w:val="333333"/>
                <w:sz w:val="21"/>
                <w:szCs w:val="21"/>
              </w:rPr>
              <w:t>Enhanced Credit Screening</w:t>
            </w:r>
          </w:p>
        </w:tc>
      </w:tr>
      <w:tr w:rsidR="008669F9" w14:paraId="2C93F50D" w14:textId="77777777" w:rsidTr="002F1635">
        <w:trPr>
          <w:trHeight w:val="20"/>
          <w:tblHeader/>
        </w:trPr>
        <w:tc>
          <w:tcPr>
            <w:tcW w:w="1268" w:type="dxa"/>
            <w:vMerge/>
            <w:tcBorders>
              <w:left w:val="single" w:sz="12" w:space="0" w:color="auto"/>
              <w:bottom w:val="single" w:sz="6" w:space="0" w:color="000000"/>
              <w:right w:val="single" w:sz="6" w:space="0" w:color="000000"/>
            </w:tcBorders>
            <w:tcMar>
              <w:top w:w="100" w:type="dxa"/>
              <w:left w:w="100" w:type="dxa"/>
              <w:bottom w:w="100" w:type="dxa"/>
              <w:right w:w="100" w:type="dxa"/>
            </w:tcMar>
          </w:tcPr>
          <w:p w14:paraId="58323EDE" w14:textId="77777777" w:rsidR="008669F9" w:rsidRDefault="008669F9" w:rsidP="00FD4F96">
            <w:pPr>
              <w:spacing w:line="360" w:lineRule="auto"/>
              <w:jc w:val="both"/>
              <w:rPr>
                <w:b/>
                <w:color w:val="333333"/>
                <w:sz w:val="21"/>
                <w:szCs w:val="21"/>
              </w:rPr>
            </w:pPr>
          </w:p>
        </w:tc>
        <w:tc>
          <w:tcPr>
            <w:tcW w:w="3544" w:type="dxa"/>
            <w:vMerge/>
            <w:tcBorders>
              <w:left w:val="nil"/>
              <w:bottom w:val="single" w:sz="6" w:space="0" w:color="000000"/>
              <w:right w:val="single" w:sz="6" w:space="0" w:color="000000"/>
            </w:tcBorders>
            <w:tcMar>
              <w:top w:w="100" w:type="dxa"/>
              <w:left w:w="100" w:type="dxa"/>
              <w:bottom w:w="100" w:type="dxa"/>
              <w:right w:w="100" w:type="dxa"/>
            </w:tcMar>
          </w:tcPr>
          <w:p w14:paraId="1AA2A10B" w14:textId="77777777" w:rsidR="008669F9" w:rsidRDefault="008669F9" w:rsidP="00FD4F96">
            <w:pPr>
              <w:spacing w:line="360" w:lineRule="auto"/>
              <w:jc w:val="both"/>
              <w:rPr>
                <w:color w:val="333333"/>
                <w:sz w:val="21"/>
                <w:szCs w:val="21"/>
              </w:rPr>
            </w:pPr>
          </w:p>
        </w:tc>
        <w:tc>
          <w:tcPr>
            <w:tcW w:w="4111" w:type="dxa"/>
            <w:tcBorders>
              <w:top w:val="nil"/>
              <w:left w:val="nil"/>
              <w:bottom w:val="single" w:sz="6" w:space="0" w:color="000000"/>
              <w:right w:val="single" w:sz="12" w:space="0" w:color="auto"/>
            </w:tcBorders>
            <w:tcMar>
              <w:top w:w="100" w:type="dxa"/>
              <w:left w:w="100" w:type="dxa"/>
              <w:bottom w:w="100" w:type="dxa"/>
              <w:right w:w="100" w:type="dxa"/>
            </w:tcMar>
          </w:tcPr>
          <w:p w14:paraId="6C08E707" w14:textId="77777777" w:rsidR="008669F9" w:rsidRDefault="00000000" w:rsidP="00FD4F96">
            <w:pPr>
              <w:spacing w:line="360" w:lineRule="auto"/>
              <w:jc w:val="both"/>
              <w:rPr>
                <w:color w:val="333333"/>
                <w:sz w:val="21"/>
                <w:szCs w:val="21"/>
              </w:rPr>
            </w:pPr>
            <w:r>
              <w:rPr>
                <w:color w:val="333333"/>
                <w:sz w:val="21"/>
                <w:szCs w:val="21"/>
              </w:rPr>
              <w:t>Post-Facilitation Services</w:t>
            </w:r>
          </w:p>
        </w:tc>
      </w:tr>
      <w:tr w:rsidR="008669F9" w14:paraId="61DD718C" w14:textId="77777777" w:rsidTr="002F1635">
        <w:trPr>
          <w:trHeight w:val="20"/>
          <w:tblHeader/>
        </w:trPr>
        <w:tc>
          <w:tcPr>
            <w:tcW w:w="1268" w:type="dxa"/>
            <w:vMerge w:val="restart"/>
            <w:tcBorders>
              <w:top w:val="nil"/>
              <w:left w:val="single" w:sz="12" w:space="0" w:color="auto"/>
              <w:right w:val="single" w:sz="6" w:space="0" w:color="000000"/>
            </w:tcBorders>
            <w:shd w:val="clear" w:color="auto" w:fill="E2EEDA"/>
            <w:tcMar>
              <w:top w:w="100" w:type="dxa"/>
              <w:left w:w="100" w:type="dxa"/>
              <w:bottom w:w="100" w:type="dxa"/>
              <w:right w:w="100" w:type="dxa"/>
            </w:tcMar>
          </w:tcPr>
          <w:p w14:paraId="432CB0CA" w14:textId="77777777" w:rsidR="008669F9" w:rsidRDefault="00000000" w:rsidP="00FD4F96">
            <w:pPr>
              <w:spacing w:line="360" w:lineRule="auto"/>
              <w:jc w:val="both"/>
              <w:rPr>
                <w:b/>
                <w:color w:val="333333"/>
                <w:sz w:val="21"/>
                <w:szCs w:val="21"/>
              </w:rPr>
            </w:pPr>
            <w:r>
              <w:rPr>
                <w:b/>
                <w:color w:val="333333"/>
                <w:sz w:val="21"/>
                <w:szCs w:val="21"/>
              </w:rPr>
              <w:t>Consumers</w:t>
            </w:r>
          </w:p>
        </w:tc>
        <w:tc>
          <w:tcPr>
            <w:tcW w:w="3544" w:type="dxa"/>
            <w:vMerge w:val="restart"/>
            <w:tcBorders>
              <w:top w:val="nil"/>
              <w:left w:val="nil"/>
              <w:right w:val="single" w:sz="6" w:space="0" w:color="000000"/>
            </w:tcBorders>
            <w:shd w:val="clear" w:color="auto" w:fill="E2EEDA"/>
            <w:tcMar>
              <w:top w:w="100" w:type="dxa"/>
              <w:left w:w="100" w:type="dxa"/>
              <w:bottom w:w="100" w:type="dxa"/>
              <w:right w:w="100" w:type="dxa"/>
            </w:tcMar>
          </w:tcPr>
          <w:p w14:paraId="248710A6" w14:textId="77777777" w:rsidR="008669F9" w:rsidRDefault="00000000" w:rsidP="00FD4F96">
            <w:pPr>
              <w:spacing w:line="360" w:lineRule="auto"/>
              <w:jc w:val="both"/>
              <w:rPr>
                <w:color w:val="333333"/>
                <w:sz w:val="21"/>
                <w:szCs w:val="21"/>
              </w:rPr>
            </w:pPr>
            <w:r>
              <w:rPr>
                <w:color w:val="333333"/>
                <w:sz w:val="21"/>
                <w:szCs w:val="21"/>
              </w:rPr>
              <w:t>With Promising Growth Potentials and Has Great User Lifetime Values</w:t>
            </w:r>
          </w:p>
        </w:tc>
        <w:tc>
          <w:tcPr>
            <w:tcW w:w="4111" w:type="dxa"/>
            <w:tcBorders>
              <w:top w:val="nil"/>
              <w:left w:val="nil"/>
              <w:bottom w:val="single" w:sz="6" w:space="0" w:color="000000"/>
              <w:right w:val="single" w:sz="12" w:space="0" w:color="auto"/>
            </w:tcBorders>
            <w:shd w:val="clear" w:color="auto" w:fill="E2EEDA"/>
            <w:tcMar>
              <w:top w:w="100" w:type="dxa"/>
              <w:left w:w="100" w:type="dxa"/>
              <w:bottom w:w="100" w:type="dxa"/>
              <w:right w:w="100" w:type="dxa"/>
            </w:tcMar>
          </w:tcPr>
          <w:p w14:paraId="6C966CEB" w14:textId="24EC635C" w:rsidR="008669F9" w:rsidRDefault="007A12BA" w:rsidP="00FD4F96">
            <w:pPr>
              <w:spacing w:line="360" w:lineRule="auto"/>
              <w:jc w:val="both"/>
              <w:rPr>
                <w:color w:val="333333"/>
                <w:sz w:val="21"/>
                <w:szCs w:val="21"/>
              </w:rPr>
            </w:pPr>
            <w:r>
              <w:rPr>
                <w:color w:val="333333"/>
                <w:sz w:val="21"/>
                <w:szCs w:val="21"/>
              </w:rPr>
              <w:t>Identifying Borrowers with Low Delinquency Risks</w:t>
            </w:r>
          </w:p>
        </w:tc>
      </w:tr>
      <w:tr w:rsidR="008669F9" w14:paraId="708917BE" w14:textId="77777777" w:rsidTr="002F1635">
        <w:trPr>
          <w:trHeight w:val="234"/>
          <w:tblHeader/>
        </w:trPr>
        <w:tc>
          <w:tcPr>
            <w:tcW w:w="1268" w:type="dxa"/>
            <w:vMerge/>
            <w:tcBorders>
              <w:left w:val="single" w:sz="12" w:space="0" w:color="auto"/>
              <w:bottom w:val="single" w:sz="4" w:space="0" w:color="000000"/>
              <w:right w:val="single" w:sz="6" w:space="0" w:color="000000"/>
            </w:tcBorders>
            <w:tcMar>
              <w:top w:w="100" w:type="dxa"/>
              <w:left w:w="100" w:type="dxa"/>
              <w:bottom w:w="100" w:type="dxa"/>
              <w:right w:w="100" w:type="dxa"/>
            </w:tcMar>
          </w:tcPr>
          <w:p w14:paraId="075A0392" w14:textId="77777777" w:rsidR="008669F9" w:rsidRDefault="008669F9" w:rsidP="00FD4F96">
            <w:pPr>
              <w:spacing w:line="360" w:lineRule="auto"/>
              <w:jc w:val="both"/>
              <w:rPr>
                <w:b/>
                <w:color w:val="333333"/>
                <w:sz w:val="21"/>
                <w:szCs w:val="21"/>
              </w:rPr>
            </w:pPr>
          </w:p>
        </w:tc>
        <w:tc>
          <w:tcPr>
            <w:tcW w:w="3544" w:type="dxa"/>
            <w:vMerge/>
            <w:tcBorders>
              <w:left w:val="nil"/>
              <w:bottom w:val="single" w:sz="4" w:space="0" w:color="000000"/>
              <w:right w:val="single" w:sz="6" w:space="0" w:color="000000"/>
            </w:tcBorders>
            <w:tcMar>
              <w:top w:w="100" w:type="dxa"/>
              <w:left w:w="100" w:type="dxa"/>
              <w:bottom w:w="100" w:type="dxa"/>
              <w:right w:w="100" w:type="dxa"/>
            </w:tcMar>
          </w:tcPr>
          <w:p w14:paraId="2347A73F" w14:textId="77777777" w:rsidR="008669F9" w:rsidRDefault="008669F9" w:rsidP="00FD4F96">
            <w:pPr>
              <w:spacing w:line="360" w:lineRule="auto"/>
              <w:jc w:val="both"/>
              <w:rPr>
                <w:color w:val="333333"/>
                <w:sz w:val="21"/>
                <w:szCs w:val="21"/>
              </w:rPr>
            </w:pPr>
          </w:p>
        </w:tc>
        <w:tc>
          <w:tcPr>
            <w:tcW w:w="4111" w:type="dxa"/>
            <w:tcBorders>
              <w:top w:val="nil"/>
              <w:left w:val="nil"/>
              <w:bottom w:val="single" w:sz="4" w:space="0" w:color="000000"/>
              <w:right w:val="single" w:sz="12" w:space="0" w:color="auto"/>
            </w:tcBorders>
            <w:tcMar>
              <w:top w:w="100" w:type="dxa"/>
              <w:left w:w="100" w:type="dxa"/>
              <w:bottom w:w="100" w:type="dxa"/>
              <w:right w:w="100" w:type="dxa"/>
            </w:tcMar>
          </w:tcPr>
          <w:p w14:paraId="0EE7E000" w14:textId="77777777" w:rsidR="008669F9" w:rsidRDefault="00000000" w:rsidP="00FD4F96">
            <w:pPr>
              <w:spacing w:line="360" w:lineRule="auto"/>
              <w:jc w:val="both"/>
              <w:rPr>
                <w:color w:val="333333"/>
                <w:sz w:val="21"/>
                <w:szCs w:val="21"/>
              </w:rPr>
            </w:pPr>
            <w:r>
              <w:rPr>
                <w:color w:val="333333"/>
                <w:sz w:val="21"/>
                <w:szCs w:val="21"/>
              </w:rPr>
              <w:t>Credit Profiling</w:t>
            </w:r>
          </w:p>
        </w:tc>
      </w:tr>
      <w:tr w:rsidR="008669F9" w14:paraId="2B69A939" w14:textId="77777777" w:rsidTr="002F1635">
        <w:trPr>
          <w:trHeight w:val="234"/>
          <w:tblHeader/>
        </w:trPr>
        <w:tc>
          <w:tcPr>
            <w:tcW w:w="1268" w:type="dxa"/>
            <w:vMerge w:val="restart"/>
            <w:tcBorders>
              <w:top w:val="single" w:sz="4" w:space="0" w:color="000000"/>
              <w:left w:val="single" w:sz="12" w:space="0" w:color="auto"/>
              <w:right w:val="single" w:sz="6" w:space="0" w:color="000000"/>
            </w:tcBorders>
            <w:tcMar>
              <w:top w:w="100" w:type="dxa"/>
              <w:left w:w="100" w:type="dxa"/>
              <w:bottom w:w="100" w:type="dxa"/>
              <w:right w:w="100" w:type="dxa"/>
            </w:tcMar>
          </w:tcPr>
          <w:p w14:paraId="5660D99F" w14:textId="77777777" w:rsidR="008669F9" w:rsidRDefault="00000000" w:rsidP="00FD4F96">
            <w:pPr>
              <w:spacing w:line="360" w:lineRule="auto"/>
              <w:jc w:val="both"/>
              <w:rPr>
                <w:b/>
                <w:color w:val="333333"/>
                <w:sz w:val="21"/>
                <w:szCs w:val="21"/>
              </w:rPr>
            </w:pPr>
            <w:r>
              <w:rPr>
                <w:b/>
                <w:color w:val="333333"/>
                <w:sz w:val="21"/>
                <w:szCs w:val="21"/>
              </w:rPr>
              <w:t>S</w:t>
            </w:r>
            <w:r>
              <w:rPr>
                <w:rFonts w:hint="eastAsia"/>
                <w:b/>
                <w:color w:val="333333"/>
                <w:sz w:val="21"/>
                <w:szCs w:val="21"/>
              </w:rPr>
              <w:t>ME</w:t>
            </w:r>
            <w:r>
              <w:rPr>
                <w:b/>
                <w:color w:val="333333"/>
                <w:sz w:val="21"/>
                <w:szCs w:val="21"/>
              </w:rPr>
              <w:t>s</w:t>
            </w:r>
          </w:p>
        </w:tc>
        <w:tc>
          <w:tcPr>
            <w:tcW w:w="3544" w:type="dxa"/>
            <w:tcBorders>
              <w:top w:val="single" w:sz="4" w:space="0" w:color="000000"/>
              <w:left w:val="nil"/>
              <w:bottom w:val="single" w:sz="4" w:space="0" w:color="000000"/>
              <w:right w:val="single" w:sz="6" w:space="0" w:color="000000"/>
            </w:tcBorders>
            <w:tcMar>
              <w:top w:w="100" w:type="dxa"/>
              <w:left w:w="100" w:type="dxa"/>
              <w:bottom w:w="100" w:type="dxa"/>
              <w:right w:w="100" w:type="dxa"/>
            </w:tcMar>
          </w:tcPr>
          <w:p w14:paraId="5C897D81" w14:textId="4B2F3F56" w:rsidR="008669F9" w:rsidRDefault="00000000" w:rsidP="00FD4F96">
            <w:pPr>
              <w:tabs>
                <w:tab w:val="right" w:pos="2918"/>
              </w:tabs>
              <w:spacing w:line="360" w:lineRule="auto"/>
              <w:jc w:val="both"/>
              <w:rPr>
                <w:color w:val="333333"/>
                <w:sz w:val="21"/>
                <w:szCs w:val="21"/>
              </w:rPr>
            </w:pPr>
            <w:r>
              <w:rPr>
                <w:color w:val="333333"/>
                <w:sz w:val="21"/>
                <w:szCs w:val="21"/>
              </w:rPr>
              <w:t>Relatively Small in Size</w:t>
            </w:r>
          </w:p>
        </w:tc>
        <w:tc>
          <w:tcPr>
            <w:tcW w:w="4111" w:type="dxa"/>
            <w:tcBorders>
              <w:top w:val="single" w:sz="4" w:space="0" w:color="000000"/>
              <w:left w:val="nil"/>
              <w:bottom w:val="single" w:sz="4" w:space="0" w:color="000000"/>
              <w:right w:val="single" w:sz="12" w:space="0" w:color="auto"/>
            </w:tcBorders>
            <w:tcMar>
              <w:top w:w="100" w:type="dxa"/>
              <w:left w:w="100" w:type="dxa"/>
              <w:bottom w:w="100" w:type="dxa"/>
              <w:right w:w="100" w:type="dxa"/>
            </w:tcMar>
          </w:tcPr>
          <w:p w14:paraId="21A0A86A" w14:textId="77777777" w:rsidR="008669F9" w:rsidRDefault="00000000" w:rsidP="00FD4F96">
            <w:pPr>
              <w:spacing w:line="360" w:lineRule="auto"/>
              <w:jc w:val="both"/>
              <w:rPr>
                <w:color w:val="333333"/>
                <w:sz w:val="21"/>
                <w:szCs w:val="21"/>
              </w:rPr>
            </w:pPr>
            <w:r>
              <w:rPr>
                <w:color w:val="333333"/>
                <w:sz w:val="21"/>
                <w:szCs w:val="21"/>
              </w:rPr>
              <w:t>Data Analytics and Credit Profiling</w:t>
            </w:r>
          </w:p>
        </w:tc>
      </w:tr>
      <w:tr w:rsidR="008669F9" w14:paraId="4FDCDEC8" w14:textId="77777777" w:rsidTr="002F1635">
        <w:trPr>
          <w:trHeight w:val="234"/>
          <w:tblHeader/>
        </w:trPr>
        <w:tc>
          <w:tcPr>
            <w:tcW w:w="1268" w:type="dxa"/>
            <w:vMerge/>
            <w:tcBorders>
              <w:left w:val="single" w:sz="12" w:space="0" w:color="auto"/>
              <w:right w:val="single" w:sz="6" w:space="0" w:color="000000"/>
            </w:tcBorders>
            <w:tcMar>
              <w:top w:w="100" w:type="dxa"/>
              <w:left w:w="100" w:type="dxa"/>
              <w:bottom w:w="100" w:type="dxa"/>
              <w:right w:w="100" w:type="dxa"/>
            </w:tcMar>
          </w:tcPr>
          <w:p w14:paraId="0F8DCAD3" w14:textId="77777777" w:rsidR="008669F9" w:rsidRDefault="008669F9" w:rsidP="00FD4F96">
            <w:pPr>
              <w:spacing w:line="360" w:lineRule="auto"/>
              <w:jc w:val="both"/>
              <w:rPr>
                <w:b/>
                <w:color w:val="333333"/>
                <w:sz w:val="21"/>
                <w:szCs w:val="21"/>
              </w:rPr>
            </w:pPr>
          </w:p>
        </w:tc>
        <w:tc>
          <w:tcPr>
            <w:tcW w:w="3544" w:type="dxa"/>
            <w:tcBorders>
              <w:top w:val="single" w:sz="4" w:space="0" w:color="000000"/>
              <w:left w:val="nil"/>
              <w:bottom w:val="single" w:sz="4" w:space="0" w:color="000000"/>
              <w:right w:val="single" w:sz="6" w:space="0" w:color="000000"/>
            </w:tcBorders>
            <w:tcMar>
              <w:top w:w="100" w:type="dxa"/>
              <w:left w:w="100" w:type="dxa"/>
              <w:bottom w:w="100" w:type="dxa"/>
              <w:right w:w="100" w:type="dxa"/>
            </w:tcMar>
          </w:tcPr>
          <w:p w14:paraId="4DAAAF55" w14:textId="77777777" w:rsidR="008669F9" w:rsidRDefault="00000000" w:rsidP="00FD4F96">
            <w:pPr>
              <w:spacing w:line="360" w:lineRule="auto"/>
              <w:jc w:val="both"/>
              <w:rPr>
                <w:color w:val="333333"/>
                <w:sz w:val="21"/>
                <w:szCs w:val="21"/>
              </w:rPr>
            </w:pPr>
            <w:r>
              <w:rPr>
                <w:color w:val="333333"/>
                <w:sz w:val="21"/>
                <w:szCs w:val="21"/>
              </w:rPr>
              <w:t>Short Loan History</w:t>
            </w:r>
          </w:p>
        </w:tc>
        <w:tc>
          <w:tcPr>
            <w:tcW w:w="4111" w:type="dxa"/>
            <w:vMerge w:val="restart"/>
            <w:tcBorders>
              <w:top w:val="single" w:sz="4" w:space="0" w:color="000000"/>
              <w:left w:val="nil"/>
              <w:right w:val="single" w:sz="12" w:space="0" w:color="auto"/>
            </w:tcBorders>
            <w:tcMar>
              <w:top w:w="100" w:type="dxa"/>
              <w:left w:w="100" w:type="dxa"/>
              <w:bottom w:w="100" w:type="dxa"/>
              <w:right w:w="100" w:type="dxa"/>
            </w:tcMar>
          </w:tcPr>
          <w:p w14:paraId="28152FF0" w14:textId="77777777" w:rsidR="008669F9" w:rsidRDefault="00000000" w:rsidP="00FD4F96">
            <w:pPr>
              <w:spacing w:line="360" w:lineRule="auto"/>
              <w:jc w:val="both"/>
              <w:rPr>
                <w:color w:val="333333"/>
                <w:sz w:val="21"/>
                <w:szCs w:val="21"/>
              </w:rPr>
            </w:pPr>
            <w:r>
              <w:rPr>
                <w:color w:val="333333"/>
                <w:sz w:val="21"/>
                <w:szCs w:val="21"/>
              </w:rPr>
              <w:t>Designing Tailored Products Flexible, Collateral-Free and Satisfactory to The SMEs</w:t>
            </w:r>
          </w:p>
        </w:tc>
      </w:tr>
      <w:tr w:rsidR="008669F9" w14:paraId="0FCE6596" w14:textId="77777777" w:rsidTr="002F1635">
        <w:trPr>
          <w:trHeight w:val="234"/>
          <w:tblHeader/>
        </w:trPr>
        <w:tc>
          <w:tcPr>
            <w:tcW w:w="1268" w:type="dxa"/>
            <w:vMerge/>
            <w:tcBorders>
              <w:left w:val="single" w:sz="12" w:space="0" w:color="auto"/>
              <w:bottom w:val="single" w:sz="12" w:space="0" w:color="auto"/>
              <w:right w:val="single" w:sz="6" w:space="0" w:color="000000"/>
            </w:tcBorders>
            <w:tcMar>
              <w:top w:w="100" w:type="dxa"/>
              <w:left w:w="100" w:type="dxa"/>
              <w:bottom w:w="100" w:type="dxa"/>
              <w:right w:w="100" w:type="dxa"/>
            </w:tcMar>
          </w:tcPr>
          <w:p w14:paraId="675B7B44" w14:textId="77777777" w:rsidR="008669F9" w:rsidRDefault="008669F9" w:rsidP="00FD4F96">
            <w:pPr>
              <w:spacing w:line="360" w:lineRule="auto"/>
              <w:jc w:val="both"/>
              <w:rPr>
                <w:b/>
                <w:color w:val="333333"/>
                <w:sz w:val="21"/>
                <w:szCs w:val="21"/>
              </w:rPr>
            </w:pPr>
          </w:p>
        </w:tc>
        <w:tc>
          <w:tcPr>
            <w:tcW w:w="3544" w:type="dxa"/>
            <w:tcBorders>
              <w:top w:val="single" w:sz="4" w:space="0" w:color="000000"/>
              <w:left w:val="nil"/>
              <w:bottom w:val="single" w:sz="12" w:space="0" w:color="auto"/>
              <w:right w:val="single" w:sz="4" w:space="0" w:color="000000"/>
            </w:tcBorders>
            <w:tcMar>
              <w:top w:w="100" w:type="dxa"/>
              <w:left w:w="100" w:type="dxa"/>
              <w:bottom w:w="100" w:type="dxa"/>
              <w:right w:w="100" w:type="dxa"/>
            </w:tcMar>
          </w:tcPr>
          <w:p w14:paraId="3B94CD06" w14:textId="77777777" w:rsidR="008669F9" w:rsidRDefault="00000000" w:rsidP="00FD4F96">
            <w:pPr>
              <w:spacing w:line="360" w:lineRule="auto"/>
              <w:jc w:val="both"/>
              <w:rPr>
                <w:color w:val="333333"/>
                <w:sz w:val="21"/>
                <w:szCs w:val="21"/>
              </w:rPr>
            </w:pPr>
            <w:r>
              <w:rPr>
                <w:color w:val="333333"/>
                <w:sz w:val="21"/>
                <w:szCs w:val="21"/>
              </w:rPr>
              <w:t>Insufficient Tangibles and Collaterals</w:t>
            </w:r>
          </w:p>
        </w:tc>
        <w:tc>
          <w:tcPr>
            <w:tcW w:w="4111" w:type="dxa"/>
            <w:vMerge/>
            <w:tcBorders>
              <w:left w:val="single" w:sz="4" w:space="0" w:color="000000"/>
              <w:bottom w:val="single" w:sz="12" w:space="0" w:color="auto"/>
              <w:right w:val="single" w:sz="12" w:space="0" w:color="auto"/>
            </w:tcBorders>
            <w:tcMar>
              <w:top w:w="100" w:type="dxa"/>
              <w:left w:w="100" w:type="dxa"/>
              <w:bottom w:w="100" w:type="dxa"/>
              <w:right w:w="100" w:type="dxa"/>
            </w:tcMar>
          </w:tcPr>
          <w:p w14:paraId="568A398B" w14:textId="77777777" w:rsidR="008669F9" w:rsidRDefault="008669F9" w:rsidP="00FD4F96">
            <w:pPr>
              <w:spacing w:line="360" w:lineRule="auto"/>
              <w:jc w:val="both"/>
              <w:rPr>
                <w:color w:val="333333"/>
                <w:sz w:val="21"/>
                <w:szCs w:val="21"/>
              </w:rPr>
            </w:pPr>
          </w:p>
        </w:tc>
      </w:tr>
    </w:tbl>
    <w:p w14:paraId="7C1BE808" w14:textId="77777777" w:rsidR="008669F9" w:rsidRDefault="00000000" w:rsidP="00FD4F96">
      <w:pPr>
        <w:spacing w:line="360" w:lineRule="auto"/>
        <w:jc w:val="both"/>
        <w:rPr>
          <w:rFonts w:eastAsia="黑体"/>
          <w:i/>
          <w:iCs/>
          <w:sz w:val="21"/>
          <w:szCs w:val="21"/>
        </w:rPr>
      </w:pPr>
      <w:r>
        <w:rPr>
          <w:rFonts w:eastAsia="黑体"/>
          <w:i/>
          <w:iCs/>
          <w:sz w:val="21"/>
          <w:szCs w:val="21"/>
        </w:rPr>
        <w:t>Source: 360 DigiTech Company website</w:t>
      </w:r>
    </w:p>
    <w:p w14:paraId="55A1721E" w14:textId="370EEC69" w:rsidR="008669F9" w:rsidRPr="002F1635" w:rsidRDefault="002F1635" w:rsidP="002F1635">
      <w:pPr>
        <w:pStyle w:val="Heading3"/>
        <w:spacing w:line="360" w:lineRule="auto"/>
        <w:rPr>
          <w:rFonts w:ascii="Times New Roman" w:hAnsi="Times New Roman" w:cs="Times New Roman"/>
          <w:bCs/>
          <w:color w:val="333333"/>
        </w:rPr>
      </w:pPr>
      <w:bookmarkStart w:id="15" w:name="_Toc128217497"/>
      <w:r w:rsidRPr="002F1635">
        <w:rPr>
          <w:rFonts w:ascii="Times New Roman" w:hAnsi="Times New Roman" w:cs="Times New Roman"/>
          <w:bCs/>
        </w:rPr>
        <w:t>4</w:t>
      </w:r>
      <w:r w:rsidR="00000000" w:rsidRPr="002F1635">
        <w:rPr>
          <w:rFonts w:ascii="Times New Roman" w:hAnsi="Times New Roman" w:cs="Times New Roman"/>
          <w:bCs/>
        </w:rPr>
        <w:t>.1.2 History of development</w:t>
      </w:r>
      <w:bookmarkEnd w:id="15"/>
    </w:p>
    <w:p w14:paraId="2DA3C270" w14:textId="1FBA5A84" w:rsidR="008669F9" w:rsidRDefault="00000000" w:rsidP="00FD4F96">
      <w:pPr>
        <w:spacing w:line="360" w:lineRule="auto"/>
        <w:jc w:val="both"/>
        <w:rPr>
          <w:b/>
          <w:color w:val="333333"/>
          <w:sz w:val="21"/>
          <w:szCs w:val="21"/>
          <w:highlight w:val="white"/>
        </w:rPr>
      </w:pPr>
      <w:r>
        <w:rPr>
          <w:i/>
          <w:color w:val="0A0A0A"/>
          <w:sz w:val="21"/>
          <w:szCs w:val="21"/>
          <w:highlight w:val="white"/>
        </w:rPr>
        <w:t>Figure 4: History of 360 DigiTech</w:t>
      </w:r>
    </w:p>
    <w:p w14:paraId="7E671ED9" w14:textId="023F97B3" w:rsidR="008669F9" w:rsidRDefault="00000000" w:rsidP="002F1635">
      <w:pPr>
        <w:spacing w:line="360" w:lineRule="auto"/>
        <w:jc w:val="center"/>
        <w:rPr>
          <w:rFonts w:ascii="宋体" w:eastAsia="宋体" w:hAnsi="宋体" w:cs="宋体"/>
          <w:bCs/>
        </w:rPr>
      </w:pPr>
      <w:r>
        <w:rPr>
          <w:b/>
          <w:noProof/>
          <w:color w:val="333333"/>
          <w:highlight w:val="white"/>
        </w:rPr>
        <w:drawing>
          <wp:inline distT="114300" distB="114300" distL="114300" distR="114300" wp14:anchorId="25C14A18" wp14:editId="60229A1A">
            <wp:extent cx="4358640" cy="1783080"/>
            <wp:effectExtent l="0" t="0" r="3810" b="762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rotWithShape="1">
                    <a:blip r:embed="rId8"/>
                    <a:srcRect r="48410"/>
                    <a:stretch/>
                  </pic:blipFill>
                  <pic:spPr bwMode="auto">
                    <a:xfrm>
                      <a:off x="0" y="0"/>
                      <a:ext cx="4360609" cy="1783886"/>
                    </a:xfrm>
                    <a:prstGeom prst="rect">
                      <a:avLst/>
                    </a:prstGeom>
                    <a:ln>
                      <a:noFill/>
                    </a:ln>
                    <a:extLst>
                      <a:ext uri="{53640926-AAD7-44D8-BBD7-CCE9431645EC}">
                        <a14:shadowObscured xmlns:a14="http://schemas.microsoft.com/office/drawing/2010/main"/>
                      </a:ext>
                    </a:extLst>
                  </pic:spPr>
                </pic:pic>
              </a:graphicData>
            </a:graphic>
          </wp:inline>
        </w:drawing>
      </w:r>
      <w:r w:rsidR="002F1635">
        <w:rPr>
          <w:b/>
          <w:noProof/>
          <w:color w:val="333333"/>
          <w:highlight w:val="white"/>
        </w:rPr>
        <w:drawing>
          <wp:inline distT="114300" distB="114300" distL="114300" distR="114300" wp14:anchorId="5CAB701D" wp14:editId="7FCE0C2A">
            <wp:extent cx="4037965" cy="1782804"/>
            <wp:effectExtent l="0" t="0" r="635" b="0"/>
            <wp:docPr id="1"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6.png" descr="Diagram&#10;&#10;Description automatically generated"/>
                    <pic:cNvPicPr preferRelativeResize="0"/>
                  </pic:nvPicPr>
                  <pic:blipFill rotWithShape="1">
                    <a:blip r:embed="rId8"/>
                    <a:srcRect l="52199" t="8547" b="-8547"/>
                    <a:stretch/>
                  </pic:blipFill>
                  <pic:spPr bwMode="auto">
                    <a:xfrm>
                      <a:off x="0" y="0"/>
                      <a:ext cx="4038590" cy="1783080"/>
                    </a:xfrm>
                    <a:prstGeom prst="rect">
                      <a:avLst/>
                    </a:prstGeom>
                    <a:ln>
                      <a:noFill/>
                    </a:ln>
                    <a:extLst>
                      <a:ext uri="{53640926-AAD7-44D8-BBD7-CCE9431645EC}">
                        <a14:shadowObscured xmlns:a14="http://schemas.microsoft.com/office/drawing/2010/main"/>
                      </a:ext>
                    </a:extLst>
                  </pic:spPr>
                </pic:pic>
              </a:graphicData>
            </a:graphic>
          </wp:inline>
        </w:drawing>
      </w:r>
    </w:p>
    <w:p w14:paraId="7B19708D" w14:textId="577FEF35" w:rsidR="008669F9" w:rsidRPr="00FD4F96" w:rsidRDefault="00000000" w:rsidP="00FD4F96">
      <w:pPr>
        <w:spacing w:line="360" w:lineRule="auto"/>
        <w:jc w:val="both"/>
        <w:rPr>
          <w:b/>
          <w:color w:val="333333"/>
          <w:highlight w:val="white"/>
        </w:rPr>
      </w:pPr>
      <w:r>
        <w:rPr>
          <w:i/>
          <w:color w:val="333333"/>
          <w:sz w:val="21"/>
          <w:szCs w:val="21"/>
          <w:highlight w:val="white"/>
        </w:rPr>
        <w:t>Source: 360 DigiTech Company website, Public Information</w:t>
      </w:r>
    </w:p>
    <w:p w14:paraId="19FFD865" w14:textId="77777777" w:rsidR="008669F9" w:rsidRPr="002F1635" w:rsidRDefault="00000000" w:rsidP="002F1635">
      <w:pPr>
        <w:spacing w:line="360" w:lineRule="auto"/>
        <w:jc w:val="both"/>
        <w:rPr>
          <w:rFonts w:eastAsiaTheme="minorEastAsia"/>
          <w:bCs/>
          <w:color w:val="000000" w:themeColor="text1"/>
          <w:szCs w:val="22"/>
        </w:rPr>
      </w:pPr>
      <w:r w:rsidRPr="002F1635">
        <w:rPr>
          <w:rFonts w:eastAsiaTheme="minorEastAsia"/>
          <w:bCs/>
          <w:color w:val="000000" w:themeColor="text1"/>
          <w:szCs w:val="22"/>
        </w:rPr>
        <w:lastRenderedPageBreak/>
        <w:t>It is worth to note that, changing the name to 360 DigiTech is in line with the earlier trend in which the financial technology arm of JD changed its name to JD Digits and Ant Financial also emphasized “Technology” in its name. Behind this move, financial technology companies are shifting their strategic position from “finance” to “technology”, to distinguish themselves from common traditional online loan platforms. In the case of 360 DigiTech, it has a competitive advantage in technical services, while it accounts for growing shares of its total operating revenues. Name-changing also has a positive influence in its stock performance, while stock prices increased for more than 4.5%, focusing more on the technology side is also beneficial to its valuation. Traditional online-loan business typically has a low P/E ratio and is competing with superior customer-acquisition ability, the survival of these companies depends on outstanding risk-control, which then reflect the strength of technology.</w:t>
      </w:r>
    </w:p>
    <w:p w14:paraId="071D683F" w14:textId="133791C1" w:rsidR="008669F9" w:rsidRDefault="00000000" w:rsidP="002F1635">
      <w:pPr>
        <w:spacing w:line="360" w:lineRule="auto"/>
        <w:jc w:val="both"/>
        <w:rPr>
          <w:bCs/>
        </w:rPr>
      </w:pPr>
      <w:r>
        <w:rPr>
          <w:bCs/>
        </w:rPr>
        <w:t xml:space="preserve">Since its establishment, 360 DigiTech has gone through a series of reforms in services and products. As an increasing number of Fintech companies were gradually weighting finance over technology in the earlier years, 360 DigiTech together with several other large players are “Definancing” and becoming more “technology-driven” to avoid being limited by the strict regulation in the financial sector. It is moving from a pipeline company to platform company, without participating in the creation of the final value to consumers, it plays the role of linking the financial institutions and users. To be specific, the company is promoting better producibility and after-sale services. It promotes digitalization and automation in operation of traditional financial institutions, reducing cost and enhancing efficiency. Meanwhile, accessing a wider range of high-quality clients through targeting, </w:t>
      </w:r>
      <w:r w:rsidR="007A12BA">
        <w:rPr>
          <w:bCs/>
        </w:rPr>
        <w:t>modeling,</w:t>
      </w:r>
      <w:r>
        <w:rPr>
          <w:bCs/>
        </w:rPr>
        <w:t xml:space="preserve"> and pre-screening, improving the risk control and help penetrate the sinking market.</w:t>
      </w:r>
    </w:p>
    <w:p w14:paraId="0E34EC4A" w14:textId="59A26738" w:rsidR="008669F9" w:rsidRPr="002F1635" w:rsidRDefault="002F1635" w:rsidP="002F1635">
      <w:pPr>
        <w:pStyle w:val="Heading3"/>
        <w:spacing w:line="360" w:lineRule="auto"/>
        <w:rPr>
          <w:rFonts w:ascii="Times New Roman" w:hAnsi="Times New Roman" w:cs="Times New Roman"/>
          <w:bCs/>
        </w:rPr>
      </w:pPr>
      <w:bookmarkStart w:id="16" w:name="_Toc128217498"/>
      <w:r>
        <w:rPr>
          <w:rFonts w:ascii="Times New Roman" w:hAnsi="Times New Roman" w:cs="Times New Roman"/>
          <w:bCs/>
        </w:rPr>
        <w:t>4</w:t>
      </w:r>
      <w:r w:rsidR="00000000" w:rsidRPr="002F1635">
        <w:rPr>
          <w:rFonts w:ascii="Times New Roman" w:hAnsi="Times New Roman" w:cs="Times New Roman"/>
          <w:bCs/>
        </w:rPr>
        <w:t>.1.3 Products and services</w:t>
      </w:r>
      <w:bookmarkEnd w:id="16"/>
    </w:p>
    <w:p w14:paraId="1F599D97" w14:textId="209278F7" w:rsidR="008669F9" w:rsidRPr="002F1635" w:rsidRDefault="00000000" w:rsidP="002F1635">
      <w:pPr>
        <w:spacing w:line="360" w:lineRule="auto"/>
        <w:jc w:val="both"/>
        <w:rPr>
          <w:bCs/>
        </w:rPr>
      </w:pPr>
      <w:r w:rsidRPr="002F1635">
        <w:rPr>
          <w:bCs/>
        </w:rPr>
        <w:t>Argus intelligent risk control engine and Cosmic Cube pricing engine are tools developed in-house to promote the efficiency by automation in credit evaluation process and automatically monitors and adjusts interest rate pricing based on algorithms and continuously iterates the pricing model.</w:t>
      </w:r>
    </w:p>
    <w:p w14:paraId="1F393137" w14:textId="2E374DB6" w:rsidR="008669F9" w:rsidRPr="00FD4F96" w:rsidRDefault="00FD4F96" w:rsidP="00FD4F96">
      <w:pPr>
        <w:spacing w:line="360" w:lineRule="auto"/>
        <w:jc w:val="both"/>
        <w:rPr>
          <w:color w:val="333333"/>
          <w:highlight w:val="white"/>
        </w:rPr>
      </w:pPr>
      <w:r>
        <w:rPr>
          <w:noProof/>
          <w:color w:val="333333"/>
          <w:highlight w:val="white"/>
        </w:rPr>
        <w:lastRenderedPageBreak/>
        <w:drawing>
          <wp:anchor distT="0" distB="0" distL="114300" distR="114300" simplePos="0" relativeHeight="251662336" behindDoc="0" locked="0" layoutInCell="1" allowOverlap="1" wp14:anchorId="6A7BFC86" wp14:editId="2ECE21B3">
            <wp:simplePos x="0" y="0"/>
            <wp:positionH relativeFrom="margin">
              <wp:posOffset>1661160</wp:posOffset>
            </wp:positionH>
            <wp:positionV relativeFrom="paragraph">
              <wp:posOffset>220980</wp:posOffset>
            </wp:positionV>
            <wp:extent cx="3025140" cy="3185160"/>
            <wp:effectExtent l="0" t="0" r="3810" b="0"/>
            <wp:wrapTopAndBottom/>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extLst>
                        <a:ext uri="{28A0092B-C50C-407E-A947-70E740481C1C}">
                          <a14:useLocalDpi xmlns:a14="http://schemas.microsoft.com/office/drawing/2010/main" val="0"/>
                        </a:ext>
                      </a:extLst>
                    </a:blip>
                    <a:srcRect t="711" b="4059"/>
                    <a:stretch>
                      <a:fillRect/>
                    </a:stretch>
                  </pic:blipFill>
                  <pic:spPr>
                    <a:xfrm>
                      <a:off x="0" y="0"/>
                      <a:ext cx="3025140" cy="3185160"/>
                    </a:xfrm>
                    <a:prstGeom prst="rect">
                      <a:avLst/>
                    </a:prstGeom>
                    <a:ln>
                      <a:noFill/>
                    </a:ln>
                  </pic:spPr>
                </pic:pic>
              </a:graphicData>
            </a:graphic>
            <wp14:sizeRelH relativeFrom="margin">
              <wp14:pctWidth>0</wp14:pctWidth>
            </wp14:sizeRelH>
            <wp14:sizeRelV relativeFrom="margin">
              <wp14:pctHeight>0</wp14:pctHeight>
            </wp14:sizeRelV>
          </wp:anchor>
        </w:drawing>
      </w:r>
      <w:r>
        <w:rPr>
          <w:i/>
          <w:color w:val="0A0A0A"/>
          <w:sz w:val="21"/>
          <w:szCs w:val="21"/>
          <w:highlight w:val="white"/>
        </w:rPr>
        <w:t>Figure 5: Function of the Argus Engine</w:t>
      </w:r>
    </w:p>
    <w:p w14:paraId="5DBED032" w14:textId="535925F3" w:rsidR="008669F9" w:rsidRPr="00FD4F96" w:rsidRDefault="00000000" w:rsidP="00FD4F96">
      <w:pPr>
        <w:spacing w:line="360" w:lineRule="auto"/>
        <w:jc w:val="both"/>
        <w:rPr>
          <w:color w:val="333333"/>
          <w:highlight w:val="white"/>
        </w:rPr>
      </w:pPr>
      <w:r>
        <w:rPr>
          <w:i/>
          <w:color w:val="333333"/>
          <w:sz w:val="21"/>
          <w:szCs w:val="21"/>
          <w:highlight w:val="white"/>
        </w:rPr>
        <w:t xml:space="preserve">Source: 360 DigiTech Company </w:t>
      </w:r>
      <w:r w:rsidR="007A12BA">
        <w:rPr>
          <w:rFonts w:hint="eastAsia"/>
          <w:i/>
          <w:color w:val="333333"/>
          <w:sz w:val="21"/>
          <w:szCs w:val="21"/>
          <w:highlight w:val="white"/>
        </w:rPr>
        <w:t>W</w:t>
      </w:r>
      <w:r>
        <w:rPr>
          <w:i/>
          <w:color w:val="333333"/>
          <w:sz w:val="21"/>
          <w:szCs w:val="21"/>
          <w:highlight w:val="white"/>
        </w:rPr>
        <w:t xml:space="preserve">ebsite, Public </w:t>
      </w:r>
      <w:r w:rsidR="007A12BA">
        <w:rPr>
          <w:rFonts w:hint="eastAsia"/>
          <w:i/>
          <w:color w:val="333333"/>
          <w:sz w:val="21"/>
          <w:szCs w:val="21"/>
          <w:highlight w:val="white"/>
        </w:rPr>
        <w:t>I</w:t>
      </w:r>
      <w:r>
        <w:rPr>
          <w:i/>
          <w:color w:val="333333"/>
          <w:sz w:val="21"/>
          <w:szCs w:val="21"/>
          <w:highlight w:val="white"/>
        </w:rPr>
        <w:t>nformation</w:t>
      </w:r>
    </w:p>
    <w:p w14:paraId="7C45ED3F" w14:textId="77777777" w:rsidR="008669F9" w:rsidRDefault="00000000" w:rsidP="00FD4F96">
      <w:pPr>
        <w:spacing w:line="360" w:lineRule="auto"/>
        <w:jc w:val="both"/>
        <w:rPr>
          <w:color w:val="333333"/>
          <w:highlight w:val="white"/>
        </w:rPr>
      </w:pPr>
      <w:r>
        <w:rPr>
          <w:i/>
          <w:color w:val="0A0A0A"/>
          <w:sz w:val="21"/>
          <w:szCs w:val="21"/>
          <w:highlight w:val="white"/>
        </w:rPr>
        <w:t>Figure 6: Three major products of the company</w:t>
      </w:r>
    </w:p>
    <w:tbl>
      <w:tblPr>
        <w:tblW w:w="5188" w:type="pct"/>
        <w:tblLook w:val="04A0" w:firstRow="1" w:lastRow="0" w:firstColumn="1" w:lastColumn="0" w:noHBand="0" w:noVBand="1"/>
      </w:tblPr>
      <w:tblGrid>
        <w:gridCol w:w="1307"/>
        <w:gridCol w:w="2225"/>
        <w:gridCol w:w="3213"/>
        <w:gridCol w:w="2589"/>
      </w:tblGrid>
      <w:tr w:rsidR="008669F9" w14:paraId="7E18C561" w14:textId="77777777" w:rsidTr="002F1635">
        <w:trPr>
          <w:tblHeader/>
        </w:trPr>
        <w:tc>
          <w:tcPr>
            <w:tcW w:w="700" w:type="pct"/>
            <w:tcBorders>
              <w:top w:val="single" w:sz="12" w:space="0" w:color="auto"/>
              <w:left w:val="single" w:sz="12" w:space="0" w:color="auto"/>
              <w:bottom w:val="single" w:sz="6" w:space="0" w:color="000000"/>
              <w:right w:val="single" w:sz="6" w:space="0" w:color="000000"/>
            </w:tcBorders>
            <w:shd w:val="clear" w:color="auto" w:fill="003400"/>
            <w:tcMar>
              <w:top w:w="100" w:type="dxa"/>
              <w:left w:w="100" w:type="dxa"/>
              <w:bottom w:w="100" w:type="dxa"/>
              <w:right w:w="100" w:type="dxa"/>
            </w:tcMar>
          </w:tcPr>
          <w:p w14:paraId="21AB76FC" w14:textId="77777777" w:rsidR="008669F9" w:rsidRDefault="00000000" w:rsidP="00FD4F96">
            <w:pPr>
              <w:spacing w:line="360" w:lineRule="auto"/>
              <w:jc w:val="both"/>
              <w:rPr>
                <w:b/>
                <w:color w:val="FFFFFF"/>
                <w:sz w:val="21"/>
                <w:szCs w:val="21"/>
              </w:rPr>
            </w:pPr>
            <w:r>
              <w:rPr>
                <w:rFonts w:ascii="Gungsuh" w:eastAsia="Gungsuh" w:hAnsi="Gungsuh" w:cs="Gungsuh"/>
                <w:b/>
                <w:color w:val="FFFFFF"/>
                <w:sz w:val="21"/>
                <w:szCs w:val="21"/>
              </w:rPr>
              <w:t xml:space="preserve">　</w:t>
            </w:r>
          </w:p>
        </w:tc>
        <w:tc>
          <w:tcPr>
            <w:tcW w:w="1192" w:type="pct"/>
            <w:tcBorders>
              <w:top w:val="single" w:sz="12" w:space="0" w:color="auto"/>
              <w:left w:val="nil"/>
              <w:bottom w:val="single" w:sz="6" w:space="0" w:color="000000"/>
              <w:right w:val="single" w:sz="6" w:space="0" w:color="000000"/>
            </w:tcBorders>
            <w:shd w:val="clear" w:color="auto" w:fill="003400"/>
            <w:tcMar>
              <w:top w:w="100" w:type="dxa"/>
              <w:left w:w="100" w:type="dxa"/>
              <w:bottom w:w="100" w:type="dxa"/>
              <w:right w:w="100" w:type="dxa"/>
            </w:tcMar>
            <w:vAlign w:val="center"/>
          </w:tcPr>
          <w:p w14:paraId="4A006701" w14:textId="7D4DE19F" w:rsidR="008669F9" w:rsidRDefault="00000000" w:rsidP="002F1635">
            <w:pPr>
              <w:spacing w:line="360" w:lineRule="auto"/>
              <w:jc w:val="center"/>
              <w:rPr>
                <w:b/>
                <w:color w:val="FFFFFF"/>
                <w:sz w:val="21"/>
                <w:szCs w:val="21"/>
              </w:rPr>
            </w:pPr>
            <w:r>
              <w:rPr>
                <w:b/>
                <w:color w:val="FFFFFF"/>
                <w:sz w:val="21"/>
                <w:szCs w:val="21"/>
              </w:rPr>
              <w:t>Target</w:t>
            </w:r>
            <w:r w:rsidR="002F1635">
              <w:rPr>
                <w:b/>
                <w:color w:val="FFFFFF"/>
                <w:sz w:val="21"/>
                <w:szCs w:val="21"/>
              </w:rPr>
              <w:t xml:space="preserve"> User</w:t>
            </w:r>
          </w:p>
        </w:tc>
        <w:tc>
          <w:tcPr>
            <w:tcW w:w="1721" w:type="pct"/>
            <w:tcBorders>
              <w:top w:val="single" w:sz="12" w:space="0" w:color="auto"/>
              <w:left w:val="nil"/>
              <w:bottom w:val="single" w:sz="6" w:space="0" w:color="000000"/>
              <w:right w:val="single" w:sz="6" w:space="0" w:color="000000"/>
            </w:tcBorders>
            <w:shd w:val="clear" w:color="auto" w:fill="003400"/>
            <w:tcMar>
              <w:top w:w="100" w:type="dxa"/>
              <w:left w:w="100" w:type="dxa"/>
              <w:bottom w:w="100" w:type="dxa"/>
              <w:right w:w="100" w:type="dxa"/>
            </w:tcMar>
            <w:vAlign w:val="center"/>
          </w:tcPr>
          <w:p w14:paraId="0C7C79D1" w14:textId="77777777" w:rsidR="008669F9" w:rsidRDefault="00000000" w:rsidP="002F1635">
            <w:pPr>
              <w:spacing w:line="360" w:lineRule="auto"/>
              <w:jc w:val="center"/>
              <w:rPr>
                <w:b/>
                <w:color w:val="FFFFFF"/>
                <w:sz w:val="21"/>
                <w:szCs w:val="21"/>
              </w:rPr>
            </w:pPr>
            <w:r>
              <w:rPr>
                <w:b/>
                <w:color w:val="FFFFFF"/>
                <w:sz w:val="21"/>
                <w:szCs w:val="21"/>
              </w:rPr>
              <w:t>Services</w:t>
            </w:r>
          </w:p>
        </w:tc>
        <w:tc>
          <w:tcPr>
            <w:tcW w:w="1387" w:type="pct"/>
            <w:tcBorders>
              <w:top w:val="single" w:sz="12" w:space="0" w:color="auto"/>
              <w:left w:val="nil"/>
              <w:bottom w:val="single" w:sz="6" w:space="0" w:color="000000"/>
              <w:right w:val="single" w:sz="12" w:space="0" w:color="auto"/>
            </w:tcBorders>
            <w:shd w:val="clear" w:color="auto" w:fill="003400"/>
            <w:vAlign w:val="center"/>
          </w:tcPr>
          <w:p w14:paraId="1E5A0259" w14:textId="77777777" w:rsidR="008669F9" w:rsidRDefault="00000000" w:rsidP="002F1635">
            <w:pPr>
              <w:spacing w:line="360" w:lineRule="auto"/>
              <w:jc w:val="center"/>
              <w:rPr>
                <w:b/>
                <w:color w:val="FFFFFF"/>
                <w:sz w:val="21"/>
                <w:szCs w:val="21"/>
              </w:rPr>
            </w:pPr>
            <w:r>
              <w:rPr>
                <w:b/>
                <w:color w:val="FFFFFF"/>
                <w:sz w:val="21"/>
                <w:szCs w:val="21"/>
              </w:rPr>
              <w:t>Advantages</w:t>
            </w:r>
          </w:p>
        </w:tc>
      </w:tr>
      <w:tr w:rsidR="008669F9" w14:paraId="69360913" w14:textId="77777777" w:rsidTr="002F1635">
        <w:trPr>
          <w:tblHeader/>
        </w:trPr>
        <w:tc>
          <w:tcPr>
            <w:tcW w:w="700" w:type="pct"/>
            <w:vMerge w:val="restart"/>
            <w:tcBorders>
              <w:top w:val="nil"/>
              <w:left w:val="single" w:sz="12" w:space="0" w:color="auto"/>
              <w:right w:val="single" w:sz="6" w:space="0" w:color="000000"/>
            </w:tcBorders>
            <w:tcMar>
              <w:top w:w="100" w:type="dxa"/>
              <w:left w:w="100" w:type="dxa"/>
              <w:bottom w:w="100" w:type="dxa"/>
              <w:right w:w="100" w:type="dxa"/>
            </w:tcMar>
          </w:tcPr>
          <w:p w14:paraId="17590B28" w14:textId="77777777" w:rsidR="008669F9" w:rsidRDefault="00000000" w:rsidP="00FD4F96">
            <w:pPr>
              <w:spacing w:line="360" w:lineRule="auto"/>
              <w:jc w:val="both"/>
              <w:rPr>
                <w:b/>
                <w:color w:val="333333"/>
                <w:sz w:val="21"/>
                <w:szCs w:val="21"/>
              </w:rPr>
            </w:pPr>
            <w:r>
              <w:rPr>
                <w:b/>
                <w:color w:val="333333"/>
                <w:sz w:val="21"/>
                <w:szCs w:val="21"/>
              </w:rPr>
              <w:t xml:space="preserve">360 </w:t>
            </w:r>
            <w:r>
              <w:rPr>
                <w:rFonts w:ascii="PingFang TC" w:eastAsia="PingFang TC" w:hAnsi="PingFang TC" w:cs="PingFang TC" w:hint="eastAsia"/>
                <w:b/>
                <w:color w:val="333333"/>
                <w:sz w:val="21"/>
                <w:szCs w:val="21"/>
              </w:rPr>
              <w:t>借条</w:t>
            </w:r>
          </w:p>
        </w:tc>
        <w:tc>
          <w:tcPr>
            <w:tcW w:w="1192" w:type="pct"/>
            <w:vMerge w:val="restart"/>
            <w:tcBorders>
              <w:top w:val="nil"/>
              <w:left w:val="nil"/>
              <w:right w:val="single" w:sz="6" w:space="0" w:color="000000"/>
            </w:tcBorders>
            <w:tcMar>
              <w:top w:w="100" w:type="dxa"/>
              <w:left w:w="100" w:type="dxa"/>
              <w:bottom w:w="100" w:type="dxa"/>
              <w:right w:w="100" w:type="dxa"/>
            </w:tcMar>
          </w:tcPr>
          <w:p w14:paraId="4E0DCD2E" w14:textId="0BC0DB2A" w:rsidR="008669F9" w:rsidRDefault="00000000" w:rsidP="00FD4F96">
            <w:pPr>
              <w:spacing w:line="360" w:lineRule="auto"/>
              <w:jc w:val="both"/>
              <w:rPr>
                <w:color w:val="333333"/>
                <w:sz w:val="21"/>
                <w:szCs w:val="21"/>
              </w:rPr>
            </w:pPr>
            <w:r>
              <w:rPr>
                <w:color w:val="333333"/>
                <w:sz w:val="21"/>
                <w:szCs w:val="21"/>
              </w:rPr>
              <w:t xml:space="preserve">Consumer </w:t>
            </w:r>
          </w:p>
        </w:tc>
        <w:tc>
          <w:tcPr>
            <w:tcW w:w="1721" w:type="pct"/>
            <w:tcBorders>
              <w:top w:val="nil"/>
              <w:left w:val="nil"/>
              <w:bottom w:val="single" w:sz="6" w:space="0" w:color="000000"/>
              <w:right w:val="single" w:sz="6" w:space="0" w:color="000000"/>
            </w:tcBorders>
            <w:tcMar>
              <w:top w:w="100" w:type="dxa"/>
              <w:left w:w="100" w:type="dxa"/>
              <w:bottom w:w="100" w:type="dxa"/>
              <w:right w:w="100" w:type="dxa"/>
            </w:tcMar>
          </w:tcPr>
          <w:p w14:paraId="02853AC7" w14:textId="77777777" w:rsidR="008669F9" w:rsidRDefault="00000000" w:rsidP="00FD4F96">
            <w:pPr>
              <w:spacing w:line="360" w:lineRule="auto"/>
              <w:jc w:val="both"/>
              <w:rPr>
                <w:color w:val="333333"/>
                <w:sz w:val="21"/>
                <w:szCs w:val="21"/>
              </w:rPr>
            </w:pPr>
            <w:r>
              <w:rPr>
                <w:color w:val="333333"/>
                <w:sz w:val="21"/>
                <w:szCs w:val="21"/>
              </w:rPr>
              <w:t>Presents personal credit status through cloud computing, machine learning, 360 Big Data and other technologies</w:t>
            </w:r>
          </w:p>
        </w:tc>
        <w:tc>
          <w:tcPr>
            <w:tcW w:w="1387" w:type="pct"/>
            <w:vMerge w:val="restart"/>
            <w:tcBorders>
              <w:top w:val="nil"/>
              <w:left w:val="nil"/>
              <w:right w:val="single" w:sz="12" w:space="0" w:color="auto"/>
            </w:tcBorders>
          </w:tcPr>
          <w:p w14:paraId="4C2C8855" w14:textId="77777777" w:rsidR="008669F9" w:rsidRDefault="00000000" w:rsidP="00FD4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333333"/>
                <w:sz w:val="21"/>
                <w:szCs w:val="21"/>
              </w:rPr>
            </w:pPr>
            <w:r>
              <w:rPr>
                <w:color w:val="333333"/>
                <w:sz w:val="21"/>
                <w:szCs w:val="21"/>
              </w:rPr>
              <w:t>Easy user interface, dynamic credit limit</w:t>
            </w:r>
          </w:p>
          <w:p w14:paraId="63770CE1" w14:textId="77777777" w:rsidR="008669F9" w:rsidRDefault="00000000" w:rsidP="00FD4F96">
            <w:pPr>
              <w:spacing w:line="360" w:lineRule="auto"/>
              <w:jc w:val="both"/>
              <w:rPr>
                <w:color w:val="333333"/>
                <w:sz w:val="21"/>
                <w:szCs w:val="21"/>
              </w:rPr>
            </w:pPr>
            <w:r>
              <w:rPr>
                <w:color w:val="333333"/>
                <w:sz w:val="21"/>
                <w:szCs w:val="21"/>
              </w:rPr>
              <w:t>Integrating data from multiple channels and build social network profile to better assess credit risk</w:t>
            </w:r>
          </w:p>
        </w:tc>
      </w:tr>
      <w:tr w:rsidR="008669F9" w14:paraId="37F6618F" w14:textId="77777777" w:rsidTr="002F1635">
        <w:trPr>
          <w:tblHeader/>
        </w:trPr>
        <w:tc>
          <w:tcPr>
            <w:tcW w:w="700" w:type="pct"/>
            <w:vMerge/>
            <w:tcBorders>
              <w:left w:val="single" w:sz="12" w:space="0" w:color="auto"/>
              <w:bottom w:val="single" w:sz="4" w:space="0" w:color="000000"/>
              <w:right w:val="single" w:sz="6" w:space="0" w:color="000000"/>
            </w:tcBorders>
            <w:shd w:val="clear" w:color="auto" w:fill="E2EEDA"/>
            <w:tcMar>
              <w:top w:w="100" w:type="dxa"/>
              <w:left w:w="100" w:type="dxa"/>
              <w:bottom w:w="100" w:type="dxa"/>
              <w:right w:w="100" w:type="dxa"/>
            </w:tcMar>
          </w:tcPr>
          <w:p w14:paraId="590708F9" w14:textId="77777777" w:rsidR="008669F9" w:rsidRDefault="008669F9" w:rsidP="00FD4F96">
            <w:pPr>
              <w:spacing w:line="360" w:lineRule="auto"/>
              <w:jc w:val="both"/>
              <w:rPr>
                <w:b/>
                <w:color w:val="333333"/>
                <w:sz w:val="21"/>
                <w:szCs w:val="21"/>
              </w:rPr>
            </w:pPr>
          </w:p>
        </w:tc>
        <w:tc>
          <w:tcPr>
            <w:tcW w:w="1192" w:type="pct"/>
            <w:vMerge/>
            <w:tcBorders>
              <w:left w:val="nil"/>
              <w:bottom w:val="single" w:sz="4" w:space="0" w:color="000000"/>
              <w:right w:val="single" w:sz="6" w:space="0" w:color="000000"/>
            </w:tcBorders>
            <w:shd w:val="clear" w:color="auto" w:fill="E2EEDA"/>
            <w:tcMar>
              <w:top w:w="100" w:type="dxa"/>
              <w:left w:w="100" w:type="dxa"/>
              <w:bottom w:w="100" w:type="dxa"/>
              <w:right w:w="100" w:type="dxa"/>
            </w:tcMar>
          </w:tcPr>
          <w:p w14:paraId="7DF027F2" w14:textId="77777777" w:rsidR="008669F9" w:rsidRDefault="008669F9" w:rsidP="00FD4F96">
            <w:pPr>
              <w:spacing w:line="360" w:lineRule="auto"/>
              <w:jc w:val="both"/>
              <w:rPr>
                <w:color w:val="333333"/>
                <w:sz w:val="21"/>
                <w:szCs w:val="21"/>
              </w:rPr>
            </w:pPr>
          </w:p>
        </w:tc>
        <w:tc>
          <w:tcPr>
            <w:tcW w:w="1721"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013979E9" w14:textId="6334F8E1" w:rsidR="008669F9" w:rsidRDefault="00000000" w:rsidP="00FD4F96">
            <w:pPr>
              <w:spacing w:line="360" w:lineRule="auto"/>
              <w:jc w:val="both"/>
              <w:rPr>
                <w:color w:val="333333"/>
                <w:sz w:val="21"/>
                <w:szCs w:val="21"/>
              </w:rPr>
            </w:pPr>
            <w:r>
              <w:rPr>
                <w:color w:val="333333"/>
                <w:sz w:val="21"/>
                <w:szCs w:val="21"/>
              </w:rPr>
              <w:t xml:space="preserve">Dynamic credit application limit is set </w:t>
            </w:r>
            <w:r w:rsidR="007A12BA">
              <w:rPr>
                <w:color w:val="333333"/>
                <w:sz w:val="21"/>
                <w:szCs w:val="21"/>
              </w:rPr>
              <w:t>based</w:t>
            </w:r>
            <w:r>
              <w:rPr>
                <w:color w:val="333333"/>
                <w:sz w:val="21"/>
                <w:szCs w:val="21"/>
              </w:rPr>
              <w:t xml:space="preserve"> on consumption habit and credit risk</w:t>
            </w:r>
          </w:p>
        </w:tc>
        <w:tc>
          <w:tcPr>
            <w:tcW w:w="1387" w:type="pct"/>
            <w:vMerge/>
            <w:tcBorders>
              <w:left w:val="nil"/>
              <w:bottom w:val="single" w:sz="6" w:space="0" w:color="000000"/>
              <w:right w:val="single" w:sz="12" w:space="0" w:color="auto"/>
            </w:tcBorders>
            <w:shd w:val="clear" w:color="auto" w:fill="E2EEDA"/>
          </w:tcPr>
          <w:p w14:paraId="15069106" w14:textId="77777777" w:rsidR="008669F9" w:rsidRDefault="008669F9" w:rsidP="00FD4F96">
            <w:pPr>
              <w:spacing w:line="360" w:lineRule="auto"/>
              <w:jc w:val="both"/>
              <w:rPr>
                <w:color w:val="333333"/>
                <w:sz w:val="21"/>
                <w:szCs w:val="21"/>
              </w:rPr>
            </w:pPr>
          </w:p>
        </w:tc>
      </w:tr>
      <w:tr w:rsidR="008669F9" w14:paraId="7C60557C" w14:textId="77777777" w:rsidTr="002F1635">
        <w:trPr>
          <w:tblHeader/>
        </w:trPr>
        <w:tc>
          <w:tcPr>
            <w:tcW w:w="700" w:type="pct"/>
            <w:tcBorders>
              <w:top w:val="single" w:sz="4" w:space="0" w:color="000000"/>
              <w:left w:val="single" w:sz="12" w:space="0" w:color="auto"/>
              <w:right w:val="single" w:sz="6" w:space="0" w:color="000000"/>
            </w:tcBorders>
            <w:shd w:val="clear" w:color="auto" w:fill="E2EEDA"/>
            <w:tcMar>
              <w:top w:w="100" w:type="dxa"/>
              <w:left w:w="100" w:type="dxa"/>
              <w:bottom w:w="100" w:type="dxa"/>
              <w:right w:w="100" w:type="dxa"/>
            </w:tcMar>
          </w:tcPr>
          <w:p w14:paraId="020969C8" w14:textId="77777777" w:rsidR="008669F9" w:rsidRDefault="00000000" w:rsidP="00FD4F96">
            <w:pPr>
              <w:spacing w:line="360" w:lineRule="auto"/>
              <w:jc w:val="both"/>
              <w:rPr>
                <w:b/>
                <w:color w:val="333333"/>
                <w:sz w:val="21"/>
                <w:szCs w:val="21"/>
              </w:rPr>
            </w:pPr>
            <w:r>
              <w:rPr>
                <w:b/>
                <w:color w:val="333333"/>
                <w:sz w:val="21"/>
                <w:szCs w:val="21"/>
              </w:rPr>
              <w:t xml:space="preserve">360 </w:t>
            </w:r>
            <w:r>
              <w:rPr>
                <w:rFonts w:ascii="PingFang TC" w:eastAsia="PingFang TC" w:hAnsi="PingFang TC" w:cs="PingFang TC" w:hint="eastAsia"/>
                <w:b/>
                <w:color w:val="333333"/>
                <w:sz w:val="21"/>
                <w:szCs w:val="21"/>
              </w:rPr>
              <w:t>分期</w:t>
            </w:r>
          </w:p>
        </w:tc>
        <w:tc>
          <w:tcPr>
            <w:tcW w:w="1192" w:type="pct"/>
            <w:tcBorders>
              <w:top w:val="single" w:sz="4" w:space="0" w:color="000000"/>
              <w:left w:val="nil"/>
              <w:right w:val="single" w:sz="6" w:space="0" w:color="000000"/>
            </w:tcBorders>
            <w:shd w:val="clear" w:color="auto" w:fill="E2EEDA"/>
            <w:tcMar>
              <w:top w:w="100" w:type="dxa"/>
              <w:left w:w="100" w:type="dxa"/>
              <w:bottom w:w="100" w:type="dxa"/>
              <w:right w:w="100" w:type="dxa"/>
            </w:tcMar>
          </w:tcPr>
          <w:p w14:paraId="3E2BC9B7" w14:textId="2FD59ED4" w:rsidR="008669F9" w:rsidRDefault="00000000" w:rsidP="00FD4F96">
            <w:pPr>
              <w:spacing w:line="360" w:lineRule="auto"/>
              <w:jc w:val="both"/>
              <w:rPr>
                <w:color w:val="333333"/>
                <w:sz w:val="21"/>
                <w:szCs w:val="21"/>
              </w:rPr>
            </w:pPr>
            <w:r>
              <w:rPr>
                <w:color w:val="333333"/>
                <w:sz w:val="21"/>
                <w:szCs w:val="21"/>
              </w:rPr>
              <w:t>Consumer</w:t>
            </w:r>
          </w:p>
        </w:tc>
        <w:tc>
          <w:tcPr>
            <w:tcW w:w="1721" w:type="pct"/>
            <w:tcBorders>
              <w:top w:val="nil"/>
              <w:left w:val="nil"/>
              <w:bottom w:val="single" w:sz="6" w:space="0" w:color="000000"/>
              <w:right w:val="single" w:sz="6" w:space="0" w:color="000000"/>
            </w:tcBorders>
            <w:shd w:val="clear" w:color="auto" w:fill="E2EEDA"/>
            <w:tcMar>
              <w:top w:w="100" w:type="dxa"/>
              <w:left w:w="100" w:type="dxa"/>
              <w:bottom w:w="100" w:type="dxa"/>
              <w:right w:w="100" w:type="dxa"/>
            </w:tcMar>
          </w:tcPr>
          <w:p w14:paraId="30E643D5" w14:textId="77777777" w:rsidR="008669F9" w:rsidRDefault="00000000" w:rsidP="00FD4F96">
            <w:pPr>
              <w:spacing w:line="360" w:lineRule="auto"/>
              <w:jc w:val="both"/>
              <w:rPr>
                <w:color w:val="333333"/>
                <w:sz w:val="21"/>
                <w:szCs w:val="21"/>
              </w:rPr>
            </w:pPr>
            <w:r>
              <w:rPr>
                <w:color w:val="333333"/>
                <w:sz w:val="21"/>
                <w:szCs w:val="21"/>
              </w:rPr>
              <w:t xml:space="preserve">Related to 360 </w:t>
            </w:r>
            <w:r>
              <w:rPr>
                <w:rFonts w:ascii="Arial" w:eastAsia="PingFang TC" w:hAnsi="Arial" w:cs="Arial"/>
                <w:color w:val="333333"/>
                <w:sz w:val="21"/>
                <w:szCs w:val="21"/>
              </w:rPr>
              <w:t>借条</w:t>
            </w:r>
            <w:r>
              <w:rPr>
                <w:color w:val="333333"/>
                <w:sz w:val="21"/>
                <w:szCs w:val="21"/>
              </w:rPr>
              <w:t>, cooperating with third party e-commerce platforms and offer installment purchasing</w:t>
            </w:r>
          </w:p>
        </w:tc>
        <w:tc>
          <w:tcPr>
            <w:tcW w:w="1387" w:type="pct"/>
            <w:tcBorders>
              <w:top w:val="nil"/>
              <w:left w:val="nil"/>
              <w:bottom w:val="single" w:sz="6" w:space="0" w:color="000000"/>
              <w:right w:val="single" w:sz="12" w:space="0" w:color="auto"/>
            </w:tcBorders>
            <w:shd w:val="clear" w:color="auto" w:fill="E2EEDA"/>
          </w:tcPr>
          <w:p w14:paraId="0CC4FE66" w14:textId="77777777" w:rsidR="008669F9" w:rsidRDefault="00000000" w:rsidP="00FD4F96">
            <w:pPr>
              <w:spacing w:line="360" w:lineRule="auto"/>
              <w:jc w:val="both"/>
              <w:rPr>
                <w:color w:val="333333"/>
                <w:sz w:val="21"/>
                <w:szCs w:val="21"/>
              </w:rPr>
            </w:pPr>
            <w:r>
              <w:rPr>
                <w:color w:val="333333"/>
                <w:sz w:val="21"/>
                <w:szCs w:val="21"/>
              </w:rPr>
              <w:t>Wide range of high-quality products with reliable after-sale services, large and highly active user base</w:t>
            </w:r>
          </w:p>
        </w:tc>
      </w:tr>
      <w:tr w:rsidR="008669F9" w14:paraId="0421DC86" w14:textId="77777777" w:rsidTr="002F1635">
        <w:trPr>
          <w:trHeight w:val="267"/>
          <w:tblHeader/>
        </w:trPr>
        <w:tc>
          <w:tcPr>
            <w:tcW w:w="700" w:type="pct"/>
            <w:tcBorders>
              <w:top w:val="single" w:sz="4" w:space="0" w:color="000000"/>
              <w:left w:val="single" w:sz="12" w:space="0" w:color="auto"/>
              <w:bottom w:val="single" w:sz="12" w:space="0" w:color="auto"/>
              <w:right w:val="single" w:sz="6" w:space="0" w:color="000000"/>
            </w:tcBorders>
            <w:tcMar>
              <w:top w:w="100" w:type="dxa"/>
              <w:left w:w="100" w:type="dxa"/>
              <w:bottom w:w="100" w:type="dxa"/>
              <w:right w:w="100" w:type="dxa"/>
            </w:tcMar>
          </w:tcPr>
          <w:p w14:paraId="16BC6C5D" w14:textId="77777777" w:rsidR="008669F9" w:rsidRDefault="00000000" w:rsidP="00FD4F96">
            <w:pPr>
              <w:spacing w:line="360" w:lineRule="auto"/>
              <w:jc w:val="both"/>
              <w:rPr>
                <w:b/>
                <w:color w:val="333333"/>
                <w:sz w:val="21"/>
                <w:szCs w:val="21"/>
              </w:rPr>
            </w:pPr>
            <w:r>
              <w:rPr>
                <w:b/>
                <w:color w:val="333333"/>
                <w:sz w:val="21"/>
                <w:szCs w:val="21"/>
              </w:rPr>
              <w:t>360</w:t>
            </w:r>
            <w:r>
              <w:rPr>
                <w:rFonts w:ascii="PingFang TC" w:eastAsia="PingFang TC" w:hAnsi="PingFang TC" w:cs="PingFang TC" w:hint="eastAsia"/>
                <w:b/>
                <w:color w:val="333333"/>
                <w:sz w:val="21"/>
                <w:szCs w:val="21"/>
              </w:rPr>
              <w:t>小微贷</w:t>
            </w:r>
          </w:p>
        </w:tc>
        <w:tc>
          <w:tcPr>
            <w:tcW w:w="1192" w:type="pct"/>
            <w:tcBorders>
              <w:top w:val="single" w:sz="4" w:space="0" w:color="000000"/>
              <w:left w:val="nil"/>
              <w:bottom w:val="single" w:sz="12" w:space="0" w:color="auto"/>
              <w:right w:val="single" w:sz="6" w:space="0" w:color="000000"/>
            </w:tcBorders>
            <w:tcMar>
              <w:top w:w="100" w:type="dxa"/>
              <w:left w:w="100" w:type="dxa"/>
              <w:bottom w:w="100" w:type="dxa"/>
              <w:right w:w="100" w:type="dxa"/>
            </w:tcMar>
          </w:tcPr>
          <w:p w14:paraId="5595D811" w14:textId="43FDB82C" w:rsidR="008669F9" w:rsidRDefault="00000000" w:rsidP="00FD4F96">
            <w:pPr>
              <w:spacing w:line="360" w:lineRule="auto"/>
              <w:jc w:val="both"/>
              <w:rPr>
                <w:color w:val="333333"/>
                <w:sz w:val="21"/>
                <w:szCs w:val="21"/>
              </w:rPr>
            </w:pPr>
            <w:r>
              <w:rPr>
                <w:color w:val="333333"/>
                <w:sz w:val="21"/>
                <w:szCs w:val="21"/>
              </w:rPr>
              <w:t xml:space="preserve">SMEs with unfilled credit demand, short </w:t>
            </w:r>
            <w:r w:rsidR="007A12BA">
              <w:rPr>
                <w:color w:val="333333"/>
                <w:sz w:val="21"/>
                <w:szCs w:val="21"/>
              </w:rPr>
              <w:t>verifiable</w:t>
            </w:r>
            <w:r>
              <w:rPr>
                <w:color w:val="333333"/>
                <w:sz w:val="21"/>
                <w:szCs w:val="21"/>
              </w:rPr>
              <w:t xml:space="preserve"> credit history, high credit risk</w:t>
            </w:r>
          </w:p>
        </w:tc>
        <w:tc>
          <w:tcPr>
            <w:tcW w:w="1721" w:type="pct"/>
            <w:tcBorders>
              <w:top w:val="single" w:sz="4" w:space="0" w:color="000000"/>
              <w:left w:val="nil"/>
              <w:bottom w:val="single" w:sz="12" w:space="0" w:color="auto"/>
              <w:right w:val="single" w:sz="6" w:space="0" w:color="000000"/>
            </w:tcBorders>
            <w:tcMar>
              <w:top w:w="100" w:type="dxa"/>
              <w:left w:w="100" w:type="dxa"/>
              <w:bottom w:w="100" w:type="dxa"/>
              <w:right w:w="100" w:type="dxa"/>
            </w:tcMar>
          </w:tcPr>
          <w:p w14:paraId="708EEB6D" w14:textId="77777777" w:rsidR="008669F9" w:rsidRDefault="00000000" w:rsidP="00FD4F96">
            <w:pPr>
              <w:spacing w:line="360" w:lineRule="auto"/>
              <w:jc w:val="both"/>
              <w:rPr>
                <w:color w:val="333333"/>
                <w:sz w:val="21"/>
                <w:szCs w:val="21"/>
              </w:rPr>
            </w:pPr>
            <w:r>
              <w:rPr>
                <w:color w:val="333333"/>
                <w:sz w:val="21"/>
                <w:szCs w:val="21"/>
              </w:rPr>
              <w:t>Offers online application of real-time loan with moderate risk under relative higher interest rate</w:t>
            </w:r>
          </w:p>
        </w:tc>
        <w:tc>
          <w:tcPr>
            <w:tcW w:w="1387" w:type="pct"/>
            <w:tcBorders>
              <w:top w:val="single" w:sz="4" w:space="0" w:color="000000"/>
              <w:left w:val="nil"/>
              <w:bottom w:val="single" w:sz="12" w:space="0" w:color="auto"/>
              <w:right w:val="single" w:sz="12" w:space="0" w:color="auto"/>
            </w:tcBorders>
          </w:tcPr>
          <w:p w14:paraId="35EA99FA" w14:textId="77777777" w:rsidR="008669F9" w:rsidRDefault="00000000" w:rsidP="00FD4F96">
            <w:pPr>
              <w:spacing w:line="360" w:lineRule="auto"/>
              <w:jc w:val="both"/>
              <w:rPr>
                <w:color w:val="333333"/>
                <w:sz w:val="21"/>
                <w:szCs w:val="21"/>
              </w:rPr>
            </w:pPr>
            <w:r>
              <w:rPr>
                <w:color w:val="333333"/>
                <w:sz w:val="21"/>
                <w:szCs w:val="21"/>
              </w:rPr>
              <w:t>Supported by in house developed credit evaluation tools, it has high risk control ability</w:t>
            </w:r>
          </w:p>
        </w:tc>
      </w:tr>
    </w:tbl>
    <w:p w14:paraId="0A2F872B" w14:textId="1453CB3B" w:rsidR="008669F9" w:rsidRPr="007A12BA" w:rsidRDefault="00000000" w:rsidP="00FD4F96">
      <w:pPr>
        <w:spacing w:line="360" w:lineRule="auto"/>
        <w:jc w:val="both"/>
        <w:rPr>
          <w:color w:val="333333"/>
          <w:highlight w:val="white"/>
        </w:rPr>
      </w:pPr>
      <w:r>
        <w:rPr>
          <w:i/>
          <w:color w:val="333333"/>
          <w:sz w:val="21"/>
          <w:szCs w:val="21"/>
          <w:highlight w:val="white"/>
        </w:rPr>
        <w:lastRenderedPageBreak/>
        <w:t>Source: 360 DigiTech Company website</w:t>
      </w:r>
    </w:p>
    <w:p w14:paraId="715F3246" w14:textId="2F06A285" w:rsidR="002F1635" w:rsidRPr="002F1635" w:rsidRDefault="002F1635" w:rsidP="002F1635">
      <w:pPr>
        <w:pStyle w:val="Heading3"/>
        <w:spacing w:line="360" w:lineRule="auto"/>
        <w:rPr>
          <w:rFonts w:ascii="Times New Roman" w:hAnsi="Times New Roman" w:cs="Times New Roman"/>
          <w:bCs/>
        </w:rPr>
      </w:pPr>
      <w:bookmarkStart w:id="17" w:name="_Toc128217499"/>
      <w:r>
        <w:rPr>
          <w:rFonts w:ascii="Times New Roman" w:hAnsi="Times New Roman" w:cs="Times New Roman"/>
          <w:bCs/>
        </w:rPr>
        <w:t>4</w:t>
      </w:r>
      <w:r w:rsidRPr="002F1635">
        <w:rPr>
          <w:rFonts w:ascii="Times New Roman" w:hAnsi="Times New Roman" w:cs="Times New Roman"/>
          <w:bCs/>
        </w:rPr>
        <w:t>.1.</w:t>
      </w:r>
      <w:r>
        <w:rPr>
          <w:rFonts w:ascii="Times New Roman" w:hAnsi="Times New Roman" w:cs="Times New Roman"/>
          <w:bCs/>
        </w:rPr>
        <w:t>4 oper</w:t>
      </w:r>
      <w:r w:rsidRPr="002F1635">
        <w:rPr>
          <w:rFonts w:ascii="Times New Roman" w:hAnsi="Times New Roman" w:cs="Times New Roman"/>
          <w:bCs/>
        </w:rPr>
        <w:t>ation under the combination of light-asset as well as heavy-asset model:</w:t>
      </w:r>
      <w:bookmarkEnd w:id="17"/>
    </w:p>
    <w:p w14:paraId="72A532E7" w14:textId="4AD74790" w:rsidR="008669F9" w:rsidRDefault="00000000" w:rsidP="002F1635">
      <w:pPr>
        <w:spacing w:line="360" w:lineRule="auto"/>
        <w:jc w:val="both"/>
        <w:rPr>
          <w:bCs/>
        </w:rPr>
      </w:pPr>
      <w:r>
        <w:rPr>
          <w:bCs/>
        </w:rPr>
        <w:t>360 DigiTech started off with mainly consumer loans and later expanded into SME loans.</w:t>
      </w:r>
      <w:r w:rsidR="002F1635">
        <w:rPr>
          <w:bCs/>
        </w:rPr>
        <w:t xml:space="preserve"> </w:t>
      </w:r>
      <w:r>
        <w:rPr>
          <w:bCs/>
        </w:rPr>
        <w:t xml:space="preserve">Under the Light-asset model, platforms like 360 DigiTech do not bear the risk, </w:t>
      </w:r>
      <w:r w:rsidR="00313334">
        <w:rPr>
          <w:bCs/>
        </w:rPr>
        <w:t>like</w:t>
      </w:r>
      <w:r>
        <w:rPr>
          <w:bCs/>
        </w:rPr>
        <w:t xml:space="preserve"> the SAAS model in online finance, it earns major profit from sharing the revenue on a preset term with the financial institutions. While the industry average is around 30%, 360 DigiTech typically receives a larger share due to its outstanding risk control ability.</w:t>
      </w:r>
    </w:p>
    <w:p w14:paraId="469EC2A7" w14:textId="5F46757B" w:rsidR="008669F9" w:rsidRDefault="00000000" w:rsidP="002F1635">
      <w:pPr>
        <w:spacing w:line="360" w:lineRule="auto"/>
        <w:jc w:val="both"/>
        <w:rPr>
          <w:bCs/>
        </w:rPr>
      </w:pPr>
      <w:r>
        <w:rPr>
          <w:bCs/>
        </w:rPr>
        <w:t>On the other hand, under the heavy-asset model, 360 bears risk as an intermediary. It provides a predetermined amount of margin to be placed at the bank, and deducts the relevant confirmed default risk loans, revenue is the part of interest income after deducting the capital cost and bad debt loss of the bank.</w:t>
      </w:r>
    </w:p>
    <w:p w14:paraId="7A511DEF" w14:textId="762AB89F" w:rsidR="008669F9" w:rsidRDefault="00000000" w:rsidP="002F1635">
      <w:pPr>
        <w:spacing w:line="360" w:lineRule="auto"/>
        <w:jc w:val="both"/>
        <w:rPr>
          <w:bCs/>
        </w:rPr>
      </w:pPr>
      <w:r>
        <w:rPr>
          <w:bCs/>
        </w:rPr>
        <w:t xml:space="preserve">To reduce the </w:t>
      </w:r>
      <w:proofErr w:type="gramStart"/>
      <w:r w:rsidR="007A12BA">
        <w:rPr>
          <w:bCs/>
        </w:rPr>
        <w:t>risk</w:t>
      </w:r>
      <w:proofErr w:type="gramEnd"/>
      <w:r w:rsidR="007A12BA">
        <w:rPr>
          <w:bCs/>
        </w:rPr>
        <w:t xml:space="preserve"> </w:t>
      </w:r>
      <w:r>
        <w:rPr>
          <w:bCs/>
        </w:rPr>
        <w:t>it bears and lower the capital barrier, the company has been actively working to shift from Heavy-Asset to Light-Asset, with the latter accounting for more than 60% in 2021. The revenue for the company is stable at the 4 billion RMB for four consecutive quarters tracing back from Q3 2022, with YoY and QoQ growth of loan facilitated amount of about 13%.</w:t>
      </w:r>
    </w:p>
    <w:p w14:paraId="48955F8D" w14:textId="746B35FB" w:rsidR="008669F9" w:rsidRPr="007A12BA" w:rsidRDefault="007A12BA" w:rsidP="002F1635">
      <w:pPr>
        <w:spacing w:line="360" w:lineRule="auto"/>
        <w:rPr>
          <w:i/>
          <w:color w:val="0A0A0A"/>
          <w:sz w:val="21"/>
          <w:szCs w:val="21"/>
          <w:highlight w:val="white"/>
        </w:rPr>
      </w:pPr>
      <w:r>
        <w:rPr>
          <w:i/>
          <w:color w:val="0A0A0A"/>
          <w:sz w:val="21"/>
          <w:szCs w:val="21"/>
          <w:highlight w:val="white"/>
        </w:rPr>
        <w:t>Figure 7: Evolution from credit-driven platform to SAAS</w:t>
      </w:r>
      <w:r w:rsidR="002F1635">
        <w:rPr>
          <w:i/>
          <w:color w:val="0A0A0A"/>
          <w:sz w:val="21"/>
          <w:szCs w:val="21"/>
          <w:highlight w:val="white"/>
        </w:rPr>
        <w:br/>
      </w:r>
      <w:r w:rsidR="002F1635">
        <w:rPr>
          <w:noProof/>
          <w:color w:val="333333"/>
          <w:highlight w:val="white"/>
        </w:rPr>
        <w:drawing>
          <wp:inline distT="0" distB="0" distL="0" distR="0" wp14:anchorId="1431483F" wp14:editId="7D2FFD80">
            <wp:extent cx="5203190" cy="2640965"/>
            <wp:effectExtent l="0" t="0" r="0" b="6985"/>
            <wp:docPr id="6" name="image9.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9.png" descr="Calendar&#10;&#10;Description automatically generated"/>
                    <pic:cNvPicPr preferRelativeResize="0"/>
                  </pic:nvPicPr>
                  <pic:blipFill>
                    <a:blip r:embed="rId10">
                      <a:extLst>
                        <a:ext uri="{28A0092B-C50C-407E-A947-70E740481C1C}">
                          <a14:useLocalDpi xmlns:a14="http://schemas.microsoft.com/office/drawing/2010/main" val="0"/>
                        </a:ext>
                      </a:extLst>
                    </a:blip>
                    <a:srcRect l="1795" r="549"/>
                    <a:stretch>
                      <a:fillRect/>
                    </a:stretch>
                  </pic:blipFill>
                  <pic:spPr>
                    <a:xfrm>
                      <a:off x="0" y="0"/>
                      <a:ext cx="5203190" cy="2640965"/>
                    </a:xfrm>
                    <a:prstGeom prst="rect">
                      <a:avLst/>
                    </a:prstGeom>
                    <a:ln>
                      <a:noFill/>
                    </a:ln>
                  </pic:spPr>
                </pic:pic>
              </a:graphicData>
            </a:graphic>
          </wp:inline>
        </w:drawing>
      </w:r>
    </w:p>
    <w:p w14:paraId="2630E7B4" w14:textId="28D122D6" w:rsidR="008669F9" w:rsidRDefault="00000000" w:rsidP="00FD4F96">
      <w:pPr>
        <w:spacing w:line="360" w:lineRule="auto"/>
        <w:jc w:val="both"/>
        <w:rPr>
          <w:i/>
          <w:color w:val="333333"/>
          <w:sz w:val="21"/>
          <w:szCs w:val="21"/>
          <w:highlight w:val="white"/>
        </w:rPr>
      </w:pPr>
      <w:r>
        <w:rPr>
          <w:i/>
          <w:color w:val="333333"/>
          <w:sz w:val="21"/>
          <w:szCs w:val="21"/>
          <w:highlight w:val="white"/>
        </w:rPr>
        <w:t>Source: 360 DigiTech Company website</w:t>
      </w:r>
    </w:p>
    <w:p w14:paraId="7A323C65" w14:textId="233BD5B8" w:rsidR="002F1635" w:rsidRPr="002F1635" w:rsidRDefault="002F1635" w:rsidP="002F1635">
      <w:pPr>
        <w:pStyle w:val="Heading3"/>
        <w:spacing w:line="360" w:lineRule="auto"/>
        <w:rPr>
          <w:color w:val="333333"/>
          <w:highlight w:val="white"/>
        </w:rPr>
      </w:pPr>
      <w:bookmarkStart w:id="18" w:name="_Toc128217500"/>
      <w:r>
        <w:rPr>
          <w:rFonts w:ascii="Times New Roman" w:hAnsi="Times New Roman" w:cs="Times New Roman"/>
          <w:bCs/>
        </w:rPr>
        <w:t>4</w:t>
      </w:r>
      <w:r w:rsidRPr="002F1635">
        <w:rPr>
          <w:rFonts w:ascii="Times New Roman" w:hAnsi="Times New Roman" w:cs="Times New Roman"/>
          <w:bCs/>
        </w:rPr>
        <w:t>.1.</w:t>
      </w:r>
      <w:r>
        <w:rPr>
          <w:rFonts w:ascii="Times New Roman" w:hAnsi="Times New Roman" w:cs="Times New Roman"/>
          <w:bCs/>
        </w:rPr>
        <w:t>5</w:t>
      </w:r>
      <w:r>
        <w:rPr>
          <w:rFonts w:ascii="Times New Roman" w:hAnsi="Times New Roman" w:cs="Times New Roman"/>
          <w:bCs/>
        </w:rPr>
        <w:t xml:space="preserve"> </w:t>
      </w:r>
      <w:r w:rsidRPr="002F1635">
        <w:rPr>
          <w:rFonts w:ascii="Times New Roman" w:hAnsi="Times New Roman" w:cs="Times New Roman"/>
          <w:bCs/>
        </w:rPr>
        <w:t xml:space="preserve">Focusing on Consumer loan and SME </w:t>
      </w:r>
      <w:proofErr w:type="gramStart"/>
      <w:r w:rsidRPr="002F1635">
        <w:rPr>
          <w:rFonts w:ascii="Times New Roman" w:hAnsi="Times New Roman" w:cs="Times New Roman"/>
          <w:bCs/>
        </w:rPr>
        <w:t>loans</w:t>
      </w:r>
      <w:bookmarkEnd w:id="18"/>
      <w:proofErr w:type="gramEnd"/>
    </w:p>
    <w:p w14:paraId="4ECA71E5" w14:textId="268EF720" w:rsidR="008669F9" w:rsidRDefault="00000000" w:rsidP="002F1635">
      <w:pPr>
        <w:spacing w:line="360" w:lineRule="auto"/>
        <w:jc w:val="both"/>
        <w:rPr>
          <w:bCs/>
        </w:rPr>
      </w:pPr>
      <w:r>
        <w:rPr>
          <w:bCs/>
        </w:rPr>
        <w:t>360 DigiTech started off with mainly consumer loans and later expanded into SME loans. It is also cooperating with 3rd parties to promote embedded finance aiming to provide application scenarios.</w:t>
      </w:r>
    </w:p>
    <w:p w14:paraId="4780339C" w14:textId="77777777" w:rsidR="008669F9" w:rsidRDefault="00000000" w:rsidP="002F1635">
      <w:pPr>
        <w:spacing w:line="360" w:lineRule="auto"/>
        <w:jc w:val="both"/>
        <w:rPr>
          <w:bCs/>
        </w:rPr>
      </w:pPr>
      <w:r>
        <w:rPr>
          <w:bCs/>
        </w:rPr>
        <w:lastRenderedPageBreak/>
        <w:t>Consumer loan is typically risky for traditional banks, due to the low amount for single loan (on average about 7700 RMB in Q3 2022), as well as the disbursed borrowers making it hard to verify their credit history, while the interest rate are typically higher, there is a large chance of delinquency. With the help of Fintech companies, multiple channels are expanded to evaluate the risk of default comprehensively, even automatically under certain algorithms, certainly enlarging the market for consumer loans. One large group of target users is young people frequently engaged in e-commerce, who are more likely to be subjected to positive feedback of marketing strategies, including celebrity advertisements on social platforms and official accounts, as well as recommendations within the community, loyalty programs in the Apps, and successful acquisition from 3rd party websites.</w:t>
      </w:r>
    </w:p>
    <w:p w14:paraId="2E9C0B9B" w14:textId="69E4C892" w:rsidR="008669F9" w:rsidRDefault="00000000" w:rsidP="002F1635">
      <w:pPr>
        <w:spacing w:line="360" w:lineRule="auto"/>
        <w:jc w:val="both"/>
        <w:rPr>
          <w:bCs/>
        </w:rPr>
      </w:pPr>
      <w:r>
        <w:rPr>
          <w:bCs/>
        </w:rPr>
        <w:t>Meanwhile, under the supportive policy for SMEs, the loan market is also growing.</w:t>
      </w:r>
      <w:r w:rsidR="002F1635">
        <w:rPr>
          <w:bCs/>
        </w:rPr>
        <w:t xml:space="preserve"> </w:t>
      </w:r>
      <w:r>
        <w:rPr>
          <w:bCs/>
        </w:rPr>
        <w:t>The amount can be larger, on average about 23 thousand RMB in Q3 2022, with payback period of about 2-3 years, under the pandemic and economic downturns which struck many startups, posing extreme hardship for their survival, risk-control is of more significance, where advantage of 360 DigiTech is shown.</w:t>
      </w:r>
    </w:p>
    <w:p w14:paraId="733EB7E9" w14:textId="66DC2B50" w:rsidR="008669F9" w:rsidRPr="007A12BA" w:rsidRDefault="00924422" w:rsidP="002F1635">
      <w:pPr>
        <w:spacing w:line="360" w:lineRule="auto"/>
        <w:rPr>
          <w:rFonts w:ascii="PingFang TC" w:eastAsia="PingFang TC" w:hAnsi="PingFang TC" w:cs="PingFang TC"/>
          <w:color w:val="333333"/>
          <w:highlight w:val="white"/>
        </w:rPr>
      </w:pPr>
      <w:r>
        <w:rPr>
          <w:i/>
          <w:color w:val="0A0A0A"/>
          <w:sz w:val="21"/>
          <w:szCs w:val="21"/>
          <w:highlight w:val="white"/>
        </w:rPr>
        <w:t>Figure 8: Age breakdown by users with approved credit</w:t>
      </w:r>
      <w:r w:rsidR="007A12BA">
        <w:rPr>
          <w:i/>
          <w:color w:val="0A0A0A"/>
          <w:sz w:val="21"/>
          <w:szCs w:val="21"/>
          <w:highlight w:val="white"/>
        </w:rPr>
        <w:t xml:space="preserve"> l</w:t>
      </w:r>
      <w:r>
        <w:rPr>
          <w:i/>
          <w:color w:val="0A0A0A"/>
          <w:sz w:val="21"/>
          <w:szCs w:val="21"/>
          <w:highlight w:val="white"/>
        </w:rPr>
        <w:t>ines as of June 30, 2022</w:t>
      </w:r>
      <w:r w:rsidR="002F1635">
        <w:rPr>
          <w:i/>
          <w:color w:val="0A0A0A"/>
          <w:sz w:val="21"/>
          <w:szCs w:val="21"/>
        </w:rPr>
        <w:br/>
      </w:r>
      <w:r w:rsidR="002F1635">
        <w:rPr>
          <w:noProof/>
          <w:color w:val="333333"/>
        </w:rPr>
        <w:drawing>
          <wp:inline distT="0" distB="0" distL="0" distR="0" wp14:anchorId="023F7C3C" wp14:editId="588DB93A">
            <wp:extent cx="4004945" cy="1929130"/>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226399" w14:textId="77777777" w:rsidR="008669F9" w:rsidRDefault="00000000" w:rsidP="00FD4F96">
      <w:pPr>
        <w:spacing w:line="360" w:lineRule="auto"/>
        <w:jc w:val="both"/>
        <w:rPr>
          <w:color w:val="333333"/>
          <w:highlight w:val="white"/>
        </w:rPr>
      </w:pPr>
      <w:r>
        <w:rPr>
          <w:i/>
          <w:color w:val="333333"/>
          <w:sz w:val="21"/>
          <w:szCs w:val="21"/>
          <w:highlight w:val="white"/>
        </w:rPr>
        <w:t>Source: 360 DigiTech Company website</w:t>
      </w:r>
    </w:p>
    <w:p w14:paraId="6A53CB75" w14:textId="52BB2685" w:rsidR="008669F9" w:rsidRDefault="002F1635" w:rsidP="00FD4F96">
      <w:pPr>
        <w:pStyle w:val="Heading2"/>
        <w:spacing w:line="360" w:lineRule="auto"/>
        <w:jc w:val="both"/>
        <w:rPr>
          <w:rFonts w:ascii="Times New Roman" w:hAnsi="Times New Roman" w:cs="Times New Roman"/>
          <w:b w:val="0"/>
          <w:szCs w:val="24"/>
        </w:rPr>
      </w:pPr>
      <w:bookmarkStart w:id="19" w:name="_Toc128217501"/>
      <w:r>
        <w:rPr>
          <w:rFonts w:ascii="Times New Roman" w:hAnsi="Times New Roman" w:cs="Times New Roman"/>
          <w:b w:val="0"/>
          <w:szCs w:val="24"/>
        </w:rPr>
        <w:t>4</w:t>
      </w:r>
      <w:r w:rsidR="00000000">
        <w:rPr>
          <w:rFonts w:ascii="Times New Roman" w:hAnsi="Times New Roman" w:cs="Times New Roman"/>
          <w:b w:val="0"/>
          <w:szCs w:val="24"/>
        </w:rPr>
        <w:t>.2. Risks and Challenges</w:t>
      </w:r>
      <w:bookmarkEnd w:id="19"/>
    </w:p>
    <w:p w14:paraId="479AC4A5" w14:textId="035C46D5" w:rsidR="008669F9" w:rsidRPr="002F1635" w:rsidRDefault="002F1635" w:rsidP="002F1635">
      <w:pPr>
        <w:pStyle w:val="Heading3"/>
        <w:spacing w:line="360" w:lineRule="auto"/>
        <w:rPr>
          <w:rFonts w:ascii="Times New Roman" w:hAnsi="Times New Roman" w:cs="Times New Roman"/>
          <w:bCs/>
        </w:rPr>
      </w:pPr>
      <w:bookmarkStart w:id="20" w:name="_Toc128217502"/>
      <w:r>
        <w:rPr>
          <w:rFonts w:ascii="Times New Roman" w:hAnsi="Times New Roman" w:cs="Times New Roman"/>
          <w:bCs/>
        </w:rPr>
        <w:t>4</w:t>
      </w:r>
      <w:r w:rsidR="00000000" w:rsidRPr="002F1635">
        <w:rPr>
          <w:rFonts w:ascii="Times New Roman" w:hAnsi="Times New Roman" w:cs="Times New Roman"/>
          <w:bCs/>
        </w:rPr>
        <w:t>.2.1 Operational risks</w:t>
      </w:r>
      <w:bookmarkEnd w:id="20"/>
    </w:p>
    <w:p w14:paraId="1776D6FE" w14:textId="77777777" w:rsidR="008669F9" w:rsidRPr="002F1635" w:rsidRDefault="00000000" w:rsidP="002F1635">
      <w:pPr>
        <w:spacing w:line="360" w:lineRule="auto"/>
        <w:rPr>
          <w:b/>
          <w:bCs/>
          <w:color w:val="333333"/>
          <w:highlight w:val="white"/>
        </w:rPr>
      </w:pPr>
      <w:r w:rsidRPr="002F1635">
        <w:rPr>
          <w:b/>
          <w:bCs/>
          <w:color w:val="333333"/>
          <w:highlight w:val="white"/>
        </w:rPr>
        <w:t>Eroding “traffic dividend”</w:t>
      </w:r>
    </w:p>
    <w:p w14:paraId="45229B13" w14:textId="1AB215A7" w:rsidR="008669F9" w:rsidRDefault="00000000" w:rsidP="002F1635">
      <w:pPr>
        <w:spacing w:line="360" w:lineRule="auto"/>
        <w:jc w:val="both"/>
        <w:rPr>
          <w:bCs/>
        </w:rPr>
      </w:pPr>
      <w:r>
        <w:rPr>
          <w:bCs/>
        </w:rPr>
        <w:t xml:space="preserve">Though total users on 360 DigiTech platforms has reached 200 million in September 2022, the user growth is slowing down, with only 8 million increases for Q3, </w:t>
      </w:r>
      <w:r w:rsidR="007A12BA">
        <w:rPr>
          <w:bCs/>
        </w:rPr>
        <w:t>because</w:t>
      </w:r>
      <w:r>
        <w:rPr>
          <w:bCs/>
        </w:rPr>
        <w:t xml:space="preserve"> of tightened regulation on digital finance and remaining public concerns. Consumer acquisition is always a competitive advantage under the Light-Asset model. Relying on the continuous optimization </w:t>
      </w:r>
      <w:r>
        <w:rPr>
          <w:bCs/>
        </w:rPr>
        <w:lastRenderedPageBreak/>
        <w:t>of channel structure and delivery model, the identification rate of 360 DigiTech is as high as 90%, while the scale of customer delivery ranks first in the industry.</w:t>
      </w:r>
    </w:p>
    <w:p w14:paraId="5BA408B5" w14:textId="0E7CF9B0" w:rsidR="008669F9" w:rsidRDefault="00000000" w:rsidP="002F1635">
      <w:pPr>
        <w:spacing w:line="360" w:lineRule="auto"/>
        <w:jc w:val="both"/>
        <w:rPr>
          <w:bCs/>
        </w:rPr>
      </w:pPr>
      <w:r>
        <w:rPr>
          <w:bCs/>
        </w:rPr>
        <w:t>Due to the lack of application scenarios on its own platforms, 360 DigiTech operates under embedded finance which acquires most of its users from third parties. The consumer acquisition cost has dropped from the pre-pandemic rate of more than 200 RMB to around 130 RMB, but this number re-bounced to more than 350 RMB as the situation recovers. This poses a great challenge of promoting consumer loyalty as well as conversion rate to enjoy a prolonged and sustainable growth as “traffic dividend” is gradually disappearing.</w:t>
      </w:r>
    </w:p>
    <w:p w14:paraId="2E335B29" w14:textId="47F8C407" w:rsidR="001261D4" w:rsidRPr="007A12BA" w:rsidRDefault="001261D4" w:rsidP="002F1635">
      <w:pPr>
        <w:spacing w:line="360" w:lineRule="auto"/>
        <w:jc w:val="both"/>
        <w:rPr>
          <w:bCs/>
        </w:rPr>
      </w:pPr>
      <w:r w:rsidRPr="007A12BA">
        <w:rPr>
          <w:bCs/>
        </w:rPr>
        <w:t xml:space="preserve">To be specific, comparing 360 DigiTech with similar NASDAQ listed Chinese Fintech companies operating in Consumer loan sectors Lexin Fintech Holdings and FinVolution Group. Newly registered </w:t>
      </w:r>
      <w:r w:rsidR="007A12BA" w:rsidRPr="007A12BA">
        <w:rPr>
          <w:bCs/>
        </w:rPr>
        <w:t>users’</w:t>
      </w:r>
      <w:r w:rsidRPr="007A12BA">
        <w:rPr>
          <w:bCs/>
        </w:rPr>
        <w:t xml:space="preserve"> growth rate of 360 DigiTech has plummeted to 3.5% by the end of 2021 comparing to its </w:t>
      </w:r>
      <w:r w:rsidR="007A12BA" w:rsidRPr="007A12BA">
        <w:rPr>
          <w:bCs/>
        </w:rPr>
        <w:t>all-time</w:t>
      </w:r>
      <w:r w:rsidRPr="007A12BA">
        <w:rPr>
          <w:bCs/>
        </w:rPr>
        <w:t xml:space="preserve"> high of 20.4% starting 2019, already surpassed by its rival Lexin who has reached 7.1%.</w:t>
      </w:r>
    </w:p>
    <w:p w14:paraId="3EEEFBAB" w14:textId="77777777" w:rsidR="008669F9" w:rsidRPr="002F1635" w:rsidRDefault="00000000" w:rsidP="002F1635">
      <w:pPr>
        <w:spacing w:line="360" w:lineRule="auto"/>
        <w:rPr>
          <w:b/>
          <w:bCs/>
          <w:color w:val="333333"/>
          <w:highlight w:val="white"/>
        </w:rPr>
      </w:pPr>
      <w:r w:rsidRPr="002F1635">
        <w:rPr>
          <w:b/>
          <w:bCs/>
          <w:color w:val="333333"/>
          <w:highlight w:val="white"/>
        </w:rPr>
        <w:t>Pandemic and economic downturns lower solvency</w:t>
      </w:r>
    </w:p>
    <w:p w14:paraId="7139A8E2" w14:textId="77777777" w:rsidR="008669F9" w:rsidRDefault="00000000" w:rsidP="002F1635">
      <w:pPr>
        <w:spacing w:line="360" w:lineRule="auto"/>
        <w:jc w:val="both"/>
        <w:rPr>
          <w:bCs/>
        </w:rPr>
      </w:pPr>
      <w:r>
        <w:rPr>
          <w:bCs/>
        </w:rPr>
        <w:t>As the pandemic situation worsened in early 2022 and ensuing lockdowns in China hindered economic growth, daily operations of small business were struck hard, therefore, solvency for loans for especially SMEs decreased. Meanwhile, the lack of a stable source of income for households also decreases the intention of large consumption spending, especially on margin. Therefore, both SME business and Consumer loans for 360 DigiTech are negatively influenced, as the algorithms used to evaluate credit risk met macro-level distortion, resulting in unexpected soar in delinquency rate, 30+ days overdue has reached 4.4% compared to 2.2% in 2019. However, as a common case across the industry, 360 DigiTech still has the lowest default rate among its rivals.</w:t>
      </w:r>
    </w:p>
    <w:p w14:paraId="4C10D72B" w14:textId="77777777" w:rsidR="008669F9" w:rsidRPr="002F1635" w:rsidRDefault="00000000" w:rsidP="002F1635">
      <w:pPr>
        <w:spacing w:line="360" w:lineRule="auto"/>
        <w:rPr>
          <w:b/>
          <w:bCs/>
          <w:color w:val="333333"/>
          <w:highlight w:val="white"/>
        </w:rPr>
      </w:pPr>
      <w:r w:rsidRPr="002F1635">
        <w:rPr>
          <w:b/>
          <w:bCs/>
          <w:color w:val="333333"/>
          <w:highlight w:val="white"/>
        </w:rPr>
        <w:t>Intense competition</w:t>
      </w:r>
    </w:p>
    <w:p w14:paraId="5FC64812" w14:textId="3193959E" w:rsidR="008669F9" w:rsidRDefault="00000000" w:rsidP="002F1635">
      <w:pPr>
        <w:spacing w:line="360" w:lineRule="auto"/>
        <w:jc w:val="both"/>
        <w:rPr>
          <w:bCs/>
        </w:rPr>
      </w:pPr>
      <w:r>
        <w:rPr>
          <w:bCs/>
        </w:rPr>
        <w:t>Though consumer loan and SME loan markets both have large growth potential, fierce competition exists between major players to acquire high-quality consumers, for example JD which has advantage in big brand name and self-owned application scenarios that helps to reach a wider range of consumers.</w:t>
      </w:r>
    </w:p>
    <w:p w14:paraId="05DF94FC" w14:textId="554FF308" w:rsidR="004D4F2A" w:rsidRPr="007A12BA" w:rsidRDefault="004D4F2A" w:rsidP="002F1635">
      <w:pPr>
        <w:spacing w:line="360" w:lineRule="auto"/>
        <w:jc w:val="both"/>
        <w:rPr>
          <w:bCs/>
        </w:rPr>
      </w:pPr>
      <w:r w:rsidRPr="006F5D83">
        <w:rPr>
          <w:bCs/>
        </w:rPr>
        <w:t>Compared with traditional</w:t>
      </w:r>
      <w:r>
        <w:rPr>
          <w:bCs/>
        </w:rPr>
        <w:t xml:space="preserve"> </w:t>
      </w:r>
      <w:r w:rsidRPr="006F5D83">
        <w:rPr>
          <w:bCs/>
        </w:rPr>
        <w:t xml:space="preserve">banks, </w:t>
      </w:r>
      <w:r>
        <w:rPr>
          <w:bCs/>
        </w:rPr>
        <w:t xml:space="preserve">Online loans </w:t>
      </w:r>
      <w:r w:rsidRPr="006F5D83">
        <w:rPr>
          <w:bCs/>
        </w:rPr>
        <w:t>ha</w:t>
      </w:r>
      <w:r>
        <w:rPr>
          <w:bCs/>
        </w:rPr>
        <w:t>ve</w:t>
      </w:r>
      <w:r w:rsidRPr="006F5D83">
        <w:rPr>
          <w:bCs/>
        </w:rPr>
        <w:t xml:space="preserve"> a wider customer coverage. The asset disadvantage under the</w:t>
      </w:r>
      <w:r>
        <w:rPr>
          <w:bCs/>
        </w:rPr>
        <w:t xml:space="preserve"> </w:t>
      </w:r>
      <w:r w:rsidR="007A12BA" w:rsidRPr="007A12BA">
        <w:rPr>
          <w:bCs/>
        </w:rPr>
        <w:t xml:space="preserve">capital-intensive </w:t>
      </w:r>
      <w:r w:rsidRPr="006F5D83">
        <w:rPr>
          <w:bCs/>
        </w:rPr>
        <w:t xml:space="preserve">model is </w:t>
      </w:r>
      <w:r>
        <w:rPr>
          <w:bCs/>
        </w:rPr>
        <w:t xml:space="preserve">gradually </w:t>
      </w:r>
      <w:r w:rsidRPr="006F5D83">
        <w:rPr>
          <w:bCs/>
        </w:rPr>
        <w:t>weakened</w:t>
      </w:r>
      <w:r>
        <w:rPr>
          <w:bCs/>
        </w:rPr>
        <w:t xml:space="preserve"> through the transformation</w:t>
      </w:r>
      <w:r w:rsidRPr="006F5D83">
        <w:rPr>
          <w:bCs/>
        </w:rPr>
        <w:t xml:space="preserve">, </w:t>
      </w:r>
      <w:r>
        <w:rPr>
          <w:bCs/>
        </w:rPr>
        <w:t>while</w:t>
      </w:r>
      <w:r w:rsidRPr="006F5D83">
        <w:rPr>
          <w:bCs/>
        </w:rPr>
        <w:t xml:space="preserve"> the comprehensive rate is also declining</w:t>
      </w:r>
      <w:r>
        <w:rPr>
          <w:bCs/>
        </w:rPr>
        <w:t>, resulting in a large growth potential</w:t>
      </w:r>
      <w:r w:rsidRPr="006F5D83">
        <w:rPr>
          <w:bCs/>
        </w:rPr>
        <w:t xml:space="preserve">. There are many players in the industry, and 25% of the market share of Internet </w:t>
      </w:r>
      <w:r w:rsidRPr="006F5D83">
        <w:rPr>
          <w:bCs/>
        </w:rPr>
        <w:lastRenderedPageBreak/>
        <w:t xml:space="preserve">micro-credit is still occupied by Ant Financial. </w:t>
      </w:r>
      <w:r>
        <w:rPr>
          <w:bCs/>
        </w:rPr>
        <w:t xml:space="preserve">While 360 DigiTech accounted for only </w:t>
      </w:r>
      <w:r w:rsidRPr="006F5D83">
        <w:rPr>
          <w:bCs/>
        </w:rPr>
        <w:t xml:space="preserve">2.4% </w:t>
      </w:r>
      <w:r>
        <w:rPr>
          <w:bCs/>
        </w:rPr>
        <w:t xml:space="preserve">of Online Consumer loan sector </w:t>
      </w:r>
      <w:r w:rsidRPr="006F5D83">
        <w:rPr>
          <w:bCs/>
        </w:rPr>
        <w:t>in 2021.</w:t>
      </w:r>
    </w:p>
    <w:p w14:paraId="2999CA5C" w14:textId="772B6427" w:rsidR="001261D4" w:rsidRDefault="006F5D83" w:rsidP="002F1635">
      <w:pPr>
        <w:spacing w:line="360" w:lineRule="auto"/>
        <w:jc w:val="both"/>
        <w:rPr>
          <w:bCs/>
        </w:rPr>
      </w:pPr>
      <w:r w:rsidRPr="006F5D83">
        <w:rPr>
          <w:bCs/>
        </w:rPr>
        <w:t xml:space="preserve">Under the traditional </w:t>
      </w:r>
      <w:r>
        <w:rPr>
          <w:bCs/>
        </w:rPr>
        <w:t>J</w:t>
      </w:r>
      <w:r w:rsidRPr="006F5D83">
        <w:rPr>
          <w:bCs/>
        </w:rPr>
        <w:t>oint lending</w:t>
      </w:r>
      <w:r w:rsidR="004D4F2A">
        <w:rPr>
          <w:bCs/>
        </w:rPr>
        <w:t xml:space="preserve"> and </w:t>
      </w:r>
      <w:r w:rsidRPr="006F5D83">
        <w:rPr>
          <w:bCs/>
        </w:rPr>
        <w:t xml:space="preserve">ABS mode, relying on the consumption scenarios provided by the parent company Alibaba </w:t>
      </w:r>
      <w:r>
        <w:rPr>
          <w:bCs/>
        </w:rPr>
        <w:t>compounded onto</w:t>
      </w:r>
      <w:r w:rsidRPr="006F5D83">
        <w:rPr>
          <w:bCs/>
        </w:rPr>
        <w:t xml:space="preserve"> the </w:t>
      </w:r>
      <w:r>
        <w:rPr>
          <w:bCs/>
        </w:rPr>
        <w:t>traffic</w:t>
      </w:r>
      <w:r w:rsidRPr="006F5D83">
        <w:rPr>
          <w:bCs/>
        </w:rPr>
        <w:t xml:space="preserve"> dividends</w:t>
      </w:r>
      <w:r>
        <w:rPr>
          <w:bCs/>
        </w:rPr>
        <w:t xml:space="preserve"> from</w:t>
      </w:r>
      <w:r w:rsidRPr="006F5D83">
        <w:rPr>
          <w:bCs/>
        </w:rPr>
        <w:t xml:space="preserve"> Alipay as a mobile payment portal, Ant Financial has a great advantage. The joint lending market has formed an oligopoly, with CR3 exceeding 90%. JD Digital and Baidu Finance only share 10% of the market share, </w:t>
      </w:r>
      <w:r w:rsidR="000D557E">
        <w:rPr>
          <w:bCs/>
        </w:rPr>
        <w:t>while</w:t>
      </w:r>
      <w:r w:rsidRPr="006F5D83">
        <w:rPr>
          <w:bCs/>
        </w:rPr>
        <w:t xml:space="preserve"> 360 Digital lacks competitive advantage. However, under the transformation to the </w:t>
      </w:r>
      <w:r w:rsidR="000D557E">
        <w:rPr>
          <w:bCs/>
        </w:rPr>
        <w:t>Lig</w:t>
      </w:r>
      <w:r w:rsidRPr="006F5D83">
        <w:rPr>
          <w:bCs/>
        </w:rPr>
        <w:t>ht</w:t>
      </w:r>
      <w:r w:rsidR="000D557E">
        <w:rPr>
          <w:bCs/>
        </w:rPr>
        <w:t>-Asset</w:t>
      </w:r>
      <w:r w:rsidRPr="006F5D83">
        <w:rPr>
          <w:bCs/>
        </w:rPr>
        <w:t xml:space="preserve"> </w:t>
      </w:r>
      <w:r w:rsidR="000D557E">
        <w:rPr>
          <w:bCs/>
        </w:rPr>
        <w:t>L</w:t>
      </w:r>
      <w:r w:rsidRPr="006F5D83">
        <w:rPr>
          <w:bCs/>
        </w:rPr>
        <w:t>oan</w:t>
      </w:r>
      <w:r w:rsidR="000D557E">
        <w:rPr>
          <w:bCs/>
        </w:rPr>
        <w:t>-A</w:t>
      </w:r>
      <w:r w:rsidRPr="006F5D83">
        <w:rPr>
          <w:bCs/>
        </w:rPr>
        <w:t>id model,</w:t>
      </w:r>
      <w:r w:rsidR="00C26171">
        <w:rPr>
          <w:bCs/>
        </w:rPr>
        <w:t xml:space="preserve"> </w:t>
      </w:r>
      <w:r w:rsidR="004D4F2A">
        <w:rPr>
          <w:bCs/>
        </w:rPr>
        <w:t>with the</w:t>
      </w:r>
      <w:r w:rsidR="004D4F2A" w:rsidRPr="006F5D83">
        <w:rPr>
          <w:bCs/>
        </w:rPr>
        <w:t xml:space="preserve"> marke</w:t>
      </w:r>
      <w:r w:rsidR="004D4F2A">
        <w:rPr>
          <w:bCs/>
        </w:rPr>
        <w:t>ts</w:t>
      </w:r>
      <w:r w:rsidR="004D4F2A" w:rsidRPr="006F5D83">
        <w:rPr>
          <w:bCs/>
        </w:rPr>
        <w:t xml:space="preserve"> of 2B </w:t>
      </w:r>
      <w:r w:rsidR="004D4F2A">
        <w:rPr>
          <w:bCs/>
        </w:rPr>
        <w:t xml:space="preserve">SME loan </w:t>
      </w:r>
      <w:r w:rsidR="004D4F2A" w:rsidRPr="006F5D83">
        <w:rPr>
          <w:bCs/>
        </w:rPr>
        <w:t xml:space="preserve">and 2C </w:t>
      </w:r>
      <w:r w:rsidR="004D4F2A">
        <w:rPr>
          <w:bCs/>
        </w:rPr>
        <w:t>C</w:t>
      </w:r>
      <w:r w:rsidR="004D4F2A" w:rsidRPr="006F5D83">
        <w:rPr>
          <w:bCs/>
        </w:rPr>
        <w:t>onsumer loans is growing rapidly</w:t>
      </w:r>
      <w:r w:rsidR="004D4F2A">
        <w:rPr>
          <w:bCs/>
        </w:rPr>
        <w:t xml:space="preserve"> at CAGR 2</w:t>
      </w:r>
      <w:r w:rsidR="004D4F2A" w:rsidRPr="006F5D83">
        <w:rPr>
          <w:bCs/>
        </w:rPr>
        <w:t>0.8% and 20.4% respectively</w:t>
      </w:r>
      <w:r w:rsidR="004D4F2A">
        <w:rPr>
          <w:bCs/>
        </w:rPr>
        <w:t xml:space="preserve">, </w:t>
      </w:r>
      <w:r w:rsidRPr="006F5D83">
        <w:rPr>
          <w:bCs/>
        </w:rPr>
        <w:t>36</w:t>
      </w:r>
      <w:r w:rsidR="000D557E">
        <w:rPr>
          <w:bCs/>
        </w:rPr>
        <w:t>0DigiTech with</w:t>
      </w:r>
      <w:r w:rsidRPr="006F5D83">
        <w:rPr>
          <w:bCs/>
        </w:rPr>
        <w:t xml:space="preserve"> the advantages of algorithm and risk</w:t>
      </w:r>
      <w:r w:rsidR="000D557E">
        <w:rPr>
          <w:bCs/>
        </w:rPr>
        <w:t>-</w:t>
      </w:r>
      <w:r w:rsidRPr="006F5D83">
        <w:rPr>
          <w:bCs/>
        </w:rPr>
        <w:t xml:space="preserve"> control</w:t>
      </w:r>
      <w:r w:rsidR="000D557E">
        <w:rPr>
          <w:bCs/>
        </w:rPr>
        <w:t xml:space="preserve"> gains an upper hand</w:t>
      </w:r>
      <w:r w:rsidRPr="006F5D83">
        <w:rPr>
          <w:bCs/>
        </w:rPr>
        <w:t xml:space="preserve">. </w:t>
      </w:r>
    </w:p>
    <w:p w14:paraId="54C7CC0E" w14:textId="56AEF906" w:rsidR="008669F9" w:rsidRPr="002F1635" w:rsidRDefault="002F1635" w:rsidP="002F1635">
      <w:pPr>
        <w:pStyle w:val="Heading3"/>
        <w:spacing w:line="360" w:lineRule="auto"/>
        <w:rPr>
          <w:rFonts w:ascii="Times New Roman" w:hAnsi="Times New Roman" w:cs="Times New Roman"/>
          <w:bCs/>
        </w:rPr>
      </w:pPr>
      <w:bookmarkStart w:id="21" w:name="_Toc128217503"/>
      <w:r>
        <w:rPr>
          <w:rFonts w:ascii="Times New Roman" w:hAnsi="Times New Roman" w:cs="Times New Roman"/>
          <w:bCs/>
        </w:rPr>
        <w:t>4</w:t>
      </w:r>
      <w:r w:rsidR="00000000" w:rsidRPr="002F1635">
        <w:rPr>
          <w:rFonts w:ascii="Times New Roman" w:hAnsi="Times New Roman" w:cs="Times New Roman"/>
          <w:bCs/>
        </w:rPr>
        <w:t>.2.2 Market risks</w:t>
      </w:r>
      <w:bookmarkEnd w:id="21"/>
    </w:p>
    <w:p w14:paraId="0FEC160C" w14:textId="77777777" w:rsidR="008669F9" w:rsidRPr="002F1635" w:rsidRDefault="00000000" w:rsidP="002F1635">
      <w:pPr>
        <w:spacing w:line="360" w:lineRule="auto"/>
        <w:rPr>
          <w:b/>
          <w:bCs/>
          <w:color w:val="333333"/>
          <w:highlight w:val="white"/>
        </w:rPr>
      </w:pPr>
      <w:r w:rsidRPr="002F1635">
        <w:rPr>
          <w:b/>
          <w:bCs/>
          <w:color w:val="333333"/>
          <w:highlight w:val="white"/>
        </w:rPr>
        <w:t>Macroeconomic uncertainty</w:t>
      </w:r>
    </w:p>
    <w:p w14:paraId="6F167F7B" w14:textId="45D1C5AC" w:rsidR="008669F9" w:rsidRDefault="00000000" w:rsidP="002F1635">
      <w:pPr>
        <w:spacing w:line="360" w:lineRule="auto"/>
        <w:jc w:val="both"/>
        <w:rPr>
          <w:bCs/>
        </w:rPr>
      </w:pPr>
      <w:r>
        <w:rPr>
          <w:bCs/>
        </w:rPr>
        <w:t xml:space="preserve">As a company whose operation mainly focuses </w:t>
      </w:r>
      <w:r w:rsidR="00313334">
        <w:rPr>
          <w:bCs/>
        </w:rPr>
        <w:t>on</w:t>
      </w:r>
      <w:r>
        <w:rPr>
          <w:bCs/>
        </w:rPr>
        <w:t xml:space="preserve"> China, uncertainty of future inflation as well as exchange rate between RMB and US Dollars may affect the consumption behaviors as well as the value of ADS investments.</w:t>
      </w:r>
    </w:p>
    <w:p w14:paraId="4D258992" w14:textId="77777777" w:rsidR="008669F9" w:rsidRPr="002F1635" w:rsidRDefault="00000000" w:rsidP="002F1635">
      <w:pPr>
        <w:spacing w:line="360" w:lineRule="auto"/>
        <w:rPr>
          <w:b/>
          <w:bCs/>
          <w:color w:val="333333"/>
          <w:highlight w:val="white"/>
        </w:rPr>
      </w:pPr>
      <w:r w:rsidRPr="002F1635">
        <w:rPr>
          <w:b/>
          <w:bCs/>
          <w:color w:val="333333"/>
          <w:highlight w:val="white"/>
        </w:rPr>
        <w:t>Tightening regulation on Internet finance industry</w:t>
      </w:r>
    </w:p>
    <w:p w14:paraId="341B717E" w14:textId="589D32A0" w:rsidR="008669F9" w:rsidRDefault="00000000" w:rsidP="002F1635">
      <w:pPr>
        <w:spacing w:line="360" w:lineRule="auto"/>
        <w:jc w:val="both"/>
        <w:rPr>
          <w:bCs/>
        </w:rPr>
      </w:pPr>
      <w:r>
        <w:rPr>
          <w:bCs/>
        </w:rPr>
        <w:t xml:space="preserve">A series of regulations are enforced to regulate the Fintech industry, including eliminating P2P lending, requiring reforms for those Internet finance companies over-involved in </w:t>
      </w:r>
      <w:r w:rsidR="007A12BA">
        <w:rPr>
          <w:bCs/>
        </w:rPr>
        <w:t>financial</w:t>
      </w:r>
      <w:r>
        <w:rPr>
          <w:bCs/>
        </w:rPr>
        <w:t xml:space="preserve"> sector etc. Many including 360 DigiTech have been appointed by related authorities and 360Jie has been shortly suspended due to illegal collection and misuse of personal information.</w:t>
      </w:r>
    </w:p>
    <w:p w14:paraId="1BDDC53E" w14:textId="77777777" w:rsidR="008669F9" w:rsidRDefault="00000000" w:rsidP="002F1635">
      <w:pPr>
        <w:spacing w:line="360" w:lineRule="auto"/>
        <w:jc w:val="both"/>
        <w:rPr>
          <w:bCs/>
        </w:rPr>
      </w:pPr>
      <w:r>
        <w:rPr>
          <w:bCs/>
        </w:rPr>
        <w:t>These tightened measures stimulated Fintech companies to shift focus on the technology side and march towards light-model operation, however, there are still concerns about safety issues of online loans, especially after earlier scandals.</w:t>
      </w:r>
    </w:p>
    <w:p w14:paraId="25E4A687" w14:textId="56BD4508" w:rsidR="008669F9" w:rsidRPr="002F1635" w:rsidRDefault="002F1635" w:rsidP="002F1635">
      <w:pPr>
        <w:pStyle w:val="Heading3"/>
        <w:spacing w:line="360" w:lineRule="auto"/>
        <w:rPr>
          <w:rFonts w:ascii="Times New Roman" w:hAnsi="Times New Roman" w:cs="Times New Roman"/>
          <w:bCs/>
        </w:rPr>
      </w:pPr>
      <w:bookmarkStart w:id="22" w:name="_Toc128217504"/>
      <w:r>
        <w:rPr>
          <w:rFonts w:ascii="Times New Roman" w:hAnsi="Times New Roman" w:cs="Times New Roman"/>
          <w:bCs/>
        </w:rPr>
        <w:t>4</w:t>
      </w:r>
      <w:r w:rsidR="00000000" w:rsidRPr="002F1635">
        <w:rPr>
          <w:rFonts w:ascii="Times New Roman" w:hAnsi="Times New Roman" w:cs="Times New Roman"/>
          <w:bCs/>
        </w:rPr>
        <w:t>.2.3 Risks from the stock market</w:t>
      </w:r>
      <w:bookmarkEnd w:id="22"/>
    </w:p>
    <w:p w14:paraId="4FD55C10" w14:textId="77777777" w:rsidR="008669F9" w:rsidRPr="002F1635" w:rsidRDefault="00000000" w:rsidP="002F1635">
      <w:pPr>
        <w:spacing w:line="360" w:lineRule="auto"/>
        <w:rPr>
          <w:b/>
          <w:bCs/>
          <w:color w:val="333333"/>
          <w:highlight w:val="white"/>
        </w:rPr>
      </w:pPr>
      <w:r w:rsidRPr="002F1635">
        <w:rPr>
          <w:b/>
          <w:bCs/>
          <w:color w:val="333333"/>
          <w:highlight w:val="white"/>
        </w:rPr>
        <w:t>Uncertainty about future suppression on Chinese stocks in U.S. stock market</w:t>
      </w:r>
    </w:p>
    <w:p w14:paraId="4739B58B" w14:textId="77777777" w:rsidR="008669F9" w:rsidRDefault="00000000" w:rsidP="002F1635">
      <w:pPr>
        <w:spacing w:line="360" w:lineRule="auto"/>
        <w:jc w:val="both"/>
        <w:rPr>
          <w:bCs/>
        </w:rPr>
      </w:pPr>
      <w:r>
        <w:rPr>
          <w:bCs/>
        </w:rPr>
        <w:t>The decision of 360 DigiTech’s secondary listing In HKSE was during the mass delisting of Chinese stocks, with the surface reason being the disagreement between revision on working papers of Chinese companies listed in U.S. stock exchange, and 360 DigiTech is one of them. This, combined with the US-China trade war, has caused significant stock price plummets for Chinese stocks.</w:t>
      </w:r>
    </w:p>
    <w:p w14:paraId="0BF66646" w14:textId="77777777" w:rsidR="008669F9" w:rsidRDefault="00000000" w:rsidP="002F1635">
      <w:pPr>
        <w:spacing w:line="360" w:lineRule="auto"/>
        <w:jc w:val="both"/>
        <w:rPr>
          <w:bCs/>
        </w:rPr>
      </w:pPr>
      <w:r>
        <w:rPr>
          <w:bCs/>
        </w:rPr>
        <w:lastRenderedPageBreak/>
        <w:t>Though the delisting wave was temporarily resolved with the settlement of audit supervision measures, future conflict of interest between the two countries may still result in imposed suppression on Chinese stocks and causing price turbulence.</w:t>
      </w:r>
    </w:p>
    <w:p w14:paraId="06BE3791" w14:textId="77777777" w:rsidR="008669F9" w:rsidRPr="002F1635" w:rsidRDefault="00000000" w:rsidP="002F1635">
      <w:pPr>
        <w:spacing w:line="360" w:lineRule="auto"/>
        <w:rPr>
          <w:b/>
          <w:bCs/>
          <w:color w:val="333333"/>
          <w:highlight w:val="white"/>
        </w:rPr>
      </w:pPr>
      <w:r w:rsidRPr="002F1635">
        <w:rPr>
          <w:b/>
          <w:bCs/>
          <w:color w:val="333333"/>
          <w:highlight w:val="white"/>
        </w:rPr>
        <w:t>Undervalue of Fintech companies</w:t>
      </w:r>
    </w:p>
    <w:p w14:paraId="55C8AFBE" w14:textId="2B81D8BF" w:rsidR="008669F9" w:rsidRPr="007A12BA" w:rsidRDefault="00000000" w:rsidP="002F1635">
      <w:pPr>
        <w:spacing w:line="360" w:lineRule="auto"/>
        <w:jc w:val="both"/>
        <w:rPr>
          <w:bCs/>
        </w:rPr>
      </w:pPr>
      <w:r>
        <w:rPr>
          <w:bCs/>
        </w:rPr>
        <w:t xml:space="preserve">Fintech companies listed in the US have long been undervalued under a model closer assemblies traditional banks instead of technology firms, typically with a lower P/E ratio. Which was once as low as 2.2x and is now around 5.8x, </w:t>
      </w:r>
      <w:r w:rsidR="00313334">
        <w:rPr>
          <w:bCs/>
        </w:rPr>
        <w:t>because of</w:t>
      </w:r>
      <w:r>
        <w:rPr>
          <w:bCs/>
        </w:rPr>
        <w:t xml:space="preserve"> the regulation pressure and liquidation concerns, as well as the market fear of the potential suppression on US listed Chinese stocks.</w:t>
      </w:r>
    </w:p>
    <w:p w14:paraId="0F0B0243" w14:textId="37A35DFB" w:rsidR="008669F9" w:rsidRPr="002F1635" w:rsidRDefault="002F1635" w:rsidP="002F1635">
      <w:pPr>
        <w:pStyle w:val="Heading2"/>
        <w:spacing w:line="360" w:lineRule="auto"/>
        <w:jc w:val="both"/>
        <w:rPr>
          <w:rFonts w:ascii="Times New Roman" w:hAnsi="Times New Roman" w:cs="Times New Roman"/>
          <w:b w:val="0"/>
          <w:szCs w:val="24"/>
        </w:rPr>
      </w:pPr>
      <w:bookmarkStart w:id="23" w:name="_Toc128217505"/>
      <w:r>
        <w:rPr>
          <w:rFonts w:ascii="Times New Roman" w:hAnsi="Times New Roman" w:cs="Times New Roman"/>
          <w:b w:val="0"/>
          <w:szCs w:val="24"/>
        </w:rPr>
        <w:t>4</w:t>
      </w:r>
      <w:r w:rsidR="00000000" w:rsidRPr="002F1635">
        <w:rPr>
          <w:rFonts w:ascii="Times New Roman" w:hAnsi="Times New Roman" w:cs="Times New Roman"/>
          <w:b w:val="0"/>
          <w:szCs w:val="24"/>
        </w:rPr>
        <w:t>.3 The Opportunities of 360 Digitech for Secondary Listing</w:t>
      </w:r>
      <w:bookmarkEnd w:id="23"/>
    </w:p>
    <w:p w14:paraId="34628FF2" w14:textId="27F9F7DA" w:rsidR="008669F9" w:rsidRPr="002F1635" w:rsidRDefault="002F1635" w:rsidP="002F1635">
      <w:pPr>
        <w:pStyle w:val="Heading3"/>
        <w:spacing w:line="360" w:lineRule="auto"/>
        <w:rPr>
          <w:rFonts w:ascii="Times New Roman" w:hAnsi="Times New Roman" w:cs="Times New Roman"/>
          <w:bCs/>
        </w:rPr>
      </w:pPr>
      <w:bookmarkStart w:id="24" w:name="_Toc128217506"/>
      <w:r>
        <w:rPr>
          <w:rFonts w:ascii="Times New Roman" w:hAnsi="Times New Roman" w:cs="Times New Roman"/>
          <w:bCs/>
        </w:rPr>
        <w:t>4</w:t>
      </w:r>
      <w:r w:rsidR="00000000" w:rsidRPr="002F1635">
        <w:rPr>
          <w:rFonts w:ascii="Times New Roman" w:hAnsi="Times New Roman" w:cs="Times New Roman"/>
          <w:bCs/>
        </w:rPr>
        <w:t>.3.1 Operational Opportunities</w:t>
      </w:r>
      <w:bookmarkEnd w:id="24"/>
      <w:r w:rsidR="00000000" w:rsidRPr="002F1635">
        <w:rPr>
          <w:rFonts w:ascii="Times New Roman" w:hAnsi="Times New Roman" w:cs="Times New Roman"/>
          <w:bCs/>
        </w:rPr>
        <w:t xml:space="preserve"> </w:t>
      </w:r>
    </w:p>
    <w:p w14:paraId="4438F4F4" w14:textId="77777777" w:rsidR="008669F9" w:rsidRDefault="00000000" w:rsidP="002F1635">
      <w:pPr>
        <w:spacing w:line="360" w:lineRule="auto"/>
        <w:jc w:val="both"/>
        <w:rPr>
          <w:bCs/>
        </w:rPr>
      </w:pPr>
      <w:r>
        <w:rPr>
          <w:bCs/>
        </w:rPr>
        <w:t>Services provided by 360 Digitech can be classified into credit-driven services and platform services. Platform services also include comprehensive loan assistance and post-loan services under the light capital model, intelligent marketing services, referral services and risk management SaaS for financial institution partners under the Intelligent Credit Engine (ICE) model.</w:t>
      </w:r>
    </w:p>
    <w:p w14:paraId="581A1DC4" w14:textId="6931D22A" w:rsidR="008669F9" w:rsidRDefault="00000000" w:rsidP="002F1635">
      <w:pPr>
        <w:spacing w:line="360" w:lineRule="auto"/>
        <w:jc w:val="both"/>
        <w:rPr>
          <w:bCs/>
        </w:rPr>
      </w:pPr>
      <w:r>
        <w:rPr>
          <w:bCs/>
        </w:rPr>
        <w:t>From 2019 to 2021, the company's net income increased from 9.22 billion to 16.64 billion, with a CAGR of about 34.3%, mainly driven by the growth in the scale of platform-matched loans. The scale increased from 199.1 billion in 2019 to 357.1 billion in 2021</w:t>
      </w:r>
      <w:r w:rsidR="007A12BA">
        <w:rPr>
          <w:bCs/>
        </w:rPr>
        <w:t>.</w:t>
      </w:r>
      <w:r>
        <w:rPr>
          <w:bCs/>
        </w:rPr>
        <w:t xml:space="preserve"> The average compound growth rate is 33.9%. From 2019 to 2021, the company's net profit increased from 2.50 billion to 5.77 billion, with an average annual compound growth rate of 51.8%, the net profit margin increased from 27.1% to 34.6%, and the adjusted net profit increased from 2.75 billion to 6.02 billion, with an average annual compound growth rate 48.0%. From the perspective of the use of raised funds, the company will use 50% of the raised funds for research and development to enhance the company's technology and credit evaluation capabilities and develop more diversified technical solutions, and 40% will be used to further penetrate the credit technology industry and expand users Group, 10% for general corporate purposes and working capital needs.</w:t>
      </w:r>
    </w:p>
    <w:p w14:paraId="7CF4BBF8" w14:textId="0214A2A3" w:rsidR="008669F9" w:rsidRPr="002F1635" w:rsidRDefault="002F1635" w:rsidP="002F1635">
      <w:pPr>
        <w:pStyle w:val="Heading3"/>
        <w:spacing w:line="360" w:lineRule="auto"/>
        <w:rPr>
          <w:rFonts w:ascii="Times New Roman" w:hAnsi="Times New Roman" w:cs="Times New Roman"/>
          <w:bCs/>
        </w:rPr>
      </w:pPr>
      <w:bookmarkStart w:id="25" w:name="_Toc128217507"/>
      <w:r>
        <w:rPr>
          <w:rFonts w:ascii="Times New Roman" w:hAnsi="Times New Roman" w:cs="Times New Roman"/>
          <w:bCs/>
        </w:rPr>
        <w:t>4</w:t>
      </w:r>
      <w:r w:rsidR="00000000" w:rsidRPr="002F1635">
        <w:rPr>
          <w:rFonts w:ascii="Times New Roman" w:hAnsi="Times New Roman" w:cs="Times New Roman"/>
          <w:bCs/>
        </w:rPr>
        <w:t>.3.2 Market Opportunities</w:t>
      </w:r>
      <w:bookmarkEnd w:id="25"/>
    </w:p>
    <w:p w14:paraId="3E308571" w14:textId="5979836C" w:rsidR="008669F9" w:rsidRDefault="00000000" w:rsidP="002F1635">
      <w:pPr>
        <w:spacing w:line="360" w:lineRule="auto"/>
        <w:jc w:val="both"/>
        <w:rPr>
          <w:bCs/>
        </w:rPr>
      </w:pPr>
      <w:r>
        <w:rPr>
          <w:bCs/>
        </w:rPr>
        <w:t xml:space="preserve">360 Digital is one of the pioneers in the industry to launch a light capital model. Under the light capital model, the company empowers financial partners throughout the entire loan life cycle </w:t>
      </w:r>
      <w:r>
        <w:rPr>
          <w:bCs/>
        </w:rPr>
        <w:lastRenderedPageBreak/>
        <w:t xml:space="preserve">through technology. As of June 30, 2022, a total of 56 financial institutions have cooperated with the company in a capital-light model. Since under the light capital model, financial institutions need to bear credit risk by themselves, so financial institutions put forward higher requirements for the risk control ability and customer acquisition quality of credit technology platforms. </w:t>
      </w:r>
      <w:r w:rsidR="007A12BA">
        <w:rPr>
          <w:bCs/>
        </w:rPr>
        <w:t>To</w:t>
      </w:r>
      <w:r>
        <w:rPr>
          <w:bCs/>
        </w:rPr>
        <w:t xml:space="preserve"> meet the credit needs of small and micro enterprises, 360 Shuke launched 360 Small and Micro Loans under the brand of 360 IOU at the end of 2020. The product portfolio of 360 Small and Micro Loans includes three products, e-commerce loans, enterprise loans and invoice loans, to meet the credit needs of small and micro enterprises in different business environments and at different stages of business development.</w:t>
      </w:r>
    </w:p>
    <w:p w14:paraId="667C1D42" w14:textId="498B7745" w:rsidR="008669F9" w:rsidRPr="002F1635" w:rsidRDefault="002F1635" w:rsidP="002F1635">
      <w:pPr>
        <w:pStyle w:val="Heading3"/>
        <w:spacing w:line="360" w:lineRule="auto"/>
        <w:rPr>
          <w:rFonts w:ascii="Times New Roman" w:hAnsi="Times New Roman" w:cs="Times New Roman"/>
          <w:bCs/>
        </w:rPr>
      </w:pPr>
      <w:bookmarkStart w:id="26" w:name="_Toc128217508"/>
      <w:r>
        <w:rPr>
          <w:rFonts w:ascii="Times New Roman" w:hAnsi="Times New Roman" w:cs="Times New Roman"/>
          <w:bCs/>
        </w:rPr>
        <w:t>4</w:t>
      </w:r>
      <w:r w:rsidR="00000000" w:rsidRPr="002F1635">
        <w:rPr>
          <w:rFonts w:ascii="Times New Roman" w:hAnsi="Times New Roman" w:cs="Times New Roman"/>
          <w:bCs/>
        </w:rPr>
        <w:t>.3</w:t>
      </w:r>
      <w:r w:rsidR="00313334" w:rsidRPr="002F1635">
        <w:rPr>
          <w:rFonts w:ascii="Times New Roman" w:hAnsi="Times New Roman" w:cs="Times New Roman"/>
          <w:bCs/>
        </w:rPr>
        <w:t>.3</w:t>
      </w:r>
      <w:r w:rsidR="00000000" w:rsidRPr="002F1635">
        <w:rPr>
          <w:rFonts w:ascii="Times New Roman" w:hAnsi="Times New Roman" w:cs="Times New Roman"/>
          <w:bCs/>
        </w:rPr>
        <w:t xml:space="preserve"> Stock market wise</w:t>
      </w:r>
      <w:bookmarkEnd w:id="26"/>
    </w:p>
    <w:p w14:paraId="427B6BAE" w14:textId="77777777" w:rsidR="008669F9" w:rsidRDefault="00000000" w:rsidP="002F1635">
      <w:pPr>
        <w:spacing w:line="360" w:lineRule="auto"/>
        <w:jc w:val="both"/>
        <w:rPr>
          <w:bCs/>
        </w:rPr>
      </w:pPr>
      <w:r>
        <w:rPr>
          <w:bCs/>
        </w:rPr>
        <w:t>For Chinese stock companies listed in the United States, the process of returning to the Hong Kong capital market is relatively simpler than returning to A shares.</w:t>
      </w:r>
    </w:p>
    <w:p w14:paraId="13DED1F9" w14:textId="77777777" w:rsidR="008669F9" w:rsidRDefault="00000000" w:rsidP="002F1635">
      <w:pPr>
        <w:spacing w:line="360" w:lineRule="auto"/>
        <w:jc w:val="both"/>
        <w:rPr>
          <w:bCs/>
        </w:rPr>
      </w:pPr>
      <w:r>
        <w:rPr>
          <w:bCs/>
        </w:rPr>
        <w:t>Therefore, for red-chip stocks listed in the United States, if the place of incorporation of the listing entity is a jurisdiction accepted by the Stock Exchange and it chooses to apply for listing in Hong Kong, it does not need to make special adjustments to its shareholding structure (such as the red-chip structure).</w:t>
      </w:r>
    </w:p>
    <w:p w14:paraId="6629F62D" w14:textId="77777777" w:rsidR="008669F9" w:rsidRDefault="00000000" w:rsidP="002F1635">
      <w:pPr>
        <w:spacing w:line="360" w:lineRule="auto"/>
        <w:jc w:val="both"/>
        <w:rPr>
          <w:bCs/>
        </w:rPr>
      </w:pPr>
      <w:r>
        <w:rPr>
          <w:bCs/>
        </w:rPr>
        <w:t>Due to the high cost of privatization and delisting, and the re-listing after delisting will face certain uncertainties, in addition to choosing to apply for listing in Hong Kong after delisting in the United States, companies that are still allowed to list in the United States can also consider listing in the United States and Hong Kong. Dual listing in Hong Kong. If a company that has been listed overseas wants to be listed in Hong Kong at the same time, there are two options: primary listing in Hong Kong (that is, dual primary listing), or secondary listing in Hong Kong only.</w:t>
      </w:r>
    </w:p>
    <w:p w14:paraId="72D60971" w14:textId="5F7629C7" w:rsidR="008669F9" w:rsidRDefault="00000000" w:rsidP="002F1635">
      <w:pPr>
        <w:spacing w:line="360" w:lineRule="auto"/>
        <w:jc w:val="both"/>
        <w:rPr>
          <w:bCs/>
        </w:rPr>
      </w:pPr>
      <w:r>
        <w:rPr>
          <w:bCs/>
        </w:rPr>
        <w:t xml:space="preserve">If the company only conducts secondary listing in Hong Kong, the Exchange expects that the company’s securities will mainly be traded on overseas exchanges and will be subject to the supervision of the regulatory authorities of the main listing place. The review standards, and there are </w:t>
      </w:r>
      <w:r w:rsidR="00313334">
        <w:rPr>
          <w:bCs/>
        </w:rPr>
        <w:t>several</w:t>
      </w:r>
      <w:r>
        <w:rPr>
          <w:bCs/>
        </w:rPr>
        <w:t xml:space="preserve"> exemptions and preferential treatment policies. Therefore, the operability of the secondary listing is strong.</w:t>
      </w:r>
    </w:p>
    <w:p w14:paraId="18351FE0" w14:textId="77777777" w:rsidR="008669F9" w:rsidRDefault="00000000" w:rsidP="002F1635">
      <w:pPr>
        <w:spacing w:line="360" w:lineRule="auto"/>
        <w:jc w:val="both"/>
        <w:rPr>
          <w:bCs/>
        </w:rPr>
      </w:pPr>
      <w:r>
        <w:rPr>
          <w:bCs/>
        </w:rPr>
        <w:t xml:space="preserve">If the applicant for listing is a "qualifying issuer" (that is, an applicant listing on a "qualifying exchange", "qualifying exchange" includes the New York Stock Exchange, NASDAQ stock market or The London Stock Exchange's main market (and falls within the FCA's 'Advanced </w:t>
      </w:r>
      <w:r>
        <w:rPr>
          <w:bCs/>
        </w:rPr>
        <w:lastRenderedPageBreak/>
        <w:t>Listing' classification)) and is an 'innovative industry company' which would normally be considered suitable for a secondary listing under Chapter 19C.</w:t>
      </w:r>
    </w:p>
    <w:sectPr w:rsidR="008669F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A438B" w14:textId="77777777" w:rsidR="00C356D7" w:rsidRDefault="00C356D7">
      <w:r>
        <w:separator/>
      </w:r>
    </w:p>
  </w:endnote>
  <w:endnote w:type="continuationSeparator" w:id="0">
    <w:p w14:paraId="3B1D0777" w14:textId="77777777" w:rsidR="00C356D7" w:rsidRDefault="00C3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PingFang TC">
    <w:altName w:val="Microsoft JhengHei"/>
    <w:charset w:val="88"/>
    <w:family w:val="swiss"/>
    <w:pitch w:val="variable"/>
    <w:sig w:usb0="A00002FF" w:usb1="7ACFFDFB" w:usb2="00000017" w:usb3="00000000" w:csb0="00100001" w:csb1="00000000"/>
  </w:font>
  <w:font w:name="Arial">
    <w:panose1 w:val="020B0604020202020204"/>
    <w:charset w:val="00"/>
    <w:family w:val="swiss"/>
    <w:pitch w:val="variable"/>
    <w:sig w:usb0="E0002EFF" w:usb1="C000785B" w:usb2="00000009" w:usb3="00000000" w:csb0="000001FF" w:csb1="00000000"/>
  </w:font>
  <w:font w:name="Adobe Devanagari">
    <w:altName w:val="Segoe Print"/>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57B7" w14:textId="77777777" w:rsidR="002F1635" w:rsidRDefault="002F1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sdtPr>
    <w:sdtContent>
      <w:p w14:paraId="47AB6D20" w14:textId="77777777" w:rsidR="008669F9" w:rsidRDefault="00000000">
        <w:pPr>
          <w:pStyle w:val="Footer"/>
          <w:jc w:val="right"/>
        </w:pPr>
        <w:r w:rsidRPr="002F1635">
          <w:rPr>
            <w:rFonts w:ascii="Times New Roman" w:hAnsi="Times New Roman" w:cs="Times New Roman"/>
            <w:b/>
            <w:bCs/>
            <w:noProof/>
            <w:color w:val="A8D08D" w:themeColor="accent6" w:themeTint="99"/>
            <w:sz w:val="36"/>
            <w:szCs w:val="32"/>
          </w:rPr>
          <mc:AlternateContent>
            <mc:Choice Requires="wps">
              <w:drawing>
                <wp:anchor distT="0" distB="0" distL="114300" distR="114300" simplePos="0" relativeHeight="251658752" behindDoc="0" locked="0" layoutInCell="1" allowOverlap="1" wp14:anchorId="77FEC5A1" wp14:editId="03F0A28F">
                  <wp:simplePos x="0" y="0"/>
                  <wp:positionH relativeFrom="page">
                    <wp:posOffset>-76200</wp:posOffset>
                  </wp:positionH>
                  <wp:positionV relativeFrom="paragraph">
                    <wp:posOffset>191135</wp:posOffset>
                  </wp:positionV>
                  <wp:extent cx="2095500" cy="660400"/>
                  <wp:effectExtent l="0" t="0" r="0" b="6350"/>
                  <wp:wrapNone/>
                  <wp:docPr id="10" name="Rectangle 10"/>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0" o:spid="_x0000_s1026" o:spt="1" style="position:absolute;left:0pt;margin-left:-6pt;margin-top:15.05pt;height:52pt;width:165pt;mso-position-horizontal-relative:page;z-index:251660288;v-text-anchor:middle;mso-width-relative:page;mso-height-relative:page;" fillcolor="#385723 [1609]" filled="t" stroked="f" coordsize="21600,21600" o:gfxdata="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irG981wAAAAoBAAAPAAAAAAAAAAEAIAAAACIAAABkcnMvZG93bnJldi54&#10;bWxQSwECFAAUAAAACACHTuJA6A2m0m0CAADyBAAADgAAAAAAAAABACAAAAAmAQAAZHJzL2Uyb0Rv&#10;Yy54bWxQSwUGAAAAAAYABgBZAQAABQYAAAAA&#10;">
                  <v:fill on="t" focussize="0,0"/>
                  <v:stroke on="f" weight="1pt" miterlimit="8" joinstyle="miter"/>
                  <v:imagedata o:title=""/>
                  <o:lock v:ext="edit" aspectratio="f"/>
                </v:rect>
              </w:pict>
            </mc:Fallback>
          </mc:AlternateContent>
        </w:r>
        <w:r w:rsidRPr="002F1635">
          <w:rPr>
            <w:rFonts w:ascii="Times New Roman" w:hAnsi="Times New Roman" w:cs="Times New Roman"/>
          </w:rPr>
          <w:fldChar w:fldCharType="begin"/>
        </w:r>
        <w:r w:rsidRPr="002F1635">
          <w:rPr>
            <w:rFonts w:ascii="Times New Roman" w:hAnsi="Times New Roman" w:cs="Times New Roman"/>
          </w:rPr>
          <w:instrText xml:space="preserve"> PAGE   \* MERGEFORMAT </w:instrText>
        </w:r>
        <w:r w:rsidRPr="002F1635">
          <w:rPr>
            <w:rFonts w:ascii="Times New Roman" w:hAnsi="Times New Roman" w:cs="Times New Roman"/>
          </w:rPr>
          <w:fldChar w:fldCharType="separate"/>
        </w:r>
        <w:r w:rsidRPr="002F1635">
          <w:rPr>
            <w:rFonts w:ascii="Times New Roman" w:hAnsi="Times New Roman" w:cs="Times New Roman"/>
          </w:rPr>
          <w:t>2</w:t>
        </w:r>
        <w:r w:rsidRPr="002F1635">
          <w:rPr>
            <w:rFonts w:ascii="Times New Roman" w:hAnsi="Times New Roman" w:cs="Times New Roman"/>
          </w:rPr>
          <w:fldChar w:fldCharType="end"/>
        </w:r>
      </w:p>
    </w:sdtContent>
  </w:sdt>
  <w:p w14:paraId="16863D6B" w14:textId="77777777" w:rsidR="008669F9" w:rsidRDefault="008669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3D7B" w14:textId="77777777" w:rsidR="002F1635" w:rsidRDefault="002F1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D447" w14:textId="77777777" w:rsidR="00C356D7" w:rsidRDefault="00C356D7">
      <w:r>
        <w:separator/>
      </w:r>
    </w:p>
  </w:footnote>
  <w:footnote w:type="continuationSeparator" w:id="0">
    <w:p w14:paraId="2952FFDF" w14:textId="77777777" w:rsidR="00C356D7" w:rsidRDefault="00C35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90E20" w14:textId="77777777" w:rsidR="002F1635" w:rsidRDefault="002F1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ECA3" w14:textId="77777777" w:rsidR="008669F9" w:rsidRDefault="00000000">
    <w:pPr>
      <w:rPr>
        <w:rFonts w:ascii="Adobe Devanagari" w:hAnsi="Adobe Devanagari" w:cs="Adobe Devanagari"/>
        <w:b/>
        <w:bCs/>
        <w:color w:val="A8D08D" w:themeColor="accent6" w:themeTint="99"/>
        <w:sz w:val="36"/>
        <w:szCs w:val="32"/>
      </w:rP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6704" behindDoc="0" locked="0" layoutInCell="1" allowOverlap="1" wp14:anchorId="5686C68C" wp14:editId="0B7BDC07">
              <wp:simplePos x="0" y="0"/>
              <wp:positionH relativeFrom="page">
                <wp:posOffset>-76200</wp:posOffset>
              </wp:positionH>
              <wp:positionV relativeFrom="paragraph">
                <wp:posOffset>-486410</wp:posOffset>
              </wp:positionV>
              <wp:extent cx="2095500" cy="660400"/>
              <wp:effectExtent l="0" t="0" r="0" b="6350"/>
              <wp:wrapNone/>
              <wp:docPr id="8"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8" o:spid="_x0000_s1026" o:spt="1" style="position:absolute;left:0pt;margin-left:-6pt;margin-top:-38.3pt;height:52pt;width:165pt;mso-position-horizontal-relative:page;z-index:251659264;v-text-anchor:middle;mso-width-relative:page;mso-height-relative:page;" fillcolor="#385723 [1609]" filled="t" stroked="f" coordsize="21600,21600" o:gfxdata="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Q9Ci2QAAAAoBAAAPAAAAAAAAAAEAIAAAACIAAABkcnMvZG93bnJl&#10;di54bWxQSwECFAAUAAAACACHTuJABzLA6G4CAADwBAAADgAAAAAAAAABACAAAAAoAQAAZHJzL2Uy&#10;b0RvYy54bWxQSwUGAAAAAAYABgBZAQAACAYAAAAA&#10;">
              <v:fill on="t" focussize="0,0"/>
              <v:stroke on="f" weight="1pt" miterlimit="8" joinstyle="miter"/>
              <v:imagedata o:title=""/>
              <o:lock v:ext="edit" aspectratio="f"/>
            </v:rect>
          </w:pict>
        </mc:Fallback>
      </mc:AlternateContent>
    </w:r>
    <w:r>
      <w:rPr>
        <w:rFonts w:ascii="Adobe Devanagari" w:hAnsi="Adobe Devanagari" w:cs="Adobe Devanagari"/>
        <w:b/>
        <w:bCs/>
        <w:noProof/>
        <w:color w:val="A8D08D" w:themeColor="accent6" w:themeTint="99"/>
        <w:sz w:val="36"/>
        <w:szCs w:val="32"/>
      </w:rPr>
      <w:drawing>
        <wp:anchor distT="0" distB="0" distL="114300" distR="114300" simplePos="0" relativeHeight="251657728" behindDoc="0" locked="0" layoutInCell="1" allowOverlap="1" wp14:anchorId="29B4B2FD" wp14:editId="14436177">
          <wp:simplePos x="0" y="0"/>
          <wp:positionH relativeFrom="column">
            <wp:posOffset>3652520</wp:posOffset>
          </wp:positionH>
          <wp:positionV relativeFrom="paragraph">
            <wp:posOffset>-290195</wp:posOffset>
          </wp:positionV>
          <wp:extent cx="2850515" cy="56896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505909CC" w14:textId="77777777" w:rsidR="008669F9" w:rsidRDefault="008669F9">
    <w:pPr>
      <w:rPr>
        <w:rFonts w:ascii="Adobe Devanagari" w:hAnsi="Adobe Devanagari" w:cs="Adobe Devanagari"/>
        <w:b/>
        <w:bCs/>
        <w:color w:val="A8D08D" w:themeColor="accent6" w:themeTint="99"/>
        <w:sz w:val="36"/>
        <w:szCs w:val="32"/>
      </w:rPr>
    </w:pPr>
  </w:p>
  <w:p w14:paraId="02D9B61F" w14:textId="77777777" w:rsidR="008669F9" w:rsidRDefault="008669F9">
    <w:pPr>
      <w:rPr>
        <w:rFonts w:ascii="Adobe Devanagari" w:hAnsi="Adobe Devanagari" w:cs="Adobe Devanagari"/>
        <w:b/>
        <w:bCs/>
        <w:color w:val="A8D08D" w:themeColor="accent6" w:themeTint="99"/>
        <w:sz w:val="36"/>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7A16" w14:textId="77777777" w:rsidR="002F1635" w:rsidRDefault="002F16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3NDQ3NzKzNDM3NLJQ0lEKTi0uzszPAykwtKwFACLWzs8tAAAA"/>
    <w:docVar w:name="commondata" w:val="eyJoZGlkIjoiZjNlY2M5ZjdmNTAzNjg4NmY3YThhMTVhNTc3YzNmOGUifQ=="/>
    <w:docVar w:name="KSO_WPS_MARK_KEY" w:val="cba3004a-2f82-40a9-8653-615021d31ed7"/>
  </w:docVars>
  <w:rsids>
    <w:rsidRoot w:val="00C17C0B"/>
    <w:rsid w:val="00005CB1"/>
    <w:rsid w:val="0000633E"/>
    <w:rsid w:val="00013D1D"/>
    <w:rsid w:val="00013DF6"/>
    <w:rsid w:val="000140A9"/>
    <w:rsid w:val="00017F27"/>
    <w:rsid w:val="000211E8"/>
    <w:rsid w:val="00030EAC"/>
    <w:rsid w:val="0003635E"/>
    <w:rsid w:val="00056786"/>
    <w:rsid w:val="00057FA7"/>
    <w:rsid w:val="00066322"/>
    <w:rsid w:val="00072466"/>
    <w:rsid w:val="000740A7"/>
    <w:rsid w:val="000754E6"/>
    <w:rsid w:val="00075FEF"/>
    <w:rsid w:val="000845CF"/>
    <w:rsid w:val="00090D6A"/>
    <w:rsid w:val="00096FA0"/>
    <w:rsid w:val="000A2B74"/>
    <w:rsid w:val="000A2C2B"/>
    <w:rsid w:val="000A34AF"/>
    <w:rsid w:val="000A724C"/>
    <w:rsid w:val="000A7413"/>
    <w:rsid w:val="000B1FA4"/>
    <w:rsid w:val="000B3CEF"/>
    <w:rsid w:val="000B6A35"/>
    <w:rsid w:val="000B79D4"/>
    <w:rsid w:val="000C2E42"/>
    <w:rsid w:val="000C3FE9"/>
    <w:rsid w:val="000C615F"/>
    <w:rsid w:val="000C72F5"/>
    <w:rsid w:val="000D1839"/>
    <w:rsid w:val="000D25B4"/>
    <w:rsid w:val="000D557E"/>
    <w:rsid w:val="000D5BA7"/>
    <w:rsid w:val="000E08D0"/>
    <w:rsid w:val="000E0B02"/>
    <w:rsid w:val="000F19E8"/>
    <w:rsid w:val="000F29FF"/>
    <w:rsid w:val="000F33AC"/>
    <w:rsid w:val="000F5C1C"/>
    <w:rsid w:val="00107389"/>
    <w:rsid w:val="001210D6"/>
    <w:rsid w:val="00122021"/>
    <w:rsid w:val="001227C8"/>
    <w:rsid w:val="001261D4"/>
    <w:rsid w:val="001306C3"/>
    <w:rsid w:val="00135B1D"/>
    <w:rsid w:val="001508C2"/>
    <w:rsid w:val="0015217E"/>
    <w:rsid w:val="001634E2"/>
    <w:rsid w:val="001679B4"/>
    <w:rsid w:val="00172A04"/>
    <w:rsid w:val="00173259"/>
    <w:rsid w:val="00177BD0"/>
    <w:rsid w:val="001837B0"/>
    <w:rsid w:val="0018669E"/>
    <w:rsid w:val="001915CA"/>
    <w:rsid w:val="001A2704"/>
    <w:rsid w:val="001A5311"/>
    <w:rsid w:val="001A5619"/>
    <w:rsid w:val="001A74D7"/>
    <w:rsid w:val="001B0A49"/>
    <w:rsid w:val="001B1D37"/>
    <w:rsid w:val="001B1DAC"/>
    <w:rsid w:val="001B55DF"/>
    <w:rsid w:val="001B7DE4"/>
    <w:rsid w:val="001C2800"/>
    <w:rsid w:val="001D1E51"/>
    <w:rsid w:val="001E007A"/>
    <w:rsid w:val="001E08A2"/>
    <w:rsid w:val="001E24D1"/>
    <w:rsid w:val="001E5EB5"/>
    <w:rsid w:val="002005DB"/>
    <w:rsid w:val="00201213"/>
    <w:rsid w:val="00207D5E"/>
    <w:rsid w:val="00207EA2"/>
    <w:rsid w:val="0021036F"/>
    <w:rsid w:val="00211C18"/>
    <w:rsid w:val="002135A4"/>
    <w:rsid w:val="00214BA5"/>
    <w:rsid w:val="002204E3"/>
    <w:rsid w:val="00222CEC"/>
    <w:rsid w:val="0022411D"/>
    <w:rsid w:val="00225529"/>
    <w:rsid w:val="002270FE"/>
    <w:rsid w:val="00230D2C"/>
    <w:rsid w:val="00246DBD"/>
    <w:rsid w:val="002475F5"/>
    <w:rsid w:val="00251ECD"/>
    <w:rsid w:val="0025251A"/>
    <w:rsid w:val="002545E1"/>
    <w:rsid w:val="00264C51"/>
    <w:rsid w:val="00266C2F"/>
    <w:rsid w:val="00277420"/>
    <w:rsid w:val="00283276"/>
    <w:rsid w:val="002872FA"/>
    <w:rsid w:val="002944F2"/>
    <w:rsid w:val="0029506C"/>
    <w:rsid w:val="00295E66"/>
    <w:rsid w:val="002A0790"/>
    <w:rsid w:val="002A2718"/>
    <w:rsid w:val="002A3908"/>
    <w:rsid w:val="002C038A"/>
    <w:rsid w:val="002C12E0"/>
    <w:rsid w:val="002C3CBE"/>
    <w:rsid w:val="002C3DD6"/>
    <w:rsid w:val="002C5C8C"/>
    <w:rsid w:val="002D056B"/>
    <w:rsid w:val="002D26F9"/>
    <w:rsid w:val="002D4D42"/>
    <w:rsid w:val="002D7B92"/>
    <w:rsid w:val="002D7E9C"/>
    <w:rsid w:val="002F0C0A"/>
    <w:rsid w:val="002F1635"/>
    <w:rsid w:val="002F3F05"/>
    <w:rsid w:val="00305606"/>
    <w:rsid w:val="00306D54"/>
    <w:rsid w:val="00313334"/>
    <w:rsid w:val="0031505E"/>
    <w:rsid w:val="00315897"/>
    <w:rsid w:val="00315D77"/>
    <w:rsid w:val="00320C81"/>
    <w:rsid w:val="00322580"/>
    <w:rsid w:val="00330C20"/>
    <w:rsid w:val="00331CA3"/>
    <w:rsid w:val="00332136"/>
    <w:rsid w:val="00335C7F"/>
    <w:rsid w:val="00340F69"/>
    <w:rsid w:val="00341424"/>
    <w:rsid w:val="00341BA4"/>
    <w:rsid w:val="003420A6"/>
    <w:rsid w:val="00345AA2"/>
    <w:rsid w:val="00361D41"/>
    <w:rsid w:val="003648E9"/>
    <w:rsid w:val="00366C3C"/>
    <w:rsid w:val="0036704C"/>
    <w:rsid w:val="003731D8"/>
    <w:rsid w:val="00373F34"/>
    <w:rsid w:val="003755E3"/>
    <w:rsid w:val="00376551"/>
    <w:rsid w:val="00376930"/>
    <w:rsid w:val="00381865"/>
    <w:rsid w:val="00382237"/>
    <w:rsid w:val="00383BE9"/>
    <w:rsid w:val="00383C98"/>
    <w:rsid w:val="0039562F"/>
    <w:rsid w:val="0039668C"/>
    <w:rsid w:val="00397848"/>
    <w:rsid w:val="003A1D12"/>
    <w:rsid w:val="003A1FAB"/>
    <w:rsid w:val="003A4E1A"/>
    <w:rsid w:val="003A622F"/>
    <w:rsid w:val="003A7E43"/>
    <w:rsid w:val="003B13DD"/>
    <w:rsid w:val="003B15C6"/>
    <w:rsid w:val="003C42DC"/>
    <w:rsid w:val="003C4345"/>
    <w:rsid w:val="003D0A99"/>
    <w:rsid w:val="003D0F0D"/>
    <w:rsid w:val="003D3215"/>
    <w:rsid w:val="003E23C0"/>
    <w:rsid w:val="003E5C31"/>
    <w:rsid w:val="003F1A8C"/>
    <w:rsid w:val="003F5787"/>
    <w:rsid w:val="003F6E20"/>
    <w:rsid w:val="00406E16"/>
    <w:rsid w:val="00406E25"/>
    <w:rsid w:val="00411D33"/>
    <w:rsid w:val="00414605"/>
    <w:rsid w:val="0042206A"/>
    <w:rsid w:val="004248ED"/>
    <w:rsid w:val="00426C6E"/>
    <w:rsid w:val="004314D8"/>
    <w:rsid w:val="004314DB"/>
    <w:rsid w:val="0043494C"/>
    <w:rsid w:val="004377DD"/>
    <w:rsid w:val="00445726"/>
    <w:rsid w:val="00453235"/>
    <w:rsid w:val="004555F3"/>
    <w:rsid w:val="004564BD"/>
    <w:rsid w:val="00461B45"/>
    <w:rsid w:val="00462956"/>
    <w:rsid w:val="00462E4C"/>
    <w:rsid w:val="00472F96"/>
    <w:rsid w:val="00473FBC"/>
    <w:rsid w:val="00481FA7"/>
    <w:rsid w:val="00482901"/>
    <w:rsid w:val="004830A2"/>
    <w:rsid w:val="00484A75"/>
    <w:rsid w:val="004873CF"/>
    <w:rsid w:val="00492394"/>
    <w:rsid w:val="00495652"/>
    <w:rsid w:val="004A14C7"/>
    <w:rsid w:val="004B02B7"/>
    <w:rsid w:val="004C3936"/>
    <w:rsid w:val="004D22F4"/>
    <w:rsid w:val="004D4F2A"/>
    <w:rsid w:val="004D5A99"/>
    <w:rsid w:val="004D5CC6"/>
    <w:rsid w:val="004D71C1"/>
    <w:rsid w:val="004F438A"/>
    <w:rsid w:val="004F6C28"/>
    <w:rsid w:val="004F7F35"/>
    <w:rsid w:val="00501F62"/>
    <w:rsid w:val="0050537F"/>
    <w:rsid w:val="0050654F"/>
    <w:rsid w:val="00513F14"/>
    <w:rsid w:val="00516335"/>
    <w:rsid w:val="00522731"/>
    <w:rsid w:val="00523E01"/>
    <w:rsid w:val="00525405"/>
    <w:rsid w:val="00526F7F"/>
    <w:rsid w:val="00527E63"/>
    <w:rsid w:val="00532D01"/>
    <w:rsid w:val="00536309"/>
    <w:rsid w:val="005400F1"/>
    <w:rsid w:val="00543EC5"/>
    <w:rsid w:val="005533E1"/>
    <w:rsid w:val="00554A02"/>
    <w:rsid w:val="00554FDE"/>
    <w:rsid w:val="00555E6E"/>
    <w:rsid w:val="00560510"/>
    <w:rsid w:val="00565EF5"/>
    <w:rsid w:val="00572823"/>
    <w:rsid w:val="005728D2"/>
    <w:rsid w:val="00575553"/>
    <w:rsid w:val="00576F04"/>
    <w:rsid w:val="005801DC"/>
    <w:rsid w:val="0058199C"/>
    <w:rsid w:val="00584616"/>
    <w:rsid w:val="00593CA1"/>
    <w:rsid w:val="00595389"/>
    <w:rsid w:val="005A30A3"/>
    <w:rsid w:val="005A64B3"/>
    <w:rsid w:val="005C1E21"/>
    <w:rsid w:val="005C4A8D"/>
    <w:rsid w:val="005C5FCE"/>
    <w:rsid w:val="005C6134"/>
    <w:rsid w:val="005C7A5C"/>
    <w:rsid w:val="005D7653"/>
    <w:rsid w:val="005D7E96"/>
    <w:rsid w:val="005E0062"/>
    <w:rsid w:val="005E1254"/>
    <w:rsid w:val="005E1B7F"/>
    <w:rsid w:val="005E52DB"/>
    <w:rsid w:val="005E741A"/>
    <w:rsid w:val="005F47A4"/>
    <w:rsid w:val="005F53A0"/>
    <w:rsid w:val="005F61F6"/>
    <w:rsid w:val="00602D1B"/>
    <w:rsid w:val="0060554B"/>
    <w:rsid w:val="006137C4"/>
    <w:rsid w:val="006152B6"/>
    <w:rsid w:val="00615801"/>
    <w:rsid w:val="006165AF"/>
    <w:rsid w:val="0062223D"/>
    <w:rsid w:val="00623B14"/>
    <w:rsid w:val="00623C89"/>
    <w:rsid w:val="00627F81"/>
    <w:rsid w:val="006354F4"/>
    <w:rsid w:val="00641854"/>
    <w:rsid w:val="00650625"/>
    <w:rsid w:val="00654AB9"/>
    <w:rsid w:val="00655330"/>
    <w:rsid w:val="00657ED6"/>
    <w:rsid w:val="006633C4"/>
    <w:rsid w:val="0066689B"/>
    <w:rsid w:val="00667BEE"/>
    <w:rsid w:val="00670125"/>
    <w:rsid w:val="00671E96"/>
    <w:rsid w:val="006720DB"/>
    <w:rsid w:val="00675AF7"/>
    <w:rsid w:val="00680EF9"/>
    <w:rsid w:val="00680F11"/>
    <w:rsid w:val="006863E3"/>
    <w:rsid w:val="00686BBC"/>
    <w:rsid w:val="006944C4"/>
    <w:rsid w:val="006A3CE9"/>
    <w:rsid w:val="006A5D2D"/>
    <w:rsid w:val="006B4423"/>
    <w:rsid w:val="006C1391"/>
    <w:rsid w:val="006C176C"/>
    <w:rsid w:val="006C17C3"/>
    <w:rsid w:val="006C1FEB"/>
    <w:rsid w:val="006E1FC2"/>
    <w:rsid w:val="006E3780"/>
    <w:rsid w:val="006E498F"/>
    <w:rsid w:val="006E64FA"/>
    <w:rsid w:val="006F02AD"/>
    <w:rsid w:val="006F1251"/>
    <w:rsid w:val="006F4855"/>
    <w:rsid w:val="006F5D83"/>
    <w:rsid w:val="006F725E"/>
    <w:rsid w:val="00704327"/>
    <w:rsid w:val="00704941"/>
    <w:rsid w:val="00704994"/>
    <w:rsid w:val="007200B8"/>
    <w:rsid w:val="007204F8"/>
    <w:rsid w:val="007237FB"/>
    <w:rsid w:val="007359BF"/>
    <w:rsid w:val="00741BDC"/>
    <w:rsid w:val="0074602B"/>
    <w:rsid w:val="00750F4D"/>
    <w:rsid w:val="00754A3D"/>
    <w:rsid w:val="00754F41"/>
    <w:rsid w:val="007556F1"/>
    <w:rsid w:val="00761699"/>
    <w:rsid w:val="00764B19"/>
    <w:rsid w:val="00766228"/>
    <w:rsid w:val="00766B20"/>
    <w:rsid w:val="00775F12"/>
    <w:rsid w:val="00780325"/>
    <w:rsid w:val="00784817"/>
    <w:rsid w:val="0078494C"/>
    <w:rsid w:val="00786A7E"/>
    <w:rsid w:val="0078796D"/>
    <w:rsid w:val="007905AB"/>
    <w:rsid w:val="00790D46"/>
    <w:rsid w:val="007949AF"/>
    <w:rsid w:val="007A02DD"/>
    <w:rsid w:val="007A12BA"/>
    <w:rsid w:val="007B2BBA"/>
    <w:rsid w:val="007C5CCD"/>
    <w:rsid w:val="007C7123"/>
    <w:rsid w:val="007D5789"/>
    <w:rsid w:val="007D7658"/>
    <w:rsid w:val="007E09BD"/>
    <w:rsid w:val="007E248C"/>
    <w:rsid w:val="007E281C"/>
    <w:rsid w:val="007E37C6"/>
    <w:rsid w:val="007E47D0"/>
    <w:rsid w:val="007E4B07"/>
    <w:rsid w:val="007F5012"/>
    <w:rsid w:val="007F6494"/>
    <w:rsid w:val="0080030D"/>
    <w:rsid w:val="008021DC"/>
    <w:rsid w:val="008024FC"/>
    <w:rsid w:val="008066FA"/>
    <w:rsid w:val="008067E5"/>
    <w:rsid w:val="00814E1C"/>
    <w:rsid w:val="00822B1B"/>
    <w:rsid w:val="00825851"/>
    <w:rsid w:val="00832993"/>
    <w:rsid w:val="00837FC2"/>
    <w:rsid w:val="00841799"/>
    <w:rsid w:val="00842E59"/>
    <w:rsid w:val="00846120"/>
    <w:rsid w:val="008525EA"/>
    <w:rsid w:val="00852B7C"/>
    <w:rsid w:val="00857E13"/>
    <w:rsid w:val="008669F9"/>
    <w:rsid w:val="00867485"/>
    <w:rsid w:val="00870240"/>
    <w:rsid w:val="008734C1"/>
    <w:rsid w:val="00873F05"/>
    <w:rsid w:val="00875752"/>
    <w:rsid w:val="00875D18"/>
    <w:rsid w:val="00876DFF"/>
    <w:rsid w:val="00877791"/>
    <w:rsid w:val="0088015D"/>
    <w:rsid w:val="00890C99"/>
    <w:rsid w:val="00892446"/>
    <w:rsid w:val="0089404D"/>
    <w:rsid w:val="008947B9"/>
    <w:rsid w:val="00897B7A"/>
    <w:rsid w:val="008A0C3E"/>
    <w:rsid w:val="008A7D0D"/>
    <w:rsid w:val="008B0AB0"/>
    <w:rsid w:val="008C125E"/>
    <w:rsid w:val="008C1D65"/>
    <w:rsid w:val="008C446B"/>
    <w:rsid w:val="008C578F"/>
    <w:rsid w:val="008C6275"/>
    <w:rsid w:val="008D2C4D"/>
    <w:rsid w:val="008D2D60"/>
    <w:rsid w:val="008E1340"/>
    <w:rsid w:val="008E2C75"/>
    <w:rsid w:val="008E671C"/>
    <w:rsid w:val="008F313C"/>
    <w:rsid w:val="008F3E7C"/>
    <w:rsid w:val="008F5926"/>
    <w:rsid w:val="00904F2F"/>
    <w:rsid w:val="00907A5D"/>
    <w:rsid w:val="00913975"/>
    <w:rsid w:val="00916490"/>
    <w:rsid w:val="00922949"/>
    <w:rsid w:val="00922E2E"/>
    <w:rsid w:val="00924422"/>
    <w:rsid w:val="00926475"/>
    <w:rsid w:val="00926B91"/>
    <w:rsid w:val="00926EF3"/>
    <w:rsid w:val="00927698"/>
    <w:rsid w:val="009322E5"/>
    <w:rsid w:val="009405A0"/>
    <w:rsid w:val="009505C1"/>
    <w:rsid w:val="00951108"/>
    <w:rsid w:val="00951900"/>
    <w:rsid w:val="00954038"/>
    <w:rsid w:val="00955698"/>
    <w:rsid w:val="0097283B"/>
    <w:rsid w:val="00972D3E"/>
    <w:rsid w:val="00991484"/>
    <w:rsid w:val="00992187"/>
    <w:rsid w:val="009940B2"/>
    <w:rsid w:val="00995CC4"/>
    <w:rsid w:val="009A1229"/>
    <w:rsid w:val="009B1D4F"/>
    <w:rsid w:val="009B2DA6"/>
    <w:rsid w:val="009B3BDD"/>
    <w:rsid w:val="009B3F51"/>
    <w:rsid w:val="009B6362"/>
    <w:rsid w:val="009B6B4F"/>
    <w:rsid w:val="009D0286"/>
    <w:rsid w:val="009D0803"/>
    <w:rsid w:val="009D20CD"/>
    <w:rsid w:val="009D35C3"/>
    <w:rsid w:val="009D3F9E"/>
    <w:rsid w:val="009D5491"/>
    <w:rsid w:val="009D6450"/>
    <w:rsid w:val="009E32AB"/>
    <w:rsid w:val="009F186A"/>
    <w:rsid w:val="009F1EE0"/>
    <w:rsid w:val="009F37B7"/>
    <w:rsid w:val="00A01035"/>
    <w:rsid w:val="00A02068"/>
    <w:rsid w:val="00A039EE"/>
    <w:rsid w:val="00A125A2"/>
    <w:rsid w:val="00A2331A"/>
    <w:rsid w:val="00A3721E"/>
    <w:rsid w:val="00A37350"/>
    <w:rsid w:val="00A42795"/>
    <w:rsid w:val="00A47AEF"/>
    <w:rsid w:val="00A51397"/>
    <w:rsid w:val="00A520C1"/>
    <w:rsid w:val="00A52385"/>
    <w:rsid w:val="00A52447"/>
    <w:rsid w:val="00A52AF8"/>
    <w:rsid w:val="00A6429B"/>
    <w:rsid w:val="00A644C9"/>
    <w:rsid w:val="00A67C31"/>
    <w:rsid w:val="00A7347A"/>
    <w:rsid w:val="00A73967"/>
    <w:rsid w:val="00A80894"/>
    <w:rsid w:val="00A82228"/>
    <w:rsid w:val="00A85819"/>
    <w:rsid w:val="00A86435"/>
    <w:rsid w:val="00AA1964"/>
    <w:rsid w:val="00AA61F8"/>
    <w:rsid w:val="00AB114E"/>
    <w:rsid w:val="00AB1B41"/>
    <w:rsid w:val="00AB5DE9"/>
    <w:rsid w:val="00AB7437"/>
    <w:rsid w:val="00AB7CF7"/>
    <w:rsid w:val="00AC3456"/>
    <w:rsid w:val="00AC3A71"/>
    <w:rsid w:val="00AC55C1"/>
    <w:rsid w:val="00AC6CEC"/>
    <w:rsid w:val="00AD129C"/>
    <w:rsid w:val="00AD2AEC"/>
    <w:rsid w:val="00AE0479"/>
    <w:rsid w:val="00AF07D8"/>
    <w:rsid w:val="00AF118E"/>
    <w:rsid w:val="00AF165B"/>
    <w:rsid w:val="00B042EE"/>
    <w:rsid w:val="00B1619E"/>
    <w:rsid w:val="00B21863"/>
    <w:rsid w:val="00B23D25"/>
    <w:rsid w:val="00B25D09"/>
    <w:rsid w:val="00B26D57"/>
    <w:rsid w:val="00B35E40"/>
    <w:rsid w:val="00B41A92"/>
    <w:rsid w:val="00B431FB"/>
    <w:rsid w:val="00B4520F"/>
    <w:rsid w:val="00B50D15"/>
    <w:rsid w:val="00B63C40"/>
    <w:rsid w:val="00B63E07"/>
    <w:rsid w:val="00B66D5F"/>
    <w:rsid w:val="00B70498"/>
    <w:rsid w:val="00B719E6"/>
    <w:rsid w:val="00B743B7"/>
    <w:rsid w:val="00B748F8"/>
    <w:rsid w:val="00B7755D"/>
    <w:rsid w:val="00B84342"/>
    <w:rsid w:val="00B95F90"/>
    <w:rsid w:val="00B969E0"/>
    <w:rsid w:val="00BA684C"/>
    <w:rsid w:val="00BA7F58"/>
    <w:rsid w:val="00BB24BF"/>
    <w:rsid w:val="00BB25DC"/>
    <w:rsid w:val="00BB4A74"/>
    <w:rsid w:val="00BB529D"/>
    <w:rsid w:val="00BD0AD1"/>
    <w:rsid w:val="00BD2E2F"/>
    <w:rsid w:val="00BD33F0"/>
    <w:rsid w:val="00BD50BF"/>
    <w:rsid w:val="00BD5FB7"/>
    <w:rsid w:val="00BF756A"/>
    <w:rsid w:val="00C00C81"/>
    <w:rsid w:val="00C00DF2"/>
    <w:rsid w:val="00C06A51"/>
    <w:rsid w:val="00C12C7B"/>
    <w:rsid w:val="00C1339B"/>
    <w:rsid w:val="00C1430D"/>
    <w:rsid w:val="00C17C0B"/>
    <w:rsid w:val="00C24ACE"/>
    <w:rsid w:val="00C259A9"/>
    <w:rsid w:val="00C26171"/>
    <w:rsid w:val="00C346AB"/>
    <w:rsid w:val="00C34A16"/>
    <w:rsid w:val="00C356D7"/>
    <w:rsid w:val="00C47C27"/>
    <w:rsid w:val="00C519E4"/>
    <w:rsid w:val="00C62835"/>
    <w:rsid w:val="00C64B75"/>
    <w:rsid w:val="00C663CD"/>
    <w:rsid w:val="00C70334"/>
    <w:rsid w:val="00C70A6A"/>
    <w:rsid w:val="00C71000"/>
    <w:rsid w:val="00C71503"/>
    <w:rsid w:val="00C71F30"/>
    <w:rsid w:val="00C76B3B"/>
    <w:rsid w:val="00C9525E"/>
    <w:rsid w:val="00CA5CC6"/>
    <w:rsid w:val="00CB038D"/>
    <w:rsid w:val="00CB3D13"/>
    <w:rsid w:val="00CC0A55"/>
    <w:rsid w:val="00CC1BE7"/>
    <w:rsid w:val="00CC5F5A"/>
    <w:rsid w:val="00CC6E76"/>
    <w:rsid w:val="00CD085F"/>
    <w:rsid w:val="00CD1ED2"/>
    <w:rsid w:val="00CE134E"/>
    <w:rsid w:val="00CE5139"/>
    <w:rsid w:val="00CE68C0"/>
    <w:rsid w:val="00CF0FA7"/>
    <w:rsid w:val="00CF23B8"/>
    <w:rsid w:val="00CF7275"/>
    <w:rsid w:val="00CF72A8"/>
    <w:rsid w:val="00D02174"/>
    <w:rsid w:val="00D049B4"/>
    <w:rsid w:val="00D07D57"/>
    <w:rsid w:val="00D141A3"/>
    <w:rsid w:val="00D14F00"/>
    <w:rsid w:val="00D14FB6"/>
    <w:rsid w:val="00D15FFA"/>
    <w:rsid w:val="00D20B0D"/>
    <w:rsid w:val="00D30826"/>
    <w:rsid w:val="00D467BD"/>
    <w:rsid w:val="00D47939"/>
    <w:rsid w:val="00D529F0"/>
    <w:rsid w:val="00D602F7"/>
    <w:rsid w:val="00D65D03"/>
    <w:rsid w:val="00D70D7B"/>
    <w:rsid w:val="00D7254D"/>
    <w:rsid w:val="00D72567"/>
    <w:rsid w:val="00D74B49"/>
    <w:rsid w:val="00D76469"/>
    <w:rsid w:val="00D82DB1"/>
    <w:rsid w:val="00D840F9"/>
    <w:rsid w:val="00D845E9"/>
    <w:rsid w:val="00D86FFF"/>
    <w:rsid w:val="00D91DA9"/>
    <w:rsid w:val="00D94750"/>
    <w:rsid w:val="00DB7CFB"/>
    <w:rsid w:val="00DC1BD4"/>
    <w:rsid w:val="00DC2B02"/>
    <w:rsid w:val="00DC716C"/>
    <w:rsid w:val="00DC7B99"/>
    <w:rsid w:val="00DD13F1"/>
    <w:rsid w:val="00DD20D9"/>
    <w:rsid w:val="00DD49DF"/>
    <w:rsid w:val="00DD6564"/>
    <w:rsid w:val="00DD748E"/>
    <w:rsid w:val="00DE05B4"/>
    <w:rsid w:val="00DE4D1E"/>
    <w:rsid w:val="00DF0A73"/>
    <w:rsid w:val="00DF610A"/>
    <w:rsid w:val="00E00565"/>
    <w:rsid w:val="00E00C53"/>
    <w:rsid w:val="00E0109D"/>
    <w:rsid w:val="00E04D57"/>
    <w:rsid w:val="00E06CFF"/>
    <w:rsid w:val="00E11021"/>
    <w:rsid w:val="00E110D2"/>
    <w:rsid w:val="00E26C8F"/>
    <w:rsid w:val="00E34310"/>
    <w:rsid w:val="00E417AC"/>
    <w:rsid w:val="00E41CE4"/>
    <w:rsid w:val="00E50F34"/>
    <w:rsid w:val="00E50FDF"/>
    <w:rsid w:val="00E66ADC"/>
    <w:rsid w:val="00E6721D"/>
    <w:rsid w:val="00E72F99"/>
    <w:rsid w:val="00E73C8F"/>
    <w:rsid w:val="00E747D5"/>
    <w:rsid w:val="00E819EE"/>
    <w:rsid w:val="00E82ABE"/>
    <w:rsid w:val="00E82B41"/>
    <w:rsid w:val="00E839C0"/>
    <w:rsid w:val="00E84766"/>
    <w:rsid w:val="00E85F65"/>
    <w:rsid w:val="00E87BD2"/>
    <w:rsid w:val="00E93F5E"/>
    <w:rsid w:val="00E961C3"/>
    <w:rsid w:val="00EA259A"/>
    <w:rsid w:val="00EB5C29"/>
    <w:rsid w:val="00EB6036"/>
    <w:rsid w:val="00EB6E25"/>
    <w:rsid w:val="00EC2BE5"/>
    <w:rsid w:val="00EC3198"/>
    <w:rsid w:val="00EC33AE"/>
    <w:rsid w:val="00EC3DC8"/>
    <w:rsid w:val="00EC4A12"/>
    <w:rsid w:val="00EC5699"/>
    <w:rsid w:val="00ED0FF4"/>
    <w:rsid w:val="00ED10F0"/>
    <w:rsid w:val="00ED18B9"/>
    <w:rsid w:val="00ED2D2E"/>
    <w:rsid w:val="00ED48A1"/>
    <w:rsid w:val="00ED5209"/>
    <w:rsid w:val="00EE0748"/>
    <w:rsid w:val="00EE1005"/>
    <w:rsid w:val="00EF7486"/>
    <w:rsid w:val="00EF798F"/>
    <w:rsid w:val="00F00B52"/>
    <w:rsid w:val="00F050E4"/>
    <w:rsid w:val="00F13017"/>
    <w:rsid w:val="00F134F3"/>
    <w:rsid w:val="00F20046"/>
    <w:rsid w:val="00F2047A"/>
    <w:rsid w:val="00F2094E"/>
    <w:rsid w:val="00F2196D"/>
    <w:rsid w:val="00F32A8B"/>
    <w:rsid w:val="00F4740F"/>
    <w:rsid w:val="00F47AEF"/>
    <w:rsid w:val="00F50242"/>
    <w:rsid w:val="00F5132D"/>
    <w:rsid w:val="00F67A2F"/>
    <w:rsid w:val="00F74592"/>
    <w:rsid w:val="00F80AD0"/>
    <w:rsid w:val="00F82677"/>
    <w:rsid w:val="00F902F7"/>
    <w:rsid w:val="00F906BF"/>
    <w:rsid w:val="00FB05AD"/>
    <w:rsid w:val="00FB3BD6"/>
    <w:rsid w:val="00FC0205"/>
    <w:rsid w:val="00FC0A73"/>
    <w:rsid w:val="00FD053D"/>
    <w:rsid w:val="00FD295E"/>
    <w:rsid w:val="00FD3302"/>
    <w:rsid w:val="00FD3840"/>
    <w:rsid w:val="00FD4C44"/>
    <w:rsid w:val="00FD4F96"/>
    <w:rsid w:val="00FD78AE"/>
    <w:rsid w:val="00FE0419"/>
    <w:rsid w:val="00FE0627"/>
    <w:rsid w:val="00FF1F6A"/>
    <w:rsid w:val="05479AB3"/>
    <w:rsid w:val="06761A47"/>
    <w:rsid w:val="07352503"/>
    <w:rsid w:val="0E47EB06"/>
    <w:rsid w:val="112D4B79"/>
    <w:rsid w:val="1AF1E8A8"/>
    <w:rsid w:val="20D04BE2"/>
    <w:rsid w:val="22D559E0"/>
    <w:rsid w:val="25DFE6B2"/>
    <w:rsid w:val="297CAD9A"/>
    <w:rsid w:val="2AF20B1F"/>
    <w:rsid w:val="2B7904C4"/>
    <w:rsid w:val="3089B221"/>
    <w:rsid w:val="35DC6949"/>
    <w:rsid w:val="36DA09CC"/>
    <w:rsid w:val="38744696"/>
    <w:rsid w:val="3B763302"/>
    <w:rsid w:val="3C7AFDFB"/>
    <w:rsid w:val="3E3A7756"/>
    <w:rsid w:val="442444B4"/>
    <w:rsid w:val="453E7964"/>
    <w:rsid w:val="4D98ECAE"/>
    <w:rsid w:val="56264E1F"/>
    <w:rsid w:val="57C2B5F8"/>
    <w:rsid w:val="5F7A6F0C"/>
    <w:rsid w:val="62AA3EAB"/>
    <w:rsid w:val="69C7FDFA"/>
    <w:rsid w:val="6F3867D7"/>
    <w:rsid w:val="741D7973"/>
    <w:rsid w:val="79704C32"/>
    <w:rsid w:val="7CF63C3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03DD0B7"/>
  <w15:docId w15:val="{5EF01DD8-8325-4453-A8C7-56B512B6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F2A"/>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宋体" w:eastAsiaTheme="majorEastAsia" w:hAnsi="宋体" w:cstheme="majorBidi"/>
      <w:b/>
      <w:color w:val="003300"/>
      <w:sz w:val="36"/>
      <w:szCs w:val="32"/>
    </w:rPr>
  </w:style>
  <w:style w:type="paragraph" w:styleId="Heading2">
    <w:name w:val="heading 2"/>
    <w:basedOn w:val="Normal"/>
    <w:next w:val="Normal"/>
    <w:link w:val="Heading2Char"/>
    <w:uiPriority w:val="9"/>
    <w:unhideWhenUsed/>
    <w:qFormat/>
    <w:pPr>
      <w:keepNext/>
      <w:keepLines/>
      <w:spacing w:before="40"/>
      <w:outlineLvl w:val="1"/>
    </w:pPr>
    <w:rPr>
      <w:rFonts w:ascii="Open Sans" w:eastAsia="宋体" w:hAnsi="Open Sans" w:cstheme="majorBidi"/>
      <w:b/>
      <w:bCs/>
      <w:color w:val="003300"/>
      <w:szCs w:val="26"/>
    </w:rPr>
  </w:style>
  <w:style w:type="paragraph" w:styleId="Heading3">
    <w:name w:val="heading 3"/>
    <w:basedOn w:val="Normal"/>
    <w:next w:val="Normal"/>
    <w:link w:val="Heading3Char"/>
    <w:uiPriority w:val="9"/>
    <w:unhideWhenUsed/>
    <w:qFormat/>
    <w:pPr>
      <w:keepNext/>
      <w:keepLines/>
      <w:spacing w:before="40"/>
      <w:outlineLvl w:val="2"/>
    </w:pPr>
    <w:rPr>
      <w:rFonts w:ascii="宋体" w:eastAsiaTheme="majorEastAsia" w:hAnsi="宋体" w:cstheme="majorBidi"/>
      <w:color w:val="1F3864" w:themeColor="accent1" w:themeShade="80"/>
    </w:rPr>
  </w:style>
  <w:style w:type="paragraph" w:styleId="Heading4">
    <w:name w:val="heading 4"/>
    <w:basedOn w:val="Normal"/>
    <w:next w:val="Normal"/>
    <w:link w:val="Heading4Char"/>
    <w:uiPriority w:val="9"/>
    <w:unhideWhenUsed/>
    <w:qFormat/>
    <w:pPr>
      <w:keepNext/>
      <w:keepLines/>
      <w:spacing w:before="40"/>
      <w:outlineLvl w:val="3"/>
    </w:pPr>
    <w:rPr>
      <w:rFonts w:ascii="宋体" w:eastAsiaTheme="majorEastAsia" w:hAnsi="宋体"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CommentText">
    <w:name w:val="annotation text"/>
    <w:basedOn w:val="Normal"/>
    <w:link w:val="CommentTextChar"/>
    <w:uiPriority w:val="99"/>
    <w:unhideWhenUsed/>
    <w:qFormat/>
    <w:rPr>
      <w:rFonts w:ascii="宋体" w:eastAsia="宋体" w:hAnsi="宋体" w:cs="宋体"/>
      <w:sz w:val="20"/>
      <w:szCs w:val="20"/>
    </w:rPr>
  </w:style>
  <w:style w:type="paragraph" w:styleId="TOC3">
    <w:name w:val="toc 3"/>
    <w:basedOn w:val="Normal"/>
    <w:next w:val="Normal"/>
    <w:uiPriority w:val="39"/>
    <w:unhideWhenUsed/>
    <w:qFormat/>
    <w:pPr>
      <w:spacing w:after="100"/>
      <w:ind w:left="480"/>
    </w:pPr>
    <w:rPr>
      <w:rFonts w:ascii="宋体" w:eastAsia="宋体" w:hAnsi="宋体" w:cs="宋体"/>
    </w:rPr>
  </w:style>
  <w:style w:type="paragraph" w:styleId="Footer">
    <w:name w:val="footer"/>
    <w:basedOn w:val="Normal"/>
    <w:link w:val="FooterChar"/>
    <w:uiPriority w:val="99"/>
    <w:unhideWhenUsed/>
    <w:qFormat/>
    <w:pPr>
      <w:tabs>
        <w:tab w:val="center" w:pos="4513"/>
        <w:tab w:val="right" w:pos="9026"/>
      </w:tabs>
    </w:pPr>
    <w:rPr>
      <w:rFonts w:ascii="宋体" w:eastAsia="宋体" w:hAnsi="宋体" w:cs="宋体"/>
    </w:rPr>
  </w:style>
  <w:style w:type="paragraph" w:styleId="Header">
    <w:name w:val="header"/>
    <w:basedOn w:val="Normal"/>
    <w:link w:val="HeaderChar"/>
    <w:uiPriority w:val="99"/>
    <w:unhideWhenUsed/>
    <w:qFormat/>
    <w:pPr>
      <w:tabs>
        <w:tab w:val="center" w:pos="4513"/>
        <w:tab w:val="right" w:pos="9026"/>
      </w:tabs>
    </w:pPr>
    <w:rPr>
      <w:rFonts w:ascii="宋体" w:eastAsia="宋体" w:hAnsi="宋体" w:cs="宋体"/>
    </w:rPr>
  </w:style>
  <w:style w:type="paragraph" w:styleId="TOC1">
    <w:name w:val="toc 1"/>
    <w:basedOn w:val="Normal"/>
    <w:next w:val="Normal"/>
    <w:uiPriority w:val="39"/>
    <w:unhideWhenUsed/>
    <w:qFormat/>
    <w:pPr>
      <w:tabs>
        <w:tab w:val="right" w:leader="dot" w:pos="9016"/>
      </w:tabs>
      <w:spacing w:after="100" w:line="360" w:lineRule="auto"/>
      <w:jc w:val="both"/>
    </w:pPr>
    <w:rPr>
      <w:rFonts w:ascii="宋体" w:eastAsia="宋体" w:hAnsi="宋体" w:cs="宋体"/>
    </w:rPr>
  </w:style>
  <w:style w:type="paragraph" w:styleId="TOC2">
    <w:name w:val="toc 2"/>
    <w:basedOn w:val="Normal"/>
    <w:next w:val="Normal"/>
    <w:uiPriority w:val="39"/>
    <w:unhideWhenUsed/>
    <w:qFormat/>
    <w:pPr>
      <w:tabs>
        <w:tab w:val="right" w:leader="dot" w:pos="9016"/>
      </w:tabs>
      <w:spacing w:after="100" w:line="480" w:lineRule="auto"/>
      <w:ind w:left="240"/>
    </w:pPr>
    <w:rPr>
      <w:rFonts w:ascii="宋体" w:eastAsia="宋体" w:hAnsi="宋体" w:cs="宋体"/>
    </w:rPr>
  </w:style>
  <w:style w:type="paragraph" w:styleId="NormalWeb">
    <w:name w:val="Normal (Web)"/>
    <w:basedOn w:val="Normal"/>
    <w:uiPriority w:val="99"/>
    <w:unhideWhenUsed/>
    <w:qFormat/>
    <w:pPr>
      <w:spacing w:before="100" w:beforeAutospacing="1" w:after="100" w:afterAutospacing="1"/>
    </w:pPr>
    <w:rPr>
      <w:rFonts w:ascii="宋体" w:eastAsia="宋体" w:hAnsi="宋体" w:cs="宋体"/>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Pr>
      <w:rFonts w:ascii="宋体" w:eastAsiaTheme="majorEastAsia" w:hAnsi="宋体" w:cstheme="majorBidi"/>
      <w:b/>
      <w:color w:val="003300"/>
      <w:sz w:val="36"/>
      <w:szCs w:val="32"/>
      <w:lang w:val="en-US"/>
    </w:rPr>
  </w:style>
  <w:style w:type="character" w:customStyle="1" w:styleId="HeaderChar">
    <w:name w:val="Header Char"/>
    <w:basedOn w:val="DefaultParagraphFont"/>
    <w:link w:val="Header"/>
    <w:uiPriority w:val="99"/>
    <w:rPr>
      <w:rFonts w:ascii="宋体" w:eastAsia="宋体" w:hAnsi="宋体" w:cs="宋体"/>
      <w:sz w:val="24"/>
      <w:szCs w:val="24"/>
      <w:lang w:val="en-US"/>
    </w:rPr>
  </w:style>
  <w:style w:type="character" w:customStyle="1" w:styleId="FooterChar">
    <w:name w:val="Footer Char"/>
    <w:basedOn w:val="DefaultParagraphFont"/>
    <w:link w:val="Footer"/>
    <w:uiPriority w:val="99"/>
    <w:rPr>
      <w:rFonts w:ascii="宋体" w:eastAsia="宋体" w:hAnsi="宋体" w:cs="宋体"/>
      <w:sz w:val="24"/>
      <w:szCs w:val="24"/>
      <w:lang w:val="en-US"/>
    </w:rPr>
  </w:style>
  <w:style w:type="paragraph" w:customStyle="1" w:styleId="TOCHeading1">
    <w:name w:val="TOC Heading1"/>
    <w:basedOn w:val="Heading1"/>
    <w:next w:val="Normal"/>
    <w:uiPriority w:val="39"/>
    <w:unhideWhenUsed/>
    <w:qFormat/>
    <w:pPr>
      <w:outlineLvl w:val="9"/>
    </w:pPr>
    <w:rPr>
      <w:rFonts w:asciiTheme="majorHAnsi" w:hAnsiTheme="majorHAnsi"/>
      <w:lang w:eastAsia="en-US"/>
    </w:rPr>
  </w:style>
  <w:style w:type="paragraph" w:customStyle="1" w:styleId="paragraph">
    <w:name w:val="paragraph"/>
    <w:basedOn w:val="Normal"/>
    <w:link w:val="paragraphChar"/>
    <w:qFormat/>
    <w:pPr>
      <w:spacing w:before="100" w:beforeAutospacing="1" w:after="100" w:afterAutospacing="1"/>
    </w:pPr>
    <w:rPr>
      <w:rFonts w:ascii="宋体" w:hAnsi="宋体"/>
    </w:rPr>
  </w:style>
  <w:style w:type="character" w:customStyle="1" w:styleId="eop">
    <w:name w:val="eop"/>
    <w:basedOn w:val="DefaultParagraphFont"/>
    <w:qFormat/>
  </w:style>
  <w:style w:type="character" w:customStyle="1" w:styleId="normaltextrun">
    <w:name w:val="normaltextrun"/>
    <w:basedOn w:val="DefaultParagraphFont"/>
    <w:qForma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rPr>
  </w:style>
  <w:style w:type="paragraph" w:customStyle="1" w:styleId="illustration">
    <w:name w:val="illustration"/>
    <w:basedOn w:val="Normal"/>
    <w:link w:val="illustrationChar"/>
    <w:qFormat/>
    <w:pPr>
      <w:jc w:val="center"/>
    </w:pPr>
    <w:rPr>
      <w:rFonts w:ascii="Open Sans" w:eastAsia="宋体" w:hAnsi="Open Sans" w:cs="Calibri"/>
      <w:bCs/>
      <w:color w:val="B2B2B2"/>
      <w:sz w:val="20"/>
    </w:rPr>
  </w:style>
  <w:style w:type="paragraph" w:customStyle="1" w:styleId="Source">
    <w:name w:val="Source"/>
    <w:basedOn w:val="paragraph"/>
    <w:link w:val="SourceChar"/>
    <w:qFormat/>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qFormat/>
    <w:rPr>
      <w:rFonts w:ascii="Open Sans" w:hAnsi="Open Sans" w:cs="Calibri"/>
      <w:bCs/>
      <w:color w:val="B2B2B2"/>
      <w:sz w:val="20"/>
      <w:lang w:val="en-US"/>
    </w:rPr>
  </w:style>
  <w:style w:type="character" w:customStyle="1" w:styleId="Heading2Char">
    <w:name w:val="Heading 2 Char"/>
    <w:basedOn w:val="DefaultParagraphFont"/>
    <w:link w:val="Heading2"/>
    <w:uiPriority w:val="9"/>
    <w:qFormat/>
    <w:rPr>
      <w:rFonts w:ascii="Open Sans" w:eastAsia="宋体" w:hAnsi="Open Sans" w:cstheme="majorBidi"/>
      <w:b/>
      <w:bCs/>
      <w:color w:val="003300"/>
      <w:sz w:val="24"/>
      <w:szCs w:val="26"/>
      <w:lang w:val="en-US"/>
    </w:rPr>
  </w:style>
  <w:style w:type="character" w:customStyle="1" w:styleId="paragraphChar">
    <w:name w:val="paragraph Char"/>
    <w:basedOn w:val="DefaultParagraphFont"/>
    <w:link w:val="paragraph"/>
    <w:qFormat/>
    <w:rPr>
      <w:rFonts w:ascii="宋体" w:eastAsia="Times New Roman" w:hAnsi="宋体" w:cs="Times New Roman"/>
      <w:sz w:val="24"/>
      <w:szCs w:val="24"/>
      <w:lang w:val="en-US"/>
    </w:rPr>
  </w:style>
  <w:style w:type="character" w:customStyle="1" w:styleId="SourceChar">
    <w:name w:val="Source Char"/>
    <w:basedOn w:val="paragraphChar"/>
    <w:link w:val="Source"/>
    <w:qFormat/>
    <w:rPr>
      <w:rFonts w:ascii="Open Sans" w:eastAsia="Times New Roman" w:hAnsi="Open Sans" w:cs="Calibri"/>
      <w:i/>
      <w:color w:val="B2B2B2"/>
      <w:sz w:val="20"/>
      <w:szCs w:val="24"/>
      <w:lang w:val="en-US"/>
    </w:rPr>
  </w:style>
  <w:style w:type="paragraph" w:styleId="ListParagraph">
    <w:name w:val="List Paragraph"/>
    <w:basedOn w:val="Normal"/>
    <w:uiPriority w:val="34"/>
    <w:qFormat/>
    <w:pPr>
      <w:ind w:left="720"/>
      <w:contextualSpacing/>
    </w:pPr>
    <w:rPr>
      <w:rFonts w:ascii="宋体" w:eastAsia="宋体" w:hAnsi="宋体" w:cs="宋体"/>
    </w:rPr>
  </w:style>
  <w:style w:type="character" w:customStyle="1" w:styleId="CommentTextChar">
    <w:name w:val="Comment Text Char"/>
    <w:basedOn w:val="DefaultParagraphFont"/>
    <w:link w:val="CommentText"/>
    <w:uiPriority w:val="99"/>
    <w:qFormat/>
    <w:rPr>
      <w:rFonts w:ascii="宋体" w:eastAsia="宋体" w:hAnsi="宋体" w:cs="宋体"/>
      <w:sz w:val="20"/>
      <w:szCs w:val="20"/>
      <w:lang w:val="en-US"/>
    </w:rPr>
  </w:style>
  <w:style w:type="character" w:customStyle="1" w:styleId="CommentSubjectChar">
    <w:name w:val="Comment Subject Char"/>
    <w:basedOn w:val="CommentTextChar"/>
    <w:link w:val="CommentSubject"/>
    <w:uiPriority w:val="99"/>
    <w:semiHidden/>
    <w:qFormat/>
    <w:rPr>
      <w:rFonts w:ascii="Times New Roman" w:eastAsia="宋体" w:hAnsi="Times New Roman" w:cs="宋体"/>
      <w:b/>
      <w:bCs/>
      <w:color w:val="000000" w:themeColor="text1"/>
      <w:sz w:val="20"/>
      <w:szCs w:val="20"/>
      <w:lang w:val="en-US"/>
    </w:rPr>
  </w:style>
  <w:style w:type="character" w:customStyle="1" w:styleId="Heading3Char">
    <w:name w:val="Heading 3 Char"/>
    <w:basedOn w:val="DefaultParagraphFont"/>
    <w:link w:val="Heading3"/>
    <w:uiPriority w:val="9"/>
    <w:qFormat/>
    <w:rPr>
      <w:rFonts w:ascii="宋体" w:eastAsiaTheme="majorEastAsia" w:hAnsi="宋体" w:cstheme="majorBidi"/>
      <w:color w:val="1F3864" w:themeColor="accent1" w:themeShade="80"/>
      <w:sz w:val="24"/>
      <w:szCs w:val="24"/>
      <w:lang w:val="en-US"/>
    </w:rPr>
  </w:style>
  <w:style w:type="character" w:customStyle="1" w:styleId="Heading4Char">
    <w:name w:val="Heading 4 Char"/>
    <w:basedOn w:val="DefaultParagraphFont"/>
    <w:link w:val="Heading4"/>
    <w:uiPriority w:val="9"/>
    <w:qFormat/>
    <w:rPr>
      <w:rFonts w:ascii="宋体" w:eastAsiaTheme="majorEastAsia" w:hAnsi="宋体" w:cstheme="majorBidi"/>
      <w:i/>
      <w:iCs/>
      <w:color w:val="2F5496" w:themeColor="accent1" w:themeShade="BF"/>
      <w:sz w:val="24"/>
      <w:szCs w:val="24"/>
      <w:lang w:val="en-US"/>
    </w:r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DefaultParagraphFont"/>
    <w:qFormat/>
  </w:style>
  <w:style w:type="character" w:styleId="PlaceholderText">
    <w:name w:val="Placeholder Text"/>
    <w:basedOn w:val="DefaultParagraphFont"/>
    <w:uiPriority w:val="99"/>
    <w:semiHidden/>
    <w:qFormat/>
    <w:rPr>
      <w:color w:val="808080"/>
    </w:r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bsgclassic">
    <w:name w:val="ibsg classic"/>
    <w:basedOn w:val="TableNormal"/>
    <w:uiPriority w:val="99"/>
    <w:qFormat/>
    <w:rPr>
      <w:rFonts w:ascii="Times New Roman" w:eastAsia="宋体" w:hAnsi="Times New Roman"/>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4-Accent61">
    <w:name w:val="List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Heading1"/>
    <w:link w:val="IBSG0"/>
    <w:qFormat/>
    <w:pPr>
      <w:widowControl w:val="0"/>
    </w:pPr>
    <w:rPr>
      <w:rFonts w:eastAsia="宋体"/>
      <w:kern w:val="2"/>
      <w:sz w:val="32"/>
    </w:rPr>
  </w:style>
  <w:style w:type="character" w:customStyle="1" w:styleId="IBSG0">
    <w:name w:val="IBSG 一级标题 字符"/>
    <w:basedOn w:val="DefaultParagraphFont"/>
    <w:link w:val="IBSG"/>
    <w:qFormat/>
    <w:rPr>
      <w:rFonts w:ascii="宋体" w:eastAsia="宋体" w:hAnsi="宋体" w:cstheme="majorBidi"/>
      <w:b/>
      <w:color w:val="003300"/>
      <w:kern w:val="2"/>
      <w:sz w:val="32"/>
      <w:szCs w:val="32"/>
      <w:lang w:val="en-US"/>
    </w:rPr>
  </w:style>
  <w:style w:type="paragraph" w:customStyle="1" w:styleId="Revision1">
    <w:name w:val="Revision1"/>
    <w:hidden/>
    <w:uiPriority w:val="99"/>
    <w:semiHidden/>
    <w:qFormat/>
    <w:rPr>
      <w:rFonts w:ascii="Times New Roman" w:hAnsi="Times New Roman"/>
      <w:color w:val="000000" w:themeColor="text1"/>
      <w:sz w:val="24"/>
      <w:szCs w:val="22"/>
      <w:lang w:val="zh-CN"/>
    </w:rPr>
  </w:style>
  <w:style w:type="paragraph" w:customStyle="1" w:styleId="1">
    <w:name w:val="修订1"/>
    <w:hidden/>
    <w:uiPriority w:val="99"/>
    <w:semiHidden/>
    <w:qFormat/>
    <w:rPr>
      <w:rFonts w:ascii="宋体" w:eastAsia="宋体" w:hAnsi="宋体" w:cs="宋体"/>
      <w:sz w:val="24"/>
      <w:szCs w:val="24"/>
    </w:rPr>
  </w:style>
  <w:style w:type="paragraph" w:customStyle="1" w:styleId="10">
    <w:name w:val="正文1"/>
    <w:qFormat/>
    <w:pPr>
      <w:widowControl w:val="0"/>
      <w:jc w:val="both"/>
    </w:pPr>
    <w:rPr>
      <w:rFonts w:ascii="等线" w:eastAsia="等线" w:hAnsi="等线" w:cs="Times New Roman"/>
      <w:kern w:val="2"/>
      <w:sz w:val="21"/>
      <w:szCs w:val="21"/>
    </w:r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rPr>
  </w:style>
  <w:style w:type="table" w:customStyle="1" w:styleId="IBSG1">
    <w:name w:val="IBSG"/>
    <w:basedOn w:val="TableNormal"/>
    <w:uiPriority w:val="99"/>
    <w:rPr>
      <w:rFonts w:ascii="Times New Roman" w:eastAsiaTheme="majorEastAsia" w:hAnsi="Times New Roman" w:cs="Times New Roman"/>
      <w:kern w:val="2"/>
      <w:sz w:val="21"/>
      <w:szCs w:val="24"/>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color w:val="FFFFFF" w:themeColor="background1"/>
        <w:sz w:val="21"/>
      </w:rPr>
      <w:tblPr/>
      <w:tcPr>
        <w:shd w:val="clear" w:color="auto" w:fill="003300"/>
      </w:tcPr>
    </w:tblStylePr>
    <w:tblStylePr w:type="band1Horz">
      <w:tblPr/>
      <w:tcPr>
        <w:shd w:val="clear" w:color="auto" w:fill="FFFFFF" w:themeFill="background1"/>
      </w:tcPr>
    </w:tblStylePr>
    <w:tblStylePr w:type="band2Horz">
      <w:tblPr/>
      <w:tcPr>
        <w:shd w:val="clear" w:color="auto" w:fill="E2EFD9" w:themeFill="accent6" w:themeFillTint="33"/>
      </w:tcPr>
    </w:tblStylePr>
  </w:style>
  <w:style w:type="table" w:customStyle="1" w:styleId="IBSG10">
    <w:name w:val="IBSG1"/>
    <w:basedOn w:val="TableNormal"/>
    <w:uiPriority w:val="99"/>
    <w:rsid w:val="005A30A3"/>
    <w:rPr>
      <w:rFonts w:ascii="Times New Roman" w:eastAsiaTheme="majorEastAsia" w:hAnsi="Times New Roman" w:cs="Times New Roman"/>
      <w:kern w:val="2"/>
      <w:sz w:val="21"/>
      <w:szCs w:val="24"/>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color w:val="FFFFFF" w:themeColor="background1"/>
        <w:sz w:val="21"/>
      </w:rPr>
      <w:tblPr/>
      <w:tcPr>
        <w:shd w:val="clear" w:color="auto" w:fill="003300"/>
      </w:tcPr>
    </w:tblStylePr>
    <w:tblStylePr w:type="band1Horz">
      <w:tblPr/>
      <w:tcPr>
        <w:shd w:val="clear" w:color="auto" w:fill="FFFFFF" w:themeFill="background1"/>
      </w:tcPr>
    </w:tblStylePr>
    <w:tblStylePr w:type="band2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39039">
      <w:bodyDiv w:val="1"/>
      <w:marLeft w:val="0"/>
      <w:marRight w:val="0"/>
      <w:marTop w:val="0"/>
      <w:marBottom w:val="0"/>
      <w:divBdr>
        <w:top w:val="none" w:sz="0" w:space="0" w:color="auto"/>
        <w:left w:val="none" w:sz="0" w:space="0" w:color="auto"/>
        <w:bottom w:val="none" w:sz="0" w:space="0" w:color="auto"/>
        <w:right w:val="none" w:sz="0" w:space="0" w:color="auto"/>
      </w:divBdr>
    </w:div>
    <w:div w:id="1346439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1-A183-4D48-821B-9041EAD3D256}"/>
              </c:ext>
            </c:extLst>
          </c:dPt>
          <c:dPt>
            <c:idx val="1"/>
            <c:bubble3D val="0"/>
            <c:spPr>
              <a:solidFill>
                <a:schemeClr val="accent6"/>
              </a:solidFill>
              <a:ln w="19050">
                <a:solidFill>
                  <a:schemeClr val="lt1"/>
                </a:solidFill>
              </a:ln>
              <a:effectLst/>
            </c:spPr>
            <c:extLst>
              <c:ext xmlns:c16="http://schemas.microsoft.com/office/drawing/2014/chart" uri="{C3380CC4-5D6E-409C-BE32-E72D297353CC}">
                <c16:uniqueId val="{00000003-A183-4D48-821B-9041EAD3D256}"/>
              </c:ext>
            </c:extLst>
          </c:dPt>
          <c:dPt>
            <c:idx val="2"/>
            <c:bubble3D val="0"/>
            <c:spPr>
              <a:solidFill>
                <a:schemeClr val="accent6">
                  <a:shade val="65000"/>
                </a:schemeClr>
              </a:solidFill>
              <a:ln w="19050">
                <a:solidFill>
                  <a:schemeClr val="lt1"/>
                </a:solidFill>
              </a:ln>
              <a:effectLst/>
            </c:spPr>
            <c:extLst>
              <c:ext xmlns:c16="http://schemas.microsoft.com/office/drawing/2014/chart" uri="{C3380CC4-5D6E-409C-BE32-E72D297353CC}">
                <c16:uniqueId val="{00000005-A183-4D48-821B-9041EAD3D256}"/>
              </c:ext>
            </c:extLst>
          </c:dPt>
          <c:dLbls>
            <c:dLbl>
              <c:idx val="2"/>
              <c:layout>
                <c:manualLayout>
                  <c:x val="0.10652156271809"/>
                  <c:y val="0.20361613784452101"/>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183-4D48-821B-9041EAD3D256}"/>
                </c:ext>
              </c:extLst>
            </c:dLbl>
            <c:spPr>
              <a:noFill/>
              <a:ln>
                <a:noFill/>
              </a:ln>
              <a:effectLst/>
            </c:spPr>
            <c:txPr>
              <a:bodyPr rot="0" spcFirstLastPara="1" vertOverflow="ellipsis" vert="horz" wrap="square" lIns="38100" tIns="19050" rIns="38100" bIns="19050" anchor="ctr" anchorCtr="1"/>
              <a:lstStyle/>
              <a:p>
                <a:pPr>
                  <a:defRPr lang="zh-CN" sz="1200" b="0" i="0" u="none" strike="noStrike" kern="1200" baseline="0">
                    <a:solidFill>
                      <a:schemeClr val="bg1"/>
                    </a:solidFill>
                    <a:latin typeface="+mn-lt"/>
                    <a:ea typeface="+mn-ea"/>
                    <a:cs typeface="+mn-cs"/>
                  </a:defRPr>
                </a:pPr>
                <a:endParaRPr lang="zh-CN"/>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&lt;25</c:v>
                </c:pt>
                <c:pt idx="1">
                  <c:v>25-39</c:v>
                </c:pt>
                <c:pt idx="2">
                  <c:v>&gt;39</c:v>
                </c:pt>
              </c:strCache>
            </c:strRef>
          </c:cat>
          <c:val>
            <c:numRef>
              <c:f>Sheet1!$B$2:$B$4</c:f>
              <c:numCache>
                <c:formatCode>0.00%</c:formatCode>
                <c:ptCount val="3"/>
                <c:pt idx="0">
                  <c:v>0.223</c:v>
                </c:pt>
                <c:pt idx="1">
                  <c:v>0.60399999999999998</c:v>
                </c:pt>
                <c:pt idx="2">
                  <c:v>0.17299999999999999</c:v>
                </c:pt>
              </c:numCache>
            </c:numRef>
          </c:val>
          <c:extLst>
            <c:ext xmlns:c16="http://schemas.microsoft.com/office/drawing/2014/chart" uri="{C3380CC4-5D6E-409C-BE32-E72D297353CC}">
              <c16:uniqueId val="{00000006-A183-4D48-821B-9041EAD3D256}"/>
            </c:ext>
          </c:extLst>
        </c:ser>
        <c:dLbls>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6371673019230004"/>
          <c:y val="0.25441779454987501"/>
          <c:w val="0.13328997027424799"/>
          <c:h val="0.36915863627645601"/>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4498</Words>
  <Characters>25640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Yuansheng</dc:creator>
  <cp:lastModifiedBy>Hart YS LI</cp:lastModifiedBy>
  <cp:revision>4</cp:revision>
  <cp:lastPrinted>2023-02-25T03:38:00Z</cp:lastPrinted>
  <dcterms:created xsi:type="dcterms:W3CDTF">2023-02-25T03:04:00Z</dcterms:created>
  <dcterms:modified xsi:type="dcterms:W3CDTF">2023-02-25T03:38:00Z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y fmtid="{D5CDD505-2E9C-101B-9397-08002B2CF9AE}" pid="4" name="KSOProductBuildVer">
    <vt:lpwstr>2052-11.1.0.12970</vt:lpwstr>
  </property>
  <property fmtid="{D5CDD505-2E9C-101B-9397-08002B2CF9AE}" pid="5" name="ICV">
    <vt:lpwstr>4328DA6409B2452E8CB4B0BB95280142</vt:lpwstr>
  </property>
  <property fmtid="{D5CDD505-2E9C-101B-9397-08002B2CF9AE}" pid="6" name="BD_Revisions_Count">
    <vt:lpwstr>334</vt:lpwstr>
  </property>
  <property fmtid="{D5CDD505-2E9C-101B-9397-08002B2CF9AE}" pid="7" name="BD_IsTrackRevisions">
    <vt:lpwstr>1</vt:lpwstr>
  </property>
  <property fmtid="{D5CDD505-2E9C-101B-9397-08002B2CF9AE}" pid="8" name="BD_Word_FileSize">
    <vt:lpwstr>3766987</vt:lpwstr>
  </property>
  <property fmtid="{D5CDD505-2E9C-101B-9397-08002B2CF9AE}" pid="9" name="BD_Report_Pages">
    <vt:lpwstr>5</vt:lpwstr>
  </property>
  <property fmtid="{D5CDD505-2E9C-101B-9397-08002B2CF9AE}" pid="10" name="BD_Report_Characters">
    <vt:lpwstr>1313</vt:lpwstr>
  </property>
  <property fmtid="{D5CDD505-2E9C-101B-9397-08002B2CF9AE}" pid="11" name="BD_CompareCompanyModel">
    <vt:lpwstr/>
  </property>
  <property fmtid="{D5CDD505-2E9C-101B-9397-08002B2CF9AE}" pid="12" name="BD_WORD_Version">
    <vt:lpwstr>16.0.15726.20174</vt:lpwstr>
  </property>
  <property fmtid="{D5CDD505-2E9C-101B-9397-08002B2CF9AE}" pid="13" name="BD_Word_Protection_Status">
    <vt:lpwstr>0</vt:lpwstr>
  </property>
  <property fmtid="{D5CDD505-2E9C-101B-9397-08002B2CF9AE}" pid="14" name="BD_Word_Remind_Lock">
    <vt:lpwstr>0</vt:lpwstr>
  </property>
</Properties>
</file>