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562C" w14:textId="48720403" w:rsidR="000C72F5" w:rsidRPr="00B63E07" w:rsidRDefault="00CC64F4" w:rsidP="000C72F5">
      <w:pPr>
        <w:spacing w:line="360" w:lineRule="auto"/>
        <w:rPr>
          <w:b/>
          <w:bCs/>
          <w:color w:val="003300"/>
          <w:sz w:val="36"/>
          <w:szCs w:val="36"/>
        </w:rPr>
      </w:pPr>
      <w:r>
        <w:rPr>
          <w:noProof/>
        </w:rPr>
        <mc:AlternateContent>
          <mc:Choice Requires="wps">
            <w:drawing>
              <wp:anchor distT="0" distB="0" distL="114300" distR="114300" simplePos="0" relativeHeight="251659264" behindDoc="0" locked="0" layoutInCell="1" allowOverlap="1" wp14:anchorId="77443999" wp14:editId="0F6299A5">
                <wp:simplePos x="0" y="0"/>
                <wp:positionH relativeFrom="page">
                  <wp:posOffset>6123940</wp:posOffset>
                </wp:positionH>
                <wp:positionV relativeFrom="paragraph">
                  <wp:posOffset>0</wp:posOffset>
                </wp:positionV>
                <wp:extent cx="1428115" cy="80264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7443999" id="_x0000_t202" coordsize="21600,21600" o:spt="202" path="m,l,21600r21600,l21600,xe">
                <v:stroke joinstyle="miter"/>
                <v:path gradientshapeok="t" o:connecttype="rect"/>
              </v:shapetype>
              <v:shape id="Text Box 7" o:spid="_x0000_s1026" type="#_x0000_t202" style="position:absolute;margin-left:482.2pt;margin-top:0;width:112.45pt;height:6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" fillcolor="#e2f0d9" stroked="f">
                <v:fill opacity="12336f"/>
                <v:textbo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v:textbox>
                <w10:wrap type="square" anchorx="page"/>
              </v:shape>
            </w:pict>
          </mc:Fallback>
        </mc:AlternateContent>
      </w:r>
      <w:bookmarkStart w:id="0" w:name="_xj1moxk1l321" w:colFirst="0" w:colLast="0"/>
      <w:bookmarkEnd w:id="0"/>
      <w:r w:rsidR="00F979D3">
        <w:rPr>
          <w:b/>
          <w:bCs/>
          <w:color w:val="003300"/>
          <w:sz w:val="36"/>
          <w:szCs w:val="36"/>
        </w:rPr>
        <w:t>LVMH</w:t>
      </w:r>
      <w:r w:rsidR="004C5751">
        <w:rPr>
          <w:b/>
          <w:bCs/>
          <w:color w:val="003300"/>
          <w:sz w:val="36"/>
          <w:szCs w:val="36"/>
        </w:rPr>
        <w:t>’</w:t>
      </w:r>
      <w:r w:rsidR="00252C52" w:rsidRPr="00252C52">
        <w:rPr>
          <w:b/>
          <w:bCs/>
          <w:color w:val="003300"/>
          <w:sz w:val="36"/>
          <w:szCs w:val="36"/>
        </w:rPr>
        <w:t xml:space="preserve">s Bet on </w:t>
      </w:r>
      <w:r w:rsidR="00F979D3">
        <w:rPr>
          <w:b/>
          <w:bCs/>
          <w:color w:val="003300"/>
          <w:sz w:val="36"/>
          <w:szCs w:val="36"/>
        </w:rPr>
        <w:t xml:space="preserve">Asian </w:t>
      </w:r>
      <w:r w:rsidR="00252C52" w:rsidRPr="00252C52">
        <w:rPr>
          <w:b/>
          <w:bCs/>
          <w:color w:val="003300"/>
          <w:sz w:val="36"/>
          <w:szCs w:val="36"/>
        </w:rPr>
        <w:t>Luxury Elect</w:t>
      </w:r>
      <w:r w:rsidR="00252C52">
        <w:rPr>
          <w:b/>
          <w:bCs/>
          <w:color w:val="003300"/>
          <w:sz w:val="36"/>
          <w:szCs w:val="36"/>
        </w:rPr>
        <w:t>r</w:t>
      </w:r>
      <w:r w:rsidR="00252C52" w:rsidRPr="00252C52">
        <w:rPr>
          <w:b/>
          <w:bCs/>
          <w:color w:val="003300"/>
          <w:sz w:val="36"/>
          <w:szCs w:val="36"/>
        </w:rPr>
        <w:t>ic Cars</w:t>
      </w:r>
      <w:r w:rsidR="000C72F5" w:rsidRPr="00B63E07">
        <w:rPr>
          <w:b/>
          <w:bCs/>
          <w:color w:val="003300"/>
          <w:sz w:val="36"/>
          <w:szCs w:val="36"/>
        </w:rPr>
        <w:t xml:space="preserve"> </w:t>
      </w:r>
    </w:p>
    <w:p w14:paraId="6554B9F0" w14:textId="70FA50D2" w:rsidR="00995CC4" w:rsidRPr="00B63E07" w:rsidRDefault="000C72F5" w:rsidP="000C72F5">
      <w:pPr>
        <w:spacing w:line="360" w:lineRule="auto"/>
        <w:rPr>
          <w:b/>
          <w:bCs/>
          <w:color w:val="003300"/>
          <w:sz w:val="44"/>
          <w:szCs w:val="44"/>
        </w:rPr>
      </w:pPr>
      <w:r w:rsidRPr="00B63E07">
        <w:rPr>
          <w:rFonts w:eastAsiaTheme="majorEastAsia"/>
          <w:b/>
          <w:bCs/>
          <w:color w:val="003300"/>
          <w:sz w:val="36"/>
          <w:szCs w:val="36"/>
        </w:rPr>
        <w:t>——</w:t>
      </w:r>
      <w:bookmarkStart w:id="1" w:name="_Toc106268225"/>
      <w:r w:rsidR="00CC64F4">
        <w:rPr>
          <w:b/>
          <w:bCs/>
          <w:noProof/>
          <w:color w:val="003300"/>
          <w:sz w:val="36"/>
          <w:szCs w:val="36"/>
        </w:rPr>
        <mc:AlternateContent>
          <mc:Choice Requires="wps">
            <w:drawing>
              <wp:anchor distT="4294967294" distB="4294967294" distL="114300" distR="114300" simplePos="0" relativeHeight="251660288" behindDoc="0" locked="0" layoutInCell="1" allowOverlap="1" wp14:anchorId="54AD1A8B" wp14:editId="0FE02AE7">
                <wp:simplePos x="0" y="0"/>
                <wp:positionH relativeFrom="margin">
                  <wp:align>left</wp:align>
                </wp:positionH>
                <wp:positionV relativeFrom="paragraph">
                  <wp:posOffset>413384</wp:posOffset>
                </wp:positionV>
                <wp:extent cx="6638290" cy="0"/>
                <wp:effectExtent l="0" t="0" r="381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67DBF" id="Straight Connector 6" o:spid="_x0000_s1026" style="position:absolute;z-index:251660288;visibility:visible;mso-wrap-style:square;mso-width-percent:0;mso-height-percent:0;mso-wrap-distance-left:9pt;mso-wrap-distance-top:.Émm;mso-wrap-distance-right:9pt;mso-wrap-distance-bottom:.É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" strokecolor="#030" strokeweight=".5pt">
                <v:stroke joinstyle="miter"/>
                <o:lock v:ext="edit" shapetype="f"/>
                <w10:wrap anchorx="margin"/>
              </v:line>
            </w:pict>
          </mc:Fallback>
        </mc:AlternateContent>
      </w:r>
      <w:bookmarkEnd w:id="1"/>
      <w:r w:rsidR="00743ADE" w:rsidRPr="00743ADE">
        <w:rPr>
          <w:rFonts w:hint="eastAsia"/>
          <w:b/>
          <w:bCs/>
          <w:color w:val="003300"/>
          <w:sz w:val="36"/>
          <w:szCs w:val="36"/>
        </w:rPr>
        <w:t>LCAA</w:t>
      </w:r>
      <w:r w:rsidR="004C5751">
        <w:rPr>
          <w:b/>
          <w:bCs/>
          <w:color w:val="003300"/>
          <w:sz w:val="36"/>
          <w:szCs w:val="36"/>
        </w:rPr>
        <w:t>’</w:t>
      </w:r>
      <w:r w:rsidR="00743ADE">
        <w:rPr>
          <w:b/>
          <w:bCs/>
          <w:color w:val="003300"/>
          <w:sz w:val="36"/>
          <w:szCs w:val="36"/>
        </w:rPr>
        <w:t>s Acquisition of Lotus</w:t>
      </w:r>
    </w:p>
    <w:p w14:paraId="7E6E11DD" w14:textId="77777777" w:rsidR="00995CC4" w:rsidRDefault="000211E8" w:rsidP="004F0B04">
      <w:pPr>
        <w:pStyle w:val="IBSG"/>
      </w:pPr>
      <w:bookmarkStart w:id="2" w:name="_Toc131092052"/>
      <w:r w:rsidRPr="000C72F5">
        <w:t>Abstract</w:t>
      </w:r>
      <w:r>
        <w:t>:</w:t>
      </w:r>
      <w:bookmarkEnd w:id="2"/>
      <w:r>
        <w:tab/>
      </w:r>
    </w:p>
    <w:p w14:paraId="35A0A136" w14:textId="3CBC7006" w:rsidR="00995CC4" w:rsidRPr="004C5751" w:rsidRDefault="004C5751" w:rsidP="004C5751">
      <w:pPr>
        <w:spacing w:line="360" w:lineRule="auto"/>
        <w:jc w:val="both"/>
        <w:rPr>
          <w:rFonts w:eastAsiaTheme="minorEastAsia"/>
          <w:sz w:val="28"/>
          <w:szCs w:val="28"/>
        </w:rPr>
      </w:pPr>
      <w:r>
        <w:rPr>
          <w:rFonts w:eastAsiaTheme="minorEastAsia"/>
          <w:sz w:val="28"/>
          <w:szCs w:val="28"/>
        </w:rPr>
        <w:t xml:space="preserve">LVMH’s affiliated PE platform L </w:t>
      </w:r>
      <w:proofErr w:type="spellStart"/>
      <w:r>
        <w:rPr>
          <w:rFonts w:eastAsiaTheme="minorEastAsia"/>
          <w:sz w:val="28"/>
          <w:szCs w:val="28"/>
        </w:rPr>
        <w:t>Catteron</w:t>
      </w:r>
      <w:proofErr w:type="spellEnd"/>
      <w:r>
        <w:rPr>
          <w:rFonts w:eastAsiaTheme="minorEastAsia"/>
          <w:sz w:val="28"/>
          <w:szCs w:val="28"/>
        </w:rPr>
        <w:t xml:space="preserve"> announced the SPAC acquisition of Lotus Tech by L </w:t>
      </w:r>
      <w:proofErr w:type="spellStart"/>
      <w:r>
        <w:rPr>
          <w:rFonts w:eastAsiaTheme="minorEastAsia"/>
          <w:sz w:val="28"/>
          <w:szCs w:val="28"/>
        </w:rPr>
        <w:t>Catteron</w:t>
      </w:r>
      <w:proofErr w:type="spellEnd"/>
      <w:r>
        <w:rPr>
          <w:rFonts w:eastAsiaTheme="minorEastAsia"/>
          <w:sz w:val="28"/>
          <w:szCs w:val="28"/>
        </w:rPr>
        <w:t xml:space="preserve"> Asia Acquisition Corp. (LCAA). As a luxury EV manufacturer with solid global distribution and getting strong support from Geely, its parent company, Lotus is entering the capital market at a high valuation. We did a comprehensive analysis of the perspective of Lotus and conducted the valuation practices for both Lotus Tech and LCAA. Our De-SPAC model shows a big concern about the deal rooted in the aggressive revenue growth forecast by L Catterton</w:t>
      </w:r>
      <w:r w:rsidR="00A95FE7">
        <w:rPr>
          <w:rFonts w:eastAsiaTheme="minorEastAsia"/>
          <w:sz w:val="28"/>
          <w:szCs w:val="28"/>
        </w:rPr>
        <w:t>, which may be related their belief in the platform of Geely</w:t>
      </w:r>
      <w:r>
        <w:rPr>
          <w:rFonts w:eastAsiaTheme="minorEastAsia"/>
          <w:sz w:val="28"/>
          <w:szCs w:val="28"/>
        </w:rPr>
        <w:t>.</w:t>
      </w:r>
    </w:p>
    <w:p w14:paraId="6E5557AD" w14:textId="77777777" w:rsidR="00995CC4" w:rsidRPr="000740A7" w:rsidRDefault="000211E8" w:rsidP="000C72F5">
      <w:pPr>
        <w:tabs>
          <w:tab w:val="left" w:pos="2556"/>
        </w:tabs>
        <w:spacing w:line="360" w:lineRule="auto"/>
        <w:rPr>
          <w:color w:val="003300"/>
          <w:sz w:val="44"/>
          <w:szCs w:val="44"/>
        </w:rPr>
      </w:pPr>
      <w: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HK"/>
        </w:rPr>
      </w:sdtEndPr>
      <w:sdtContent>
        <w:p w14:paraId="5B11777D" w14:textId="77777777" w:rsidR="00995CC4" w:rsidRPr="005953C7" w:rsidRDefault="000211E8" w:rsidP="005953C7">
          <w:pPr>
            <w:pStyle w:val="TOC1"/>
            <w:rPr>
              <w:rFonts w:ascii="Times New Roman" w:hAnsi="Times New Roman" w:cs="Times New Roman"/>
              <w:b/>
              <w:color w:val="003300"/>
              <w:kern w:val="2"/>
              <w:sz w:val="36"/>
              <w:szCs w:val="36"/>
            </w:rPr>
          </w:pPr>
          <w:r w:rsidRPr="005953C7">
            <w:rPr>
              <w:rFonts w:ascii="Times New Roman" w:hAnsi="Times New Roman" w:cs="Times New Roman"/>
              <w:b/>
              <w:color w:val="003300"/>
              <w:kern w:val="2"/>
              <w:sz w:val="36"/>
              <w:szCs w:val="36"/>
            </w:rPr>
            <w:t>Content:</w:t>
          </w:r>
        </w:p>
        <w:p w14:paraId="4821E920" w14:textId="77777777" w:rsidR="00995CC4" w:rsidRPr="005953C7" w:rsidRDefault="00995CC4" w:rsidP="005953C7">
          <w:pPr>
            <w:spacing w:line="360" w:lineRule="auto"/>
            <w:rPr>
              <w:rFonts w:eastAsiaTheme="minorEastAsia"/>
              <w:color w:val="000000" w:themeColor="text1"/>
              <w:szCs w:val="22"/>
            </w:rPr>
          </w:pPr>
        </w:p>
        <w:p w14:paraId="1275582B" w14:textId="6590EFE4" w:rsidR="005953C7" w:rsidRPr="005953C7" w:rsidRDefault="000211E8" w:rsidP="005953C7">
          <w:pPr>
            <w:pStyle w:val="TOC1"/>
            <w:rPr>
              <w:rFonts w:ascii="Times New Roman" w:eastAsiaTheme="minorEastAsia" w:hAnsi="Times New Roman" w:cs="Times New Roman"/>
              <w:noProof/>
              <w:kern w:val="2"/>
              <w:sz w:val="21"/>
              <w:szCs w:val="22"/>
            </w:rPr>
          </w:pPr>
          <w:r w:rsidRPr="005953C7">
            <w:rPr>
              <w:rFonts w:ascii="Times New Roman" w:hAnsi="Times New Roman" w:cs="Times New Roman"/>
              <w:sz w:val="28"/>
              <w:szCs w:val="28"/>
            </w:rPr>
            <w:fldChar w:fldCharType="begin"/>
          </w:r>
          <w:r w:rsidRPr="005953C7">
            <w:rPr>
              <w:rFonts w:ascii="Times New Roman" w:hAnsi="Times New Roman" w:cs="Times New Roman"/>
              <w:sz w:val="28"/>
              <w:szCs w:val="28"/>
            </w:rPr>
            <w:instrText xml:space="preserve"> TOC \o "1-3" \h \z \u </w:instrText>
          </w:r>
          <w:r w:rsidRPr="005953C7">
            <w:rPr>
              <w:rFonts w:ascii="Times New Roman" w:hAnsi="Times New Roman" w:cs="Times New Roman"/>
              <w:sz w:val="28"/>
              <w:szCs w:val="28"/>
            </w:rPr>
            <w:fldChar w:fldCharType="separate"/>
          </w:r>
          <w:hyperlink w:anchor="_Toc131092052" w:history="1">
            <w:r w:rsidR="005953C7" w:rsidRPr="005953C7">
              <w:rPr>
                <w:rStyle w:val="Hyperlink"/>
                <w:rFonts w:ascii="Times New Roman" w:hAnsi="Times New Roman" w:cs="Times New Roman"/>
                <w:noProof/>
              </w:rPr>
              <w:t>Abstract: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w:t>
            </w:r>
            <w:r w:rsidR="005953C7" w:rsidRPr="005953C7">
              <w:rPr>
                <w:rFonts w:ascii="Times New Roman" w:hAnsi="Times New Roman" w:cs="Times New Roman"/>
                <w:noProof/>
                <w:webHidden/>
              </w:rPr>
              <w:fldChar w:fldCharType="end"/>
            </w:r>
          </w:hyperlink>
        </w:p>
        <w:p w14:paraId="3AC43633" w14:textId="7566369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3" w:history="1">
            <w:r w:rsidR="005953C7" w:rsidRPr="005953C7">
              <w:rPr>
                <w:rStyle w:val="Hyperlink"/>
                <w:rFonts w:ascii="Times New Roman" w:hAnsi="Times New Roman" w:cs="Times New Roman"/>
                <w:noProof/>
              </w:rPr>
              <w:t>1. Introduction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4</w:t>
            </w:r>
            <w:r w:rsidR="005953C7" w:rsidRPr="005953C7">
              <w:rPr>
                <w:rFonts w:ascii="Times New Roman" w:hAnsi="Times New Roman" w:cs="Times New Roman"/>
                <w:noProof/>
                <w:webHidden/>
              </w:rPr>
              <w:fldChar w:fldCharType="end"/>
            </w:r>
          </w:hyperlink>
        </w:p>
        <w:p w14:paraId="14600E6F" w14:textId="0F89352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4" w:history="1">
            <w:r w:rsidR="005953C7" w:rsidRPr="005953C7">
              <w:rPr>
                <w:rStyle w:val="Hyperlink"/>
                <w:rFonts w:ascii="Times New Roman" w:hAnsi="Times New Roman" w:cs="Times New Roman"/>
                <w:noProof/>
              </w:rPr>
              <w:t>2.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44166BE0" w14:textId="3BF94D5F"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55" w:history="1">
            <w:r w:rsidR="005953C7" w:rsidRPr="005953C7">
              <w:rPr>
                <w:rStyle w:val="Hyperlink"/>
                <w:rFonts w:ascii="Times New Roman" w:hAnsi="Times New Roman" w:cs="Times New Roman"/>
                <w:noProof/>
              </w:rPr>
              <w:t>2.1 Sales Volume Forecast for Luxury Electric Vehicle Market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B354904" w14:textId="438BA473"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6" w:history="1">
            <w:r w:rsidR="005953C7" w:rsidRPr="005953C7">
              <w:rPr>
                <w:rStyle w:val="Hyperlink"/>
                <w:rFonts w:ascii="Times New Roman" w:hAnsi="Times New Roman" w:cs="Times New Roman"/>
                <w:noProof/>
              </w:rPr>
              <w:t>2.1.1 Global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363EF3B9" w14:textId="4C234979"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7" w:history="1">
            <w:r w:rsidR="005953C7" w:rsidRPr="005953C7">
              <w:rPr>
                <w:rStyle w:val="Hyperlink"/>
                <w:rFonts w:ascii="Times New Roman" w:hAnsi="Times New Roman" w:cs="Times New Roman"/>
                <w:noProof/>
              </w:rPr>
              <w:t>2.1.2 China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818CECF" w14:textId="3A6FD39A"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8" w:history="1">
            <w:r w:rsidR="005953C7" w:rsidRPr="005953C7">
              <w:rPr>
                <w:rStyle w:val="Hyperlink"/>
                <w:rFonts w:ascii="Times New Roman" w:hAnsi="Times New Roman" w:cs="Times New Roman"/>
                <w:noProof/>
              </w:rPr>
              <w:t>2.1.3 US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5AC2A36E" w14:textId="585A6216"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9" w:history="1">
            <w:r w:rsidR="005953C7" w:rsidRPr="005953C7">
              <w:rPr>
                <w:rStyle w:val="Hyperlink"/>
                <w:rFonts w:ascii="Times New Roman" w:hAnsi="Times New Roman" w:cs="Times New Roman"/>
                <w:noProof/>
              </w:rPr>
              <w:t>2.1.4 EU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780490B1" w14:textId="2A8AF644"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0" w:history="1">
            <w:r w:rsidR="005953C7" w:rsidRPr="005953C7">
              <w:rPr>
                <w:rStyle w:val="Hyperlink"/>
                <w:rFonts w:ascii="Times New Roman" w:hAnsi="Times New Roman" w:cs="Times New Roman"/>
                <w:noProof/>
              </w:rPr>
              <w:t>2.1.5 UK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22FDF6B" w14:textId="74853758"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1" w:history="1">
            <w:r w:rsidR="005953C7" w:rsidRPr="005953C7">
              <w:rPr>
                <w:rStyle w:val="Hyperlink"/>
                <w:rFonts w:ascii="Times New Roman" w:hAnsi="Times New Roman" w:cs="Times New Roman"/>
                <w:noProof/>
              </w:rPr>
              <w:t>2.1.6 China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19AF54B" w14:textId="0D61A49E"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2" w:history="1">
            <w:r w:rsidR="005953C7" w:rsidRPr="005953C7">
              <w:rPr>
                <w:rStyle w:val="Hyperlink"/>
                <w:rFonts w:ascii="Times New Roman" w:hAnsi="Times New Roman" w:cs="Times New Roman"/>
                <w:noProof/>
              </w:rPr>
              <w:t>2.1.7 Global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10C12DE4" w14:textId="4CC2836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3" w:history="1">
            <w:r w:rsidR="005953C7" w:rsidRPr="005953C7">
              <w:rPr>
                <w:rStyle w:val="Hyperlink"/>
                <w:rFonts w:ascii="Times New Roman" w:hAnsi="Times New Roman" w:cs="Times New Roman"/>
                <w:noProof/>
              </w:rPr>
              <w:t>2.1.6 Key Assumptions of Growth rate by region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5E0A5007" w14:textId="7709EFE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4" w:history="1">
            <w:r w:rsidR="005953C7" w:rsidRPr="005953C7">
              <w:rPr>
                <w:rStyle w:val="Hyperlink"/>
                <w:rFonts w:ascii="Times New Roman" w:hAnsi="Times New Roman" w:cs="Times New Roman"/>
                <w:noProof/>
              </w:rPr>
              <w:t>2.2 Competitiveness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4CAD1254" w14:textId="1E881365"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5" w:history="1">
            <w:r w:rsidR="005953C7" w:rsidRPr="005953C7">
              <w:rPr>
                <w:rStyle w:val="Hyperlink"/>
                <w:rFonts w:ascii="Times New Roman" w:hAnsi="Times New Roman" w:cs="Times New Roman"/>
                <w:noProof/>
              </w:rPr>
              <w:t>2.2.1 Technological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26A50F09" w14:textId="3ED1E51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6" w:history="1">
            <w:r w:rsidR="005953C7" w:rsidRPr="005953C7">
              <w:rPr>
                <w:rStyle w:val="Hyperlink"/>
                <w:rFonts w:ascii="Times New Roman" w:hAnsi="Times New Roman" w:cs="Times New Roman"/>
                <w:noProof/>
              </w:rPr>
              <w:t>2.2.2 Sales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12</w:t>
            </w:r>
            <w:r w:rsidR="005953C7" w:rsidRPr="005953C7">
              <w:rPr>
                <w:rFonts w:ascii="Times New Roman" w:hAnsi="Times New Roman" w:cs="Times New Roman"/>
                <w:noProof/>
                <w:webHidden/>
              </w:rPr>
              <w:fldChar w:fldCharType="end"/>
            </w:r>
          </w:hyperlink>
        </w:p>
        <w:p w14:paraId="253EA30A" w14:textId="52A610C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7" w:history="1">
            <w:r w:rsidR="005953C7" w:rsidRPr="005953C7">
              <w:rPr>
                <w:rStyle w:val="Hyperlink"/>
                <w:rFonts w:ascii="Times New Roman" w:hAnsi="Times New Roman" w:cs="Times New Roman"/>
                <w:noProof/>
              </w:rPr>
              <w:t>2.3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6F017725" w14:textId="545C8998"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8" w:history="1">
            <w:r w:rsidR="005953C7" w:rsidRPr="005953C7">
              <w:rPr>
                <w:rStyle w:val="Hyperlink"/>
                <w:rFonts w:ascii="Times New Roman" w:hAnsi="Times New Roman" w:cs="Times New Roman"/>
                <w:noProof/>
              </w:rPr>
              <w:t>3. Valuation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2644AF58" w14:textId="290F2648"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9" w:history="1">
            <w:r w:rsidR="005953C7" w:rsidRPr="005953C7">
              <w:rPr>
                <w:rStyle w:val="Hyperlink"/>
                <w:rFonts w:ascii="Times New Roman" w:hAnsi="Times New Roman" w:cs="Times New Roman"/>
                <w:noProof/>
              </w:rPr>
              <w:t>3.1 Selecting the Multiple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340781D6" w14:textId="6938DFC1"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0" w:history="1">
            <w:r w:rsidR="005953C7" w:rsidRPr="005953C7">
              <w:rPr>
                <w:rStyle w:val="Hyperlink"/>
                <w:rFonts w:ascii="Times New Roman" w:hAnsi="Times New Roman" w:cs="Times New Roman"/>
                <w:noProof/>
              </w:rPr>
              <w:t>3.2 Comparables and Target Range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1F0CB16E" w14:textId="29D1D8F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1" w:history="1">
            <w:r w:rsidR="005953C7" w:rsidRPr="005953C7">
              <w:rPr>
                <w:rStyle w:val="Hyperlink"/>
                <w:rFonts w:ascii="Times New Roman" w:hAnsi="Times New Roman" w:cs="Times New Roman"/>
                <w:noProof/>
              </w:rPr>
              <w:t>4. De-Spac</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44FF95C3" w14:textId="27AAB802"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2" w:history="1">
            <w:r w:rsidR="005953C7" w:rsidRPr="005953C7">
              <w:rPr>
                <w:rStyle w:val="Hyperlink"/>
                <w:rFonts w:ascii="Times New Roman" w:hAnsi="Times New Roman" w:cs="Times New Roman"/>
                <w:noProof/>
              </w:rPr>
              <w:t>4.1 Cash and Valuation Metrics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1C213AA6" w14:textId="68B54F03"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3" w:history="1">
            <w:r w:rsidR="005953C7" w:rsidRPr="005953C7">
              <w:rPr>
                <w:rStyle w:val="Hyperlink"/>
                <w:rFonts w:ascii="Times New Roman" w:hAnsi="Times New Roman" w:cs="Times New Roman"/>
                <w:noProof/>
              </w:rPr>
              <w:t>4.2 Ownership</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15</w:t>
            </w:r>
            <w:r w:rsidR="005953C7" w:rsidRPr="005953C7">
              <w:rPr>
                <w:rFonts w:ascii="Times New Roman" w:hAnsi="Times New Roman" w:cs="Times New Roman"/>
                <w:noProof/>
                <w:webHidden/>
              </w:rPr>
              <w:fldChar w:fldCharType="end"/>
            </w:r>
          </w:hyperlink>
        </w:p>
        <w:p w14:paraId="41D3BFDB" w14:textId="6A517F9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4" w:history="1">
            <w:r w:rsidR="005953C7" w:rsidRPr="005953C7">
              <w:rPr>
                <w:rStyle w:val="Hyperlink"/>
                <w:rFonts w:ascii="Times New Roman" w:hAnsi="Times New Roman" w:cs="Times New Roman"/>
                <w:noProof/>
              </w:rPr>
              <w:t>4.3 LCAA’s Profit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73740E52" w14:textId="6634019B"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5" w:history="1">
            <w:r w:rsidR="005953C7" w:rsidRPr="005953C7">
              <w:rPr>
                <w:rStyle w:val="Hyperlink"/>
                <w:rFonts w:ascii="Times New Roman" w:hAnsi="Times New Roman" w:cs="Times New Roman"/>
                <w:noProof/>
              </w:rPr>
              <w:t>5. Conclusion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465650DB" w14:textId="70ECDD6C"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6" w:history="1">
            <w:r w:rsidR="005953C7" w:rsidRPr="005953C7">
              <w:rPr>
                <w:rStyle w:val="Hyperlink"/>
                <w:rFonts w:ascii="Times New Roman" w:hAnsi="Times New Roman" w:cs="Times New Roman"/>
                <w:noProof/>
              </w:rPr>
              <w:t>6. Risk</w:t>
            </w:r>
            <w:r w:rsidR="00CA28F6">
              <w:rPr>
                <w:rStyle w:val="Hyperlink"/>
                <w:rFonts w:ascii="Times New Roman" w:hAnsi="Times New Roman" w:cs="Times New Roman"/>
                <w:noProof/>
              </w:rPr>
              <w:t>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7868BF24" w14:textId="141BB7FB"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7" w:history="1">
            <w:r w:rsidR="005953C7" w:rsidRPr="005953C7">
              <w:rPr>
                <w:rStyle w:val="Hyperlink"/>
                <w:rFonts w:ascii="Times New Roman" w:hAnsi="Times New Roman" w:cs="Times New Roman"/>
                <w:noProof/>
              </w:rPr>
              <w:t>6.1 Exchange Rate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579C342" w14:textId="2E62377D"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8" w:history="1">
            <w:r w:rsidR="005953C7" w:rsidRPr="005953C7">
              <w:rPr>
                <w:rStyle w:val="Hyperlink"/>
                <w:rFonts w:ascii="Times New Roman" w:hAnsi="Times New Roman" w:cs="Times New Roman"/>
                <w:noProof/>
              </w:rPr>
              <w:t>6.2 China Luxury Electric Vehicle Market Size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0B44AC7F" w14:textId="6DAEDF6E"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9" w:history="1">
            <w:r w:rsidR="005953C7" w:rsidRPr="005953C7">
              <w:rPr>
                <w:rStyle w:val="Hyperlink"/>
                <w:rFonts w:ascii="Times New Roman" w:hAnsi="Times New Roman" w:cs="Times New Roman"/>
                <w:noProof/>
              </w:rPr>
              <w:t>6.3 Market Share of Lotus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49A3EBB" w14:textId="1C51DDC6"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0" w:history="1">
            <w:r w:rsidR="005953C7" w:rsidRPr="005953C7">
              <w:rPr>
                <w:rStyle w:val="Hyperlink"/>
                <w:rFonts w:ascii="Times New Roman" w:hAnsi="Times New Roman" w:cs="Times New Roman"/>
                <w:noProof/>
              </w:rPr>
              <w:t>6.4 Logistical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0C65676D" w14:textId="3AF555E4"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1" w:history="1">
            <w:r w:rsidR="005953C7" w:rsidRPr="005953C7">
              <w:rPr>
                <w:rStyle w:val="Hyperlink"/>
                <w:rFonts w:ascii="Times New Roman" w:hAnsi="Times New Roman" w:cs="Times New Roman"/>
                <w:noProof/>
              </w:rPr>
              <w:t>6.5 Fund Acquisition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6C4E4520" w14:textId="293D6BC2" w:rsidR="00995CC4" w:rsidRDefault="000211E8" w:rsidP="005953C7">
          <w:pPr>
            <w:spacing w:line="360" w:lineRule="auto"/>
            <w:rPr>
              <w:sz w:val="28"/>
            </w:rPr>
          </w:pPr>
          <w:r w:rsidRPr="005953C7">
            <w:rPr>
              <w:sz w:val="28"/>
            </w:rPr>
            <w:fldChar w:fldCharType="end"/>
          </w:r>
        </w:p>
      </w:sdtContent>
    </w:sdt>
    <w:p w14:paraId="11BEC18F" w14:textId="77777777" w:rsidR="00995CC4" w:rsidRDefault="000211E8">
      <w:pPr>
        <w:spacing w:line="360" w:lineRule="auto"/>
        <w:rPr>
          <w:color w:val="003300"/>
          <w:sz w:val="44"/>
          <w:szCs w:val="44"/>
        </w:rPr>
      </w:pPr>
      <w:r>
        <w:rPr>
          <w:color w:val="003300"/>
          <w:sz w:val="44"/>
          <w:szCs w:val="44"/>
        </w:rPr>
        <w:br w:type="page"/>
      </w:r>
    </w:p>
    <w:p w14:paraId="5E143D60" w14:textId="77777777" w:rsidR="00DD20D9" w:rsidRDefault="00BC5053" w:rsidP="004F0B04">
      <w:pPr>
        <w:pStyle w:val="Heading1"/>
      </w:pPr>
      <w:bookmarkStart w:id="3" w:name="_Toc131092053"/>
      <w:r>
        <w:lastRenderedPageBreak/>
        <w:t xml:space="preserve">1. </w:t>
      </w:r>
      <w:r w:rsidR="00DD20D9">
        <w:rPr>
          <w:rFonts w:hint="eastAsia"/>
        </w:rPr>
        <w:t>Introduction</w:t>
      </w:r>
      <w:bookmarkEnd w:id="3"/>
    </w:p>
    <w:p w14:paraId="49836F14" w14:textId="77777777" w:rsidR="003E5AF6" w:rsidRDefault="00F01977" w:rsidP="003E5AF6">
      <w:pPr>
        <w:autoSpaceDE w:val="0"/>
        <w:autoSpaceDN w:val="0"/>
        <w:adjustRightInd w:val="0"/>
        <w:spacing w:line="360" w:lineRule="auto"/>
        <w:jc w:val="both"/>
        <w:rPr>
          <w:color w:val="000000"/>
        </w:rPr>
      </w:pPr>
      <w:r>
        <w:rPr>
          <w:rFonts w:eastAsiaTheme="minorEastAsia"/>
          <w:color w:val="000000"/>
        </w:rPr>
        <w:t>O</w:t>
      </w:r>
      <w:r w:rsidR="003E5AF6">
        <w:rPr>
          <w:rFonts w:eastAsiaTheme="minorEastAsia"/>
          <w:color w:val="000000"/>
        </w:rPr>
        <w:t xml:space="preserve">n Jan 31, 2023, </w:t>
      </w:r>
      <w:r w:rsidR="003E5AF6">
        <w:rPr>
          <w:color w:val="000000"/>
        </w:rPr>
        <w:t xml:space="preserve">L Catterton Asia Acquisition Corp (LCAA) announced its acquisition of </w:t>
      </w:r>
      <w:r w:rsidR="003E5AF6" w:rsidRPr="003E5AF6">
        <w:rPr>
          <w:rFonts w:hint="eastAsia"/>
          <w:color w:val="000000"/>
        </w:rPr>
        <w:t>Lotu</w:t>
      </w:r>
      <w:r w:rsidR="003E5AF6">
        <w:rPr>
          <w:color w:val="000000"/>
        </w:rPr>
        <w:t>s,</w:t>
      </w:r>
      <w:r>
        <w:rPr>
          <w:color w:val="000000"/>
        </w:rPr>
        <w:t xml:space="preserve"> </w:t>
      </w:r>
      <w:r w:rsidR="003E5AF6">
        <w:rPr>
          <w:color w:val="000000"/>
        </w:rPr>
        <w:t>a subsidiary of Chinese automaker Geely</w:t>
      </w:r>
      <w:r>
        <w:rPr>
          <w:color w:val="000000"/>
        </w:rPr>
        <w:t>,</w:t>
      </w:r>
      <w:r w:rsidR="003E5AF6">
        <w:rPr>
          <w:color w:val="000000"/>
        </w:rPr>
        <w:t xml:space="preserve"> focusing on the high-end EV market. As a SPAC backed by </w:t>
      </w:r>
      <w:r w:rsidR="00F979D3">
        <w:rPr>
          <w:color w:val="000000"/>
        </w:rPr>
        <w:t>L Catterton, a consumer-focused PE enjoying a special relationship with LVMH, it is a special deal for them to bet on the EV industry.</w:t>
      </w:r>
    </w:p>
    <w:p w14:paraId="52493EFC" w14:textId="000E580B" w:rsidR="00F979D3" w:rsidRPr="00F979D3" w:rsidRDefault="00F979D3" w:rsidP="00F979D3">
      <w:pPr>
        <w:pStyle w:val="Caption"/>
        <w:keepNext/>
        <w:spacing w:line="360" w:lineRule="auto"/>
        <w:jc w:val="center"/>
        <w:rPr>
          <w:rFonts w:ascii="Times New Roman" w:hAnsi="Times New Roman" w:cs="Times New Roman"/>
          <w:i/>
          <w:iCs/>
          <w:sz w:val="21"/>
          <w:szCs w:val="21"/>
        </w:rPr>
      </w:pPr>
      <w:r w:rsidRPr="00F979D3">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w:t>
      </w:r>
      <w:r w:rsidR="00D06E84">
        <w:rPr>
          <w:rFonts w:ascii="Times New Roman" w:hAnsi="Times New Roman" w:cs="Times New Roman"/>
          <w:i/>
          <w:iCs/>
          <w:sz w:val="21"/>
          <w:szCs w:val="21"/>
        </w:rPr>
        <w:fldChar w:fldCharType="end"/>
      </w:r>
      <w:r w:rsidRPr="00F979D3">
        <w:rPr>
          <w:rFonts w:ascii="Times New Roman" w:hAnsi="Times New Roman" w:cs="Times New Roman"/>
          <w:i/>
          <w:iCs/>
          <w:sz w:val="21"/>
          <w:szCs w:val="21"/>
        </w:rPr>
        <w:t>: L Catterton Asian Portfolio</w:t>
      </w:r>
    </w:p>
    <w:p w14:paraId="5F0238E4" w14:textId="77777777" w:rsidR="00F979D3" w:rsidRPr="003E5AF6" w:rsidRDefault="00F979D3" w:rsidP="00F979D3">
      <w:pPr>
        <w:autoSpaceDE w:val="0"/>
        <w:autoSpaceDN w:val="0"/>
        <w:adjustRightInd w:val="0"/>
        <w:spacing w:line="360" w:lineRule="auto"/>
        <w:jc w:val="center"/>
        <w:rPr>
          <w:rFonts w:eastAsiaTheme="minorEastAsia"/>
          <w:color w:val="000000"/>
        </w:rPr>
      </w:pPr>
      <w:r w:rsidRPr="00F979D3">
        <w:rPr>
          <w:rFonts w:eastAsiaTheme="minorEastAsia"/>
          <w:noProof/>
          <w:color w:val="000000"/>
        </w:rPr>
        <w:drawing>
          <wp:inline distT="0" distB="0" distL="0" distR="0" wp14:anchorId="25DAA2AE" wp14:editId="4F9FC0FB">
            <wp:extent cx="5575587" cy="3587934"/>
            <wp:effectExtent l="0" t="0" r="635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575587" cy="3587934"/>
                    </a:xfrm>
                    <a:prstGeom prst="rect">
                      <a:avLst/>
                    </a:prstGeom>
                  </pic:spPr>
                </pic:pic>
              </a:graphicData>
            </a:graphic>
          </wp:inline>
        </w:drawing>
      </w:r>
    </w:p>
    <w:p w14:paraId="734D5984" w14:textId="77777777" w:rsidR="000F4398" w:rsidRPr="000F4398" w:rsidRDefault="00F979D3" w:rsidP="000F4398">
      <w:pPr>
        <w:spacing w:line="360" w:lineRule="auto"/>
        <w:rPr>
          <w:rFonts w:eastAsiaTheme="minorEastAsia"/>
        </w:rPr>
      </w:pPr>
      <w:r w:rsidRPr="00B63E07">
        <w:rPr>
          <w:i/>
          <w:iCs/>
          <w:sz w:val="21"/>
          <w:szCs w:val="21"/>
        </w:rPr>
        <w:t>Source</w:t>
      </w:r>
      <w:r w:rsidRPr="00B63E07">
        <w:rPr>
          <w:rFonts w:ascii="宋体" w:eastAsia="宋体" w:hAnsi="宋体" w:cs="宋体" w:hint="eastAsia"/>
          <w:i/>
          <w:iCs/>
          <w:sz w:val="21"/>
          <w:szCs w:val="21"/>
        </w:rPr>
        <w:t>：</w:t>
      </w:r>
      <w:r>
        <w:rPr>
          <w:i/>
          <w:iCs/>
          <w:sz w:val="21"/>
          <w:szCs w:val="21"/>
        </w:rPr>
        <w:t>L Catterton Website</w:t>
      </w:r>
    </w:p>
    <w:p w14:paraId="79702339" w14:textId="05AE369B" w:rsidR="003E5AF6" w:rsidRPr="000F4398" w:rsidRDefault="00F979D3" w:rsidP="003E5AF6">
      <w:pPr>
        <w:autoSpaceDE w:val="0"/>
        <w:autoSpaceDN w:val="0"/>
        <w:adjustRightInd w:val="0"/>
        <w:spacing w:line="360" w:lineRule="auto"/>
        <w:jc w:val="both"/>
        <w:rPr>
          <w:rFonts w:eastAsiaTheme="minorEastAsia"/>
          <w:color w:val="000000"/>
        </w:rPr>
      </w:pPr>
      <w:r>
        <w:rPr>
          <w:rFonts w:eastAsiaTheme="minorEastAsia" w:hint="eastAsia"/>
          <w:color w:val="000000"/>
        </w:rPr>
        <w:t>G</w:t>
      </w:r>
      <w:r>
        <w:rPr>
          <w:rFonts w:eastAsiaTheme="minorEastAsia"/>
          <w:color w:val="000000"/>
        </w:rPr>
        <w:t>eely t</w:t>
      </w:r>
      <w:r w:rsidR="000F4398">
        <w:rPr>
          <w:rFonts w:eastAsiaTheme="minorEastAsia"/>
          <w:color w:val="000000"/>
        </w:rPr>
        <w:t>ake</w:t>
      </w:r>
      <w:r>
        <w:rPr>
          <w:rFonts w:eastAsiaTheme="minorEastAsia"/>
          <w:color w:val="000000"/>
        </w:rPr>
        <w:t>over the Lotus from</w:t>
      </w:r>
      <w:r w:rsidRPr="00F979D3">
        <w:rPr>
          <w:color w:val="000000"/>
        </w:rPr>
        <w:t xml:space="preserve"> </w:t>
      </w:r>
      <w:r>
        <w:rPr>
          <w:color w:val="000000"/>
        </w:rPr>
        <w:t>Malaysia</w:t>
      </w:r>
      <w:r w:rsidR="004C5751">
        <w:rPr>
          <w:color w:val="000000"/>
        </w:rPr>
        <w:t>’</w:t>
      </w:r>
      <w:r>
        <w:rPr>
          <w:color w:val="000000"/>
        </w:rPr>
        <w:t xml:space="preserve">s Proton in 2017. </w:t>
      </w:r>
      <w:r w:rsidR="000F4398">
        <w:rPr>
          <w:rFonts w:eastAsiaTheme="minorEastAsia" w:hint="eastAsia"/>
          <w:color w:val="000000"/>
        </w:rPr>
        <w:t>After</w:t>
      </w:r>
      <w:r w:rsidR="000F4398">
        <w:rPr>
          <w:rFonts w:eastAsiaTheme="minorEastAsia"/>
          <w:color w:val="000000"/>
        </w:rPr>
        <w:t xml:space="preserve"> </w:t>
      </w:r>
      <w:r w:rsidR="000F4398">
        <w:rPr>
          <w:rFonts w:eastAsiaTheme="minorEastAsia" w:hint="eastAsia"/>
          <w:color w:val="000000"/>
        </w:rPr>
        <w:t>that</w:t>
      </w:r>
      <w:r w:rsidR="00F01977">
        <w:rPr>
          <w:rFonts w:eastAsiaTheme="minorEastAsia"/>
          <w:color w:val="000000"/>
        </w:rPr>
        <w:t>, Geely invested 3 billion pounds in revamping the British brand by</w:t>
      </w:r>
      <w:r w:rsidR="003E5AF6">
        <w:rPr>
          <w:color w:val="000000"/>
        </w:rPr>
        <w:t xml:space="preserve"> opening factories and launching new models. The most recently constructed factory in Wuhan, which can produce 150,000 vehicles a year, will facilitate the manufacture of Lotus</w:t>
      </w:r>
      <w:r w:rsidR="004C5751">
        <w:rPr>
          <w:color w:val="000000"/>
        </w:rPr>
        <w:t>’</w:t>
      </w:r>
      <w:r w:rsidR="003E5AF6">
        <w:rPr>
          <w:color w:val="000000"/>
        </w:rPr>
        <w:t xml:space="preserve"> first models. </w:t>
      </w:r>
      <w:r w:rsidR="000F4398">
        <w:rPr>
          <w:color w:val="000000"/>
        </w:rPr>
        <w:t>Wuhan</w:t>
      </w:r>
      <w:r w:rsidR="004C5751">
        <w:rPr>
          <w:color w:val="000000"/>
        </w:rPr>
        <w:t>’</w:t>
      </w:r>
      <w:r w:rsidR="000F4398">
        <w:rPr>
          <w:color w:val="000000"/>
        </w:rPr>
        <w:t>s government fund also hold</w:t>
      </w:r>
      <w:r w:rsidR="00F01977">
        <w:rPr>
          <w:color w:val="000000"/>
        </w:rPr>
        <w:t>s</w:t>
      </w:r>
      <w:r w:rsidR="000F4398">
        <w:rPr>
          <w:color w:val="000000"/>
        </w:rPr>
        <w:t xml:space="preserve"> convertible bonds</w:t>
      </w:r>
      <w:r w:rsidR="00F01977">
        <w:rPr>
          <w:color w:val="000000"/>
        </w:rPr>
        <w:t>,</w:t>
      </w:r>
      <w:r w:rsidR="000F4398">
        <w:rPr>
          <w:color w:val="000000"/>
        </w:rPr>
        <w:t xml:space="preserve"> the Lotus</w:t>
      </w:r>
      <w:r w:rsidR="00F01977">
        <w:rPr>
          <w:color w:val="000000"/>
        </w:rPr>
        <w:t>,</w:t>
      </w:r>
      <w:r w:rsidR="000F4398">
        <w:rPr>
          <w:color w:val="000000"/>
        </w:rPr>
        <w:t xml:space="preserve"> to </w:t>
      </w:r>
      <w:r w:rsidR="00F01977">
        <w:rPr>
          <w:color w:val="000000"/>
        </w:rPr>
        <w:t>promo</w:t>
      </w:r>
      <w:r w:rsidR="000F4398">
        <w:rPr>
          <w:color w:val="000000"/>
        </w:rPr>
        <w:t>te coordination.</w:t>
      </w:r>
    </w:p>
    <w:p w14:paraId="5E042EBA" w14:textId="2A4BACD9" w:rsidR="000F4398" w:rsidRDefault="003E5AF6" w:rsidP="003E5AF6">
      <w:pPr>
        <w:autoSpaceDE w:val="0"/>
        <w:autoSpaceDN w:val="0"/>
        <w:adjustRightInd w:val="0"/>
        <w:spacing w:line="360" w:lineRule="auto"/>
        <w:jc w:val="both"/>
        <w:rPr>
          <w:color w:val="000000"/>
        </w:rPr>
      </w:pPr>
      <w:r>
        <w:rPr>
          <w:color w:val="000000"/>
        </w:rPr>
        <w:t xml:space="preserve">Lotus Tech has </w:t>
      </w:r>
      <w:r w:rsidR="00F01977">
        <w:rPr>
          <w:color w:val="000000"/>
        </w:rPr>
        <w:t>wanted to go public since 2021, aiming to replicate the massive succes</w:t>
      </w:r>
      <w:r>
        <w:rPr>
          <w:color w:val="000000"/>
        </w:rPr>
        <w:t>s seen by luxury auto brand listing</w:t>
      </w:r>
      <w:r w:rsidR="00F01977">
        <w:rPr>
          <w:color w:val="000000"/>
        </w:rPr>
        <w:t>s</w:t>
      </w:r>
      <w:r>
        <w:rPr>
          <w:color w:val="000000"/>
        </w:rPr>
        <w:t xml:space="preserve"> such as Porsche AG, wh</w:t>
      </w:r>
      <w:r w:rsidR="00F01977">
        <w:rPr>
          <w:color w:val="000000"/>
        </w:rPr>
        <w:t>ich</w:t>
      </w:r>
      <w:r>
        <w:rPr>
          <w:color w:val="000000"/>
        </w:rPr>
        <w:t xml:space="preserve"> pulled off</w:t>
      </w:r>
      <w:r w:rsidR="000F4398">
        <w:rPr>
          <w:color w:val="000000"/>
        </w:rPr>
        <w:t xml:space="preserve"> </w:t>
      </w:r>
      <w:r>
        <w:rPr>
          <w:color w:val="000000"/>
        </w:rPr>
        <w:t>Europe</w:t>
      </w:r>
      <w:r w:rsidR="004C5751">
        <w:rPr>
          <w:color w:val="000000"/>
        </w:rPr>
        <w:t>’</w:t>
      </w:r>
      <w:r>
        <w:rPr>
          <w:color w:val="000000"/>
        </w:rPr>
        <w:t xml:space="preserve">s largest </w:t>
      </w:r>
      <w:r w:rsidR="000F4398">
        <w:rPr>
          <w:color w:val="000000"/>
        </w:rPr>
        <w:t>IPO</w:t>
      </w:r>
      <w:r>
        <w:rPr>
          <w:color w:val="000000"/>
        </w:rPr>
        <w:t xml:space="preserve"> in a decade. </w:t>
      </w:r>
      <w:r w:rsidR="000F4398">
        <w:rPr>
          <w:color w:val="000000"/>
        </w:rPr>
        <w:t>This deal is also significant in the history of SPAC as the biggest SPAC deal in almost a year.</w:t>
      </w:r>
    </w:p>
    <w:p w14:paraId="61817A7F" w14:textId="41545704" w:rsidR="000F4398" w:rsidRPr="000F4398" w:rsidRDefault="000F4398" w:rsidP="000F4398">
      <w:pPr>
        <w:pStyle w:val="Caption"/>
        <w:keepNext/>
        <w:spacing w:line="360" w:lineRule="auto"/>
        <w:jc w:val="center"/>
        <w:rPr>
          <w:rFonts w:ascii="Times New Roman" w:hAnsi="Times New Roman" w:cs="Times New Roman"/>
          <w:i/>
          <w:iCs/>
          <w:sz w:val="21"/>
          <w:szCs w:val="21"/>
        </w:rPr>
      </w:pPr>
      <w:r w:rsidRPr="000F4398">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2</w:t>
      </w:r>
      <w:r w:rsidR="00D06E84">
        <w:rPr>
          <w:rFonts w:ascii="Times New Roman" w:hAnsi="Times New Roman" w:cs="Times New Roman"/>
          <w:i/>
          <w:iCs/>
          <w:sz w:val="21"/>
          <w:szCs w:val="21"/>
        </w:rPr>
        <w:fldChar w:fldCharType="end"/>
      </w:r>
      <w:r w:rsidRPr="000F4398">
        <w:rPr>
          <w:rFonts w:ascii="Times New Roman" w:hAnsi="Times New Roman" w:cs="Times New Roman"/>
          <w:i/>
          <w:iCs/>
          <w:sz w:val="21"/>
          <w:szCs w:val="21"/>
        </w:rPr>
        <w:t>: Recent SPAC Deals by Month</w:t>
      </w:r>
    </w:p>
    <w:p w14:paraId="3F454DAD" w14:textId="77777777" w:rsidR="000F4398" w:rsidRDefault="000F4398" w:rsidP="000F4398">
      <w:pPr>
        <w:autoSpaceDE w:val="0"/>
        <w:autoSpaceDN w:val="0"/>
        <w:adjustRightInd w:val="0"/>
        <w:spacing w:line="360" w:lineRule="auto"/>
        <w:jc w:val="center"/>
        <w:rPr>
          <w:rFonts w:eastAsiaTheme="minorEastAsia"/>
          <w:color w:val="000000"/>
        </w:rPr>
      </w:pPr>
      <w:r w:rsidRPr="000F4398">
        <w:rPr>
          <w:noProof/>
          <w:color w:val="000000"/>
        </w:rPr>
        <w:drawing>
          <wp:inline distT="0" distB="0" distL="0" distR="0" wp14:anchorId="3EBB39DF" wp14:editId="2FA7EDF0">
            <wp:extent cx="5731510" cy="31026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10"/>
                    <a:srcRect t="9451"/>
                    <a:stretch/>
                  </pic:blipFill>
                  <pic:spPr bwMode="auto">
                    <a:xfrm>
                      <a:off x="0" y="0"/>
                      <a:ext cx="5731510" cy="3102610"/>
                    </a:xfrm>
                    <a:prstGeom prst="rect">
                      <a:avLst/>
                    </a:prstGeom>
                    <a:ln>
                      <a:noFill/>
                    </a:ln>
                    <a:extLst>
                      <a:ext uri="{53640926-AAD7-44D8-BBD7-CCE9431645EC}">
                        <a14:shadowObscured xmlns:a14="http://schemas.microsoft.com/office/drawing/2010/main"/>
                      </a:ext>
                    </a:extLst>
                  </pic:spPr>
                </pic:pic>
              </a:graphicData>
            </a:graphic>
          </wp:inline>
        </w:drawing>
      </w:r>
    </w:p>
    <w:p w14:paraId="60C1C322" w14:textId="77777777" w:rsidR="00632CB9" w:rsidRPr="00632CB9" w:rsidRDefault="00632CB9" w:rsidP="00632CB9">
      <w:pPr>
        <w:spacing w:line="360" w:lineRule="auto"/>
        <w:rPr>
          <w:rFonts w:eastAsiaTheme="minorEastAsia"/>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SPAC Research</w:t>
      </w:r>
    </w:p>
    <w:p w14:paraId="0467CEAA" w14:textId="69D58047" w:rsidR="003E5AF6" w:rsidRDefault="003E5AF6" w:rsidP="003E5AF6">
      <w:pPr>
        <w:autoSpaceDE w:val="0"/>
        <w:autoSpaceDN w:val="0"/>
        <w:adjustRightInd w:val="0"/>
        <w:spacing w:line="360" w:lineRule="auto"/>
        <w:jc w:val="both"/>
        <w:rPr>
          <w:color w:val="000000"/>
        </w:rPr>
      </w:pPr>
      <w:r>
        <w:rPr>
          <w:color w:val="000000"/>
        </w:rPr>
        <w:t>Lotus announced that the funds acquired from the SPAC listing w</w:t>
      </w:r>
      <w:r w:rsidR="00F01977">
        <w:rPr>
          <w:color w:val="000000"/>
        </w:rPr>
        <w:t>ould</w:t>
      </w:r>
      <w:r>
        <w:rPr>
          <w:color w:val="000000"/>
        </w:rPr>
        <w:t xml:space="preserve"> be used towards delivering its first model, the electric SUV Eletre. Lotus aims to sell the vehicle in China in the first quarter before expanding to the European Union and Britain. </w:t>
      </w:r>
      <w:proofErr w:type="spellStart"/>
      <w:r>
        <w:rPr>
          <w:color w:val="000000"/>
        </w:rPr>
        <w:t>Electre</w:t>
      </w:r>
      <w:proofErr w:type="spellEnd"/>
      <w:r>
        <w:rPr>
          <w:color w:val="000000"/>
        </w:rPr>
        <w:t xml:space="preserve"> features a bevy of innovations, featuring fully embedded L4 hardware capabilities made possible by the first deployable LiDAR system in the world and a custom software system created by Lotus. The model also feats high energy efficiency, fast data transfer, and supercharging capabilities 800V high-voltage battery. Instead of competing with large EV makers like Tesla, Geely has been steering it away from combustion engines and has several all-electric models planned for the coming years.</w:t>
      </w:r>
      <w:r w:rsidR="000F4398">
        <w:rPr>
          <w:color w:val="000000"/>
        </w:rPr>
        <w:t xml:space="preserve"> </w:t>
      </w:r>
      <w:r>
        <w:rPr>
          <w:color w:val="000000"/>
        </w:rPr>
        <w:t>Lotus wishes to solidify its standing in the luxury EV industry instead, competing with companies like Ferrari and Aston Martin a</w:t>
      </w:r>
      <w:r w:rsidR="00F01977">
        <w:rPr>
          <w:color w:val="000000"/>
        </w:rPr>
        <w:t>nd</w:t>
      </w:r>
      <w:r>
        <w:rPr>
          <w:color w:val="000000"/>
        </w:rPr>
        <w:t xml:space="preserve"> delivering all</w:t>
      </w:r>
      <w:r w:rsidR="00F01977">
        <w:rPr>
          <w:color w:val="000000"/>
        </w:rPr>
        <w:t>-</w:t>
      </w:r>
      <w:r>
        <w:rPr>
          <w:color w:val="000000"/>
        </w:rPr>
        <w:t xml:space="preserve">electric, sustainable luxury vehicles worldwide. According to </w:t>
      </w:r>
      <w:proofErr w:type="spellStart"/>
      <w:r>
        <w:rPr>
          <w:color w:val="000000"/>
        </w:rPr>
        <w:t>Qingfeng</w:t>
      </w:r>
      <w:proofErr w:type="spellEnd"/>
      <w:r>
        <w:rPr>
          <w:color w:val="000000"/>
        </w:rPr>
        <w:t xml:space="preserve"> Feng, chief executive of both Lotus Group and Lotus, the merge</w:t>
      </w:r>
      <w:r w:rsidR="00F01977">
        <w:rPr>
          <w:color w:val="000000"/>
        </w:rPr>
        <w:t>r</w:t>
      </w:r>
      <w:r>
        <w:rPr>
          <w:color w:val="000000"/>
        </w:rPr>
        <w:t xml:space="preserve"> will position Lotus. as a </w:t>
      </w:r>
      <w:r w:rsidR="004C5751">
        <w:rPr>
          <w:color w:val="000000"/>
        </w:rPr>
        <w:t>“</w:t>
      </w:r>
      <w:r>
        <w:rPr>
          <w:color w:val="000000"/>
        </w:rPr>
        <w:t>leading global luxury EV company</w:t>
      </w:r>
      <w:r w:rsidR="004C5751">
        <w:rPr>
          <w:color w:val="000000"/>
        </w:rPr>
        <w:t>”</w:t>
      </w:r>
      <w:r>
        <w:rPr>
          <w:color w:val="000000"/>
        </w:rPr>
        <w:t xml:space="preserve"> and that the deal brings </w:t>
      </w:r>
      <w:r w:rsidR="004C5751">
        <w:rPr>
          <w:color w:val="000000"/>
        </w:rPr>
        <w:t>“</w:t>
      </w:r>
      <w:r>
        <w:rPr>
          <w:color w:val="000000"/>
        </w:rPr>
        <w:t>promising brand collaboration and strategic partnership potential worldwide</w:t>
      </w:r>
      <w:r w:rsidR="00F01977">
        <w:rPr>
          <w:color w:val="000000"/>
        </w:rPr>
        <w:t>.</w:t>
      </w:r>
      <w:r w:rsidR="004C5751">
        <w:rPr>
          <w:color w:val="000000"/>
        </w:rPr>
        <w:t>”</w:t>
      </w:r>
    </w:p>
    <w:p w14:paraId="1D700509" w14:textId="56D236B8" w:rsidR="003E5AF6" w:rsidRDefault="000F4398" w:rsidP="000F4398">
      <w:pPr>
        <w:autoSpaceDE w:val="0"/>
        <w:autoSpaceDN w:val="0"/>
        <w:adjustRightInd w:val="0"/>
        <w:spacing w:line="360" w:lineRule="auto"/>
        <w:jc w:val="both"/>
        <w:rPr>
          <w:color w:val="000000"/>
        </w:rPr>
      </w:pPr>
      <w:r>
        <w:rPr>
          <w:color w:val="000000"/>
        </w:rPr>
        <w:t xml:space="preserve">In its IPO in 2021, LCAA </w:t>
      </w:r>
      <w:r w:rsidR="003E5AF6">
        <w:rPr>
          <w:color w:val="000000"/>
        </w:rPr>
        <w:t xml:space="preserve">stated that they </w:t>
      </w:r>
      <w:r w:rsidR="004C5751">
        <w:rPr>
          <w:color w:val="000000"/>
        </w:rPr>
        <w:t>“</w:t>
      </w:r>
      <w:r w:rsidR="003E5AF6">
        <w:rPr>
          <w:color w:val="000000"/>
        </w:rPr>
        <w:t>intend to focus on our search in high-growth consumer technology sectors across Asia.</w:t>
      </w:r>
      <w:r w:rsidR="004C5751">
        <w:rPr>
          <w:color w:val="000000"/>
        </w:rPr>
        <w:t>”</w:t>
      </w:r>
      <w:r w:rsidR="003E5AF6">
        <w:rPr>
          <w:color w:val="000000"/>
        </w:rPr>
        <w:t xml:space="preserve"> </w:t>
      </w:r>
      <w:r>
        <w:rPr>
          <w:color w:val="000000"/>
        </w:rPr>
        <w:t>In the investor presentation, LCAA project</w:t>
      </w:r>
      <w:r w:rsidR="00F01977">
        <w:rPr>
          <w:color w:val="000000"/>
        </w:rPr>
        <w:t>ed</w:t>
      </w:r>
      <w:r>
        <w:rPr>
          <w:color w:val="000000"/>
        </w:rPr>
        <w:t xml:space="preserve"> Lotus</w:t>
      </w:r>
      <w:r w:rsidR="004C5751">
        <w:rPr>
          <w:color w:val="000000"/>
        </w:rPr>
        <w:t>’</w:t>
      </w:r>
      <w:r>
        <w:rPr>
          <w:color w:val="000000"/>
        </w:rPr>
        <w:t xml:space="preserve">s CAGR in 2023E-2025E to be high as 90%. </w:t>
      </w:r>
      <w:r w:rsidR="003E5AF6">
        <w:rPr>
          <w:color w:val="000000"/>
        </w:rPr>
        <w:t>According to Chinta Bhagat,</w:t>
      </w:r>
      <w:r>
        <w:rPr>
          <w:color w:val="000000"/>
        </w:rPr>
        <w:t xml:space="preserve"> </w:t>
      </w:r>
      <w:r w:rsidR="003E5AF6">
        <w:rPr>
          <w:color w:val="000000"/>
        </w:rPr>
        <w:t>Co-Chief Executive Officer of</w:t>
      </w:r>
      <w:r>
        <w:rPr>
          <w:color w:val="000000"/>
        </w:rPr>
        <w:t xml:space="preserve"> </w:t>
      </w:r>
      <w:r w:rsidR="003E5AF6">
        <w:rPr>
          <w:color w:val="000000"/>
        </w:rPr>
        <w:t xml:space="preserve">LCAA, </w:t>
      </w:r>
      <w:r w:rsidR="004C5751">
        <w:rPr>
          <w:color w:val="000000"/>
        </w:rPr>
        <w:t>“</w:t>
      </w:r>
      <w:r w:rsidR="003E5AF6">
        <w:rPr>
          <w:color w:val="000000"/>
        </w:rPr>
        <w:t xml:space="preserve">Lotus Tech is well positioned to benefit from these dynamics, as </w:t>
      </w:r>
      <w:r w:rsidR="003E5AF6">
        <w:rPr>
          <w:color w:val="000000"/>
        </w:rPr>
        <w:lastRenderedPageBreak/>
        <w:t xml:space="preserve">it is a pioneer in </w:t>
      </w:r>
      <w:r w:rsidR="00F01977">
        <w:rPr>
          <w:color w:val="000000"/>
        </w:rPr>
        <w:t>decarbonizing</w:t>
      </w:r>
      <w:r w:rsidR="003E5AF6">
        <w:rPr>
          <w:color w:val="000000"/>
        </w:rPr>
        <w:t xml:space="preserve"> luxury automobiles</w:t>
      </w:r>
      <w:r w:rsidR="00F01977">
        <w:rPr>
          <w:color w:val="000000"/>
        </w:rPr>
        <w:t>,</w:t>
      </w:r>
      <w:r w:rsidR="004C5751">
        <w:rPr>
          <w:color w:val="000000"/>
        </w:rPr>
        <w:t>”</w:t>
      </w:r>
      <w:r w:rsidR="003E5AF6">
        <w:rPr>
          <w:color w:val="000000"/>
        </w:rPr>
        <w:t xml:space="preserve"> expressing his confidence in Lotus becoming a </w:t>
      </w:r>
      <w:r w:rsidR="00F01977">
        <w:rPr>
          <w:color w:val="000000"/>
        </w:rPr>
        <w:t>significant</w:t>
      </w:r>
      <w:r w:rsidR="003E5AF6">
        <w:rPr>
          <w:color w:val="000000"/>
        </w:rPr>
        <w:t xml:space="preserve"> player in the luxury EV industry.</w:t>
      </w:r>
    </w:p>
    <w:p w14:paraId="6D7DE35D" w14:textId="77777777" w:rsidR="007A7C57" w:rsidRPr="007A7C57" w:rsidRDefault="007A7C57" w:rsidP="004F0B04">
      <w:pPr>
        <w:pStyle w:val="Heading1"/>
      </w:pPr>
      <w:bookmarkStart w:id="4" w:name="_Toc131092054"/>
      <w:r w:rsidRPr="007A7C57">
        <w:t>2. Revenue Forecast</w:t>
      </w:r>
      <w:bookmarkEnd w:id="4"/>
    </w:p>
    <w:p w14:paraId="1188505D" w14:textId="77777777" w:rsidR="007A7C57" w:rsidRPr="007A7C57" w:rsidRDefault="007A7C57" w:rsidP="004F0B04">
      <w:pPr>
        <w:pStyle w:val="Heading2"/>
        <w:rPr>
          <w:b/>
        </w:rPr>
      </w:pPr>
      <w:bookmarkStart w:id="5" w:name="_Toc131092055"/>
      <w:r w:rsidRPr="007A7C57">
        <w:t>2.1 Sales Volume Forecast for Luxury Electric Vehicle Market</w:t>
      </w:r>
      <w:bookmarkEnd w:id="5"/>
    </w:p>
    <w:p w14:paraId="357FB0B7" w14:textId="67D0836C" w:rsidR="007A7C57" w:rsidRPr="007A7C57" w:rsidRDefault="007A7C57" w:rsidP="007A7C57">
      <w:pPr>
        <w:autoSpaceDE w:val="0"/>
        <w:autoSpaceDN w:val="0"/>
        <w:adjustRightInd w:val="0"/>
        <w:spacing w:line="360" w:lineRule="auto"/>
        <w:jc w:val="both"/>
        <w:rPr>
          <w:color w:val="000000"/>
        </w:rPr>
      </w:pPr>
      <w:r w:rsidRPr="007A7C57">
        <w:rPr>
          <w:color w:val="000000"/>
        </w:rPr>
        <w:t>The luxury electric vehicle is defined as electric vehicle whose price is over 80,000 USD and less than 149,000 USD which is Lotus</w:t>
      </w:r>
      <w:r w:rsidR="004C5751">
        <w:rPr>
          <w:color w:val="000000"/>
        </w:rPr>
        <w:t>’</w:t>
      </w:r>
      <w:r w:rsidRPr="007A7C57">
        <w:rPr>
          <w:color w:val="000000"/>
        </w:rPr>
        <w:t>s target price range. According to Lotus</w:t>
      </w:r>
      <w:r w:rsidR="004C5751">
        <w:rPr>
          <w:color w:val="000000"/>
        </w:rPr>
        <w:t>’</w:t>
      </w:r>
      <w:r w:rsidRPr="007A7C57">
        <w:rPr>
          <w:color w:val="000000"/>
        </w:rPr>
        <w:t xml:space="preserve">s plan, around 50% of its sale will be in China and the rest of </w:t>
      </w:r>
      <w:r w:rsidRPr="007A7C57">
        <w:rPr>
          <w:rFonts w:hint="eastAsia"/>
          <w:color w:val="000000"/>
        </w:rPr>
        <w:t>its</w:t>
      </w:r>
      <w:r w:rsidRPr="007A7C57">
        <w:rPr>
          <w:color w:val="000000"/>
        </w:rPr>
        <w:t xml:space="preserve"> sales will be in Europe, the United Kingdom, and the US. This section provides forecast for sales volume and market size of luxury electric vehicles in the given price range by region with some supporting key assumptions.</w:t>
      </w:r>
      <w:r w:rsidR="00D06E84">
        <w:rPr>
          <w:color w:val="000000"/>
        </w:rPr>
        <w:t xml:space="preserve"> Subsections below will introduce the expected growth rate and changes in market share first, and the detailed forecast data will be shown in the end. The forecast takes forecast from Lotus Investor Presentation, Carolina Journal, </w:t>
      </w:r>
      <w:proofErr w:type="spellStart"/>
      <w:r w:rsidR="00D06E84">
        <w:rPr>
          <w:color w:val="000000"/>
        </w:rPr>
        <w:t>Insideevs</w:t>
      </w:r>
      <w:proofErr w:type="spellEnd"/>
      <w:r w:rsidR="00D06E84">
        <w:rPr>
          <w:color w:val="000000"/>
        </w:rPr>
        <w:t xml:space="preserve">, </w:t>
      </w:r>
      <w:proofErr w:type="spellStart"/>
      <w:r w:rsidR="00D06E84">
        <w:rPr>
          <w:color w:val="000000"/>
        </w:rPr>
        <w:t>CleanTechnica</w:t>
      </w:r>
      <w:proofErr w:type="spellEnd"/>
      <w:r w:rsidR="00D06E84">
        <w:rPr>
          <w:color w:val="000000"/>
        </w:rPr>
        <w:t xml:space="preserve"> as references. The forecast also uses data from</w:t>
      </w:r>
      <w:r w:rsidR="00D06E84">
        <w:rPr>
          <w:rFonts w:hint="eastAsia"/>
          <w:color w:val="000000"/>
        </w:rPr>
        <w:t xml:space="preserve"> </w:t>
      </w:r>
      <w:proofErr w:type="spellStart"/>
      <w:r w:rsidR="00D06E84">
        <w:rPr>
          <w:color w:val="000000"/>
        </w:rPr>
        <w:t>Autohome</w:t>
      </w:r>
      <w:proofErr w:type="spellEnd"/>
      <w:r w:rsidR="00D06E84">
        <w:rPr>
          <w:color w:val="000000"/>
        </w:rPr>
        <w:t xml:space="preserve"> Inc. and Yahoo! Autos.</w:t>
      </w:r>
    </w:p>
    <w:p w14:paraId="7EAB2768" w14:textId="454EB26E" w:rsidR="007A7C57" w:rsidRDefault="007A7C57" w:rsidP="007A7C57">
      <w:pPr>
        <w:pStyle w:val="IBSG4"/>
        <w:spacing w:before="0" w:after="0" w:line="360" w:lineRule="auto"/>
      </w:pPr>
      <w:bookmarkStart w:id="6" w:name="_Toc131092056"/>
      <w:r w:rsidRPr="5FAF5E2E">
        <w:t xml:space="preserve">2.1.1 </w:t>
      </w:r>
      <w:r w:rsidR="00D06E84">
        <w:t xml:space="preserve">Global </w:t>
      </w:r>
      <w:r w:rsidRPr="5FAF5E2E">
        <w:t>Sales Volume Forecast</w:t>
      </w:r>
      <w:bookmarkEnd w:id="6"/>
    </w:p>
    <w:p w14:paraId="0713B333" w14:textId="174A7041" w:rsidR="007A7C57" w:rsidRPr="007A7C57" w:rsidRDefault="007A7C57" w:rsidP="007A7C57">
      <w:pPr>
        <w:autoSpaceDE w:val="0"/>
        <w:autoSpaceDN w:val="0"/>
        <w:adjustRightInd w:val="0"/>
        <w:spacing w:line="360" w:lineRule="auto"/>
        <w:jc w:val="both"/>
        <w:rPr>
          <w:color w:val="000000"/>
        </w:rPr>
      </w:pPr>
      <w:r w:rsidRPr="007A7C57">
        <w:rPr>
          <w:color w:val="000000"/>
        </w:rPr>
        <w:t>In the global electric vehicle market, the sales volume is expected to grow at a compounded annual growth rate of 3</w:t>
      </w:r>
      <w:r w:rsidR="00D06E84">
        <w:rPr>
          <w:color w:val="000000"/>
        </w:rPr>
        <w:t>0</w:t>
      </w:r>
      <w:r w:rsidRPr="007A7C57">
        <w:rPr>
          <w:color w:val="000000"/>
        </w:rPr>
        <w:t>.7% from 2023 to 2025. For the luxury section in the electric vehicle market, the sales volume is expected to grow at a compounded annual growth rate of 3</w:t>
      </w:r>
      <w:r w:rsidR="00D06E84">
        <w:rPr>
          <w:color w:val="000000"/>
        </w:rPr>
        <w:t>8</w:t>
      </w:r>
      <w:r w:rsidRPr="007A7C57">
        <w:rPr>
          <w:color w:val="000000"/>
        </w:rPr>
        <w:t>%, according to Lotus Technology</w:t>
      </w:r>
      <w:r w:rsidR="004C5751">
        <w:rPr>
          <w:color w:val="000000"/>
        </w:rPr>
        <w:t>’</w:t>
      </w:r>
      <w:r w:rsidRPr="007A7C57">
        <w:rPr>
          <w:color w:val="000000"/>
        </w:rPr>
        <w:t>s expectations</w:t>
      </w:r>
      <w:r w:rsidR="00D06E84">
        <w:rPr>
          <w:color w:val="000000"/>
        </w:rPr>
        <w:t>.</w:t>
      </w:r>
      <w:r w:rsidRPr="007A7C57">
        <w:rPr>
          <w:color w:val="000000"/>
        </w:rPr>
        <w:t xml:space="preserve"> </w:t>
      </w:r>
      <w:r w:rsidR="00D06E84">
        <w:rPr>
          <w:color w:val="000000"/>
        </w:rPr>
        <w:t>It will result in</w:t>
      </w:r>
      <w:r w:rsidR="00D06E84" w:rsidRPr="007A7C57">
        <w:rPr>
          <w:color w:val="000000"/>
        </w:rPr>
        <w:t xml:space="preserve"> </w:t>
      </w:r>
      <w:r w:rsidRPr="007A7C57">
        <w:rPr>
          <w:color w:val="000000"/>
        </w:rPr>
        <w:t xml:space="preserve">a fluctuating market share between 1.8% and 1.92% in the electric vehicle market. </w:t>
      </w:r>
    </w:p>
    <w:p w14:paraId="19CE6D18" w14:textId="77777777" w:rsidR="007A7C57" w:rsidRDefault="007A7C57" w:rsidP="007A7C57">
      <w:pPr>
        <w:pStyle w:val="IBSG4"/>
        <w:spacing w:before="0" w:after="0" w:line="360" w:lineRule="auto"/>
      </w:pPr>
      <w:bookmarkStart w:id="7" w:name="_Toc131092057"/>
      <w:r w:rsidRPr="5FAF5E2E">
        <w:t>2.1.2 China Sales Volume Forecast</w:t>
      </w:r>
      <w:bookmarkEnd w:id="7"/>
    </w:p>
    <w:p w14:paraId="1F3BE2B9" w14:textId="0BBF1F86" w:rsidR="007A7C57" w:rsidRDefault="007A7C57" w:rsidP="007A7C57">
      <w:pPr>
        <w:spacing w:line="360" w:lineRule="auto"/>
        <w:jc w:val="both"/>
      </w:pPr>
      <w:r>
        <w:t>In China</w:t>
      </w:r>
      <w:r w:rsidR="004C5751">
        <w:t>’</w:t>
      </w:r>
      <w:r>
        <w:t>s electric vehicle market, the sales volume is expected to grow at a compounded annual growth rate of 35.1% with a compounded annual growth rate of 46% in the luxury sector</w:t>
      </w:r>
      <w:r w:rsidR="00D06E84">
        <w:t xml:space="preserve">. </w:t>
      </w:r>
      <w:r>
        <w:t>The market share of luxury electric vehicles in China</w:t>
      </w:r>
      <w:r w:rsidR="004C5751">
        <w:t>’</w:t>
      </w:r>
      <w:r>
        <w:t>s electric vehicle market is expected to grow from 0.4</w:t>
      </w:r>
      <w:r w:rsidR="00671AF2">
        <w:t>8</w:t>
      </w:r>
      <w:r>
        <w:t>% to 0.6</w:t>
      </w:r>
      <w:r w:rsidR="00671AF2">
        <w:t>7</w:t>
      </w:r>
      <w:r>
        <w:t xml:space="preserve">% at the same time. </w:t>
      </w:r>
    </w:p>
    <w:p w14:paraId="5775A51A" w14:textId="77777777" w:rsidR="007A7C57" w:rsidRDefault="007A7C57" w:rsidP="007A7C57">
      <w:pPr>
        <w:pStyle w:val="IBSG4"/>
        <w:spacing w:before="0" w:after="0" w:line="360" w:lineRule="auto"/>
      </w:pPr>
      <w:bookmarkStart w:id="8" w:name="_Toc131092058"/>
      <w:r w:rsidRPr="5FAF5E2E">
        <w:t>2.1.3 US Sales Volume Forecast</w:t>
      </w:r>
      <w:bookmarkEnd w:id="8"/>
    </w:p>
    <w:p w14:paraId="574BC4BD" w14:textId="2F1832C4" w:rsidR="007A7C57" w:rsidRDefault="007A7C57" w:rsidP="007A7C57">
      <w:pPr>
        <w:spacing w:line="360" w:lineRule="auto"/>
        <w:jc w:val="both"/>
      </w:pPr>
      <w:r>
        <w:t xml:space="preserve">In US electric vehicle market, the sales volume is expected to grow at a compounded annual growth rate of 29% with a compounded annual growth rate of </w:t>
      </w:r>
      <w:r w:rsidR="00671AF2">
        <w:t>38</w:t>
      </w:r>
      <w:r>
        <w:t>% in the luxury sector</w:t>
      </w:r>
      <w:r w:rsidR="00D06E84">
        <w:t>.</w:t>
      </w:r>
      <w:r>
        <w:t xml:space="preserve"> The market share of luxury electric vehicles in the US electric vehicle market is expected to grow from </w:t>
      </w:r>
      <w:r w:rsidR="00671AF2">
        <w:t>10.42</w:t>
      </w:r>
      <w:r>
        <w:t>% to 1</w:t>
      </w:r>
      <w:r w:rsidR="00671AF2">
        <w:t>1</w:t>
      </w:r>
      <w:r>
        <w:t>.9</w:t>
      </w:r>
      <w:r w:rsidR="00671AF2">
        <w:t>2</w:t>
      </w:r>
      <w:r>
        <w:t xml:space="preserve">% at the same time. </w:t>
      </w:r>
    </w:p>
    <w:p w14:paraId="10C76EE3" w14:textId="77777777" w:rsidR="007A7C57" w:rsidRDefault="007A7C57" w:rsidP="007A7C57">
      <w:pPr>
        <w:pStyle w:val="IBSG4"/>
        <w:spacing w:before="0" w:after="0" w:line="360" w:lineRule="auto"/>
      </w:pPr>
      <w:bookmarkStart w:id="9" w:name="_Toc131092059"/>
      <w:r w:rsidRPr="5FAF5E2E">
        <w:lastRenderedPageBreak/>
        <w:t>2.1.4 EU Sales Volume Forecast</w:t>
      </w:r>
      <w:bookmarkEnd w:id="9"/>
    </w:p>
    <w:p w14:paraId="4DF5C757" w14:textId="60DC5165" w:rsidR="007A7C57" w:rsidRDefault="007A7C57" w:rsidP="007A7C57">
      <w:pPr>
        <w:spacing w:line="360" w:lineRule="auto"/>
        <w:jc w:val="both"/>
      </w:pPr>
      <w:r>
        <w:t>In the EU electric vehicle market, the luxury electric vehicle market is expected to grow at a compounded annual growth rate of 36</w:t>
      </w:r>
      <w:r w:rsidR="00D06E84">
        <w:t>%.</w:t>
      </w:r>
      <w:r>
        <w:t xml:space="preserve"> The market share of luxury electric </w:t>
      </w:r>
      <w:r w:rsidR="00671AF2">
        <w:t>vehicles</w:t>
      </w:r>
      <w:r>
        <w:t xml:space="preserve"> in the EU electric vehicle market is expected to drop from 2.</w:t>
      </w:r>
      <w:r w:rsidR="00671AF2">
        <w:t>4</w:t>
      </w:r>
      <w:r>
        <w:t xml:space="preserve">% to </w:t>
      </w:r>
      <w:r w:rsidR="00671AF2">
        <w:t>2.1</w:t>
      </w:r>
      <w:r>
        <w:t xml:space="preserve">% </w:t>
      </w:r>
      <w:r w:rsidR="00671AF2">
        <w:t>simultaneously</w:t>
      </w:r>
      <w:r>
        <w:t xml:space="preserve">. </w:t>
      </w:r>
    </w:p>
    <w:p w14:paraId="68ED3C61" w14:textId="77777777" w:rsidR="007A7C57" w:rsidRDefault="007A7C57" w:rsidP="007A7C57">
      <w:pPr>
        <w:pStyle w:val="IBSG4"/>
        <w:spacing w:before="0" w:after="0" w:line="360" w:lineRule="auto"/>
      </w:pPr>
      <w:bookmarkStart w:id="10" w:name="_Toc131092060"/>
      <w:r w:rsidRPr="5FAF5E2E">
        <w:t>2.1.5 UK Sales Volume Forecast</w:t>
      </w:r>
      <w:bookmarkEnd w:id="10"/>
    </w:p>
    <w:p w14:paraId="70324507" w14:textId="7F2B7DE8" w:rsidR="007A7C57" w:rsidRDefault="007A7C57" w:rsidP="007A7C57">
      <w:pPr>
        <w:spacing w:line="360" w:lineRule="auto"/>
        <w:jc w:val="both"/>
      </w:pPr>
      <w:r>
        <w:t>In UK electric vehicle market, the sales volume is expected to grow at a compounded annual growth rate of 42% with a compounded annual growth rate of 35% in luxury sector</w:t>
      </w:r>
      <w:r w:rsidR="00D06E84">
        <w:t>.</w:t>
      </w:r>
      <w:r>
        <w:t xml:space="preserve"> The market share of luxury electric vehicles in the UK electric vehicle market is expected to drop from 0.64% to 0.58% at the same time.</w:t>
      </w:r>
    </w:p>
    <w:p w14:paraId="37C6A1B3" w14:textId="6E972F01"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3</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2023-2025 Sales Volume of Luxury Electric Vehicle</w:t>
      </w:r>
    </w:p>
    <w:tbl>
      <w:tblPr>
        <w:tblW w:w="7400" w:type="dxa"/>
        <w:jc w:val="center"/>
        <w:tblLook w:val="04A0" w:firstRow="1" w:lastRow="0" w:firstColumn="1" w:lastColumn="0" w:noHBand="0" w:noVBand="1"/>
      </w:tblPr>
      <w:tblGrid>
        <w:gridCol w:w="1520"/>
        <w:gridCol w:w="1960"/>
        <w:gridCol w:w="1960"/>
        <w:gridCol w:w="1960"/>
      </w:tblGrid>
      <w:tr w:rsidR="00D06E84" w14:paraId="12D5FC41" w14:textId="77777777" w:rsidTr="0007570B">
        <w:trPr>
          <w:trHeight w:val="640"/>
          <w:jc w:val="center"/>
        </w:trPr>
        <w:tc>
          <w:tcPr>
            <w:tcW w:w="152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6FD429B5" w14:textId="77777777" w:rsidR="00D06E84" w:rsidRDefault="00D06E84" w:rsidP="004926F3">
            <w:pPr>
              <w:spacing w:line="360" w:lineRule="auto"/>
              <w:jc w:val="center"/>
              <w:rPr>
                <w:b/>
                <w:bCs/>
                <w:color w:val="FFFFFF"/>
                <w:sz w:val="21"/>
                <w:szCs w:val="21"/>
              </w:rPr>
            </w:pPr>
            <w:r>
              <w:rPr>
                <w:b/>
                <w:bCs/>
                <w:color w:val="FFFFFF"/>
                <w:sz w:val="21"/>
                <w:szCs w:val="21"/>
              </w:rPr>
              <w:t>Sales Volume(Unit)</w:t>
            </w:r>
          </w:p>
        </w:tc>
        <w:tc>
          <w:tcPr>
            <w:tcW w:w="1960" w:type="dxa"/>
            <w:tcBorders>
              <w:top w:val="single" w:sz="12" w:space="0" w:color="375623"/>
              <w:left w:val="nil"/>
              <w:bottom w:val="nil"/>
              <w:right w:val="single" w:sz="8" w:space="0" w:color="auto"/>
            </w:tcBorders>
            <w:shd w:val="clear" w:color="000000" w:fill="003300"/>
            <w:vAlign w:val="center"/>
            <w:hideMark/>
          </w:tcPr>
          <w:p w14:paraId="3950F55F" w14:textId="77777777" w:rsidR="00D06E84" w:rsidRDefault="00D06E84" w:rsidP="004926F3">
            <w:pPr>
              <w:spacing w:line="360" w:lineRule="auto"/>
              <w:jc w:val="center"/>
              <w:rPr>
                <w:b/>
                <w:bCs/>
                <w:color w:val="FFFFFF"/>
                <w:sz w:val="21"/>
                <w:szCs w:val="21"/>
              </w:rPr>
            </w:pPr>
            <w:r>
              <w:rPr>
                <w:b/>
                <w:bCs/>
                <w:color w:val="FFFFFF"/>
                <w:sz w:val="21"/>
                <w:szCs w:val="21"/>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71E217A6" w14:textId="77777777" w:rsidR="00D06E84" w:rsidRDefault="00D06E84" w:rsidP="004926F3">
            <w:pPr>
              <w:spacing w:line="360" w:lineRule="auto"/>
              <w:jc w:val="center"/>
              <w:rPr>
                <w:b/>
                <w:bCs/>
                <w:color w:val="FFFFFF"/>
                <w:sz w:val="21"/>
                <w:szCs w:val="21"/>
              </w:rPr>
            </w:pPr>
            <w:r>
              <w:rPr>
                <w:b/>
                <w:bCs/>
                <w:color w:val="FFFFFF"/>
                <w:sz w:val="21"/>
                <w:szCs w:val="21"/>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09B228DA" w14:textId="77777777" w:rsidR="00D06E84" w:rsidRDefault="00D06E84" w:rsidP="004926F3">
            <w:pPr>
              <w:spacing w:line="360" w:lineRule="auto"/>
              <w:jc w:val="center"/>
              <w:rPr>
                <w:b/>
                <w:bCs/>
                <w:color w:val="FFFFFF"/>
                <w:sz w:val="21"/>
                <w:szCs w:val="21"/>
              </w:rPr>
            </w:pPr>
            <w:r>
              <w:rPr>
                <w:b/>
                <w:bCs/>
                <w:color w:val="FFFFFF"/>
                <w:sz w:val="21"/>
                <w:szCs w:val="21"/>
              </w:rPr>
              <w:t>2025E</w:t>
            </w:r>
          </w:p>
        </w:tc>
      </w:tr>
      <w:tr w:rsidR="00D06E84" w14:paraId="4ABC174B"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363B00E9" w14:textId="77777777" w:rsidR="00D06E84" w:rsidRDefault="00D06E84" w:rsidP="004926F3">
            <w:pPr>
              <w:spacing w:line="360" w:lineRule="auto"/>
              <w:jc w:val="center"/>
              <w:rPr>
                <w:b/>
                <w:bCs/>
                <w:color w:val="FFFFFF"/>
                <w:sz w:val="21"/>
                <w:szCs w:val="21"/>
              </w:rPr>
            </w:pPr>
            <w:r>
              <w:rPr>
                <w:b/>
                <w:bCs/>
                <w:color w:val="FFFFFF"/>
                <w:sz w:val="21"/>
                <w:szCs w:val="21"/>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EC66F" w14:textId="73622CE0" w:rsidR="00D06E84" w:rsidRDefault="00D06E84" w:rsidP="004926F3">
            <w:pPr>
              <w:spacing w:line="360" w:lineRule="auto"/>
              <w:jc w:val="right"/>
              <w:rPr>
                <w:color w:val="000000"/>
                <w:sz w:val="22"/>
                <w:szCs w:val="22"/>
              </w:rPr>
            </w:pPr>
            <w:r>
              <w:rPr>
                <w:color w:val="000000"/>
                <w:sz w:val="22"/>
                <w:szCs w:val="22"/>
              </w:rPr>
              <w:t>133,279</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362F575B" w14:textId="4965C6FA" w:rsidR="00D06E84" w:rsidRDefault="00D06E84" w:rsidP="004926F3">
            <w:pPr>
              <w:spacing w:line="360" w:lineRule="auto"/>
              <w:jc w:val="right"/>
              <w:rPr>
                <w:color w:val="000000"/>
                <w:sz w:val="22"/>
                <w:szCs w:val="22"/>
              </w:rPr>
            </w:pPr>
            <w:r>
              <w:rPr>
                <w:color w:val="000000"/>
                <w:sz w:val="22"/>
                <w:szCs w:val="22"/>
              </w:rPr>
              <w:t>183,925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1371F64" w14:textId="5CE56821" w:rsidR="00D06E84" w:rsidRDefault="00D06E84" w:rsidP="004926F3">
            <w:pPr>
              <w:spacing w:line="360" w:lineRule="auto"/>
              <w:jc w:val="right"/>
              <w:rPr>
                <w:color w:val="000000"/>
                <w:sz w:val="22"/>
                <w:szCs w:val="22"/>
              </w:rPr>
            </w:pPr>
            <w:r>
              <w:rPr>
                <w:color w:val="000000"/>
                <w:sz w:val="22"/>
                <w:szCs w:val="22"/>
              </w:rPr>
              <w:t>253,816</w:t>
            </w:r>
          </w:p>
        </w:tc>
      </w:tr>
      <w:tr w:rsidR="00D06E84" w14:paraId="24384D27"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2CD67B87" w14:textId="77777777" w:rsidR="00D06E84" w:rsidRDefault="00D06E84" w:rsidP="004926F3">
            <w:pPr>
              <w:spacing w:line="360" w:lineRule="auto"/>
              <w:jc w:val="center"/>
              <w:rPr>
                <w:b/>
                <w:bCs/>
                <w:color w:val="FFFFFF"/>
                <w:sz w:val="21"/>
                <w:szCs w:val="21"/>
              </w:rPr>
            </w:pPr>
            <w:r>
              <w:rPr>
                <w:b/>
                <w:bCs/>
                <w:color w:val="FFFFFF"/>
                <w:sz w:val="21"/>
                <w:szCs w:val="21"/>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3B4DB75F" w14:textId="72702AD9" w:rsidR="00D06E84" w:rsidRDefault="00D06E84" w:rsidP="004926F3">
            <w:pPr>
              <w:spacing w:line="360" w:lineRule="auto"/>
              <w:jc w:val="right"/>
              <w:rPr>
                <w:color w:val="000000"/>
                <w:sz w:val="21"/>
                <w:szCs w:val="21"/>
              </w:rPr>
            </w:pPr>
            <w:r>
              <w:rPr>
                <w:color w:val="000000"/>
                <w:sz w:val="21"/>
                <w:szCs w:val="21"/>
              </w:rPr>
              <w:t>14,580</w:t>
            </w:r>
          </w:p>
        </w:tc>
        <w:tc>
          <w:tcPr>
            <w:tcW w:w="1960" w:type="dxa"/>
            <w:tcBorders>
              <w:top w:val="nil"/>
              <w:left w:val="nil"/>
              <w:bottom w:val="single" w:sz="4" w:space="0" w:color="auto"/>
              <w:right w:val="single" w:sz="4" w:space="0" w:color="auto"/>
            </w:tcBorders>
            <w:shd w:val="clear" w:color="000000" w:fill="E2EFD9"/>
            <w:vAlign w:val="center"/>
            <w:hideMark/>
          </w:tcPr>
          <w:p w14:paraId="2F807C5F" w14:textId="02A3B04E" w:rsidR="00D06E84" w:rsidRDefault="00D06E84" w:rsidP="004926F3">
            <w:pPr>
              <w:spacing w:line="360" w:lineRule="auto"/>
              <w:jc w:val="right"/>
              <w:rPr>
                <w:color w:val="000000"/>
                <w:sz w:val="21"/>
                <w:szCs w:val="21"/>
              </w:rPr>
            </w:pPr>
            <w:r>
              <w:rPr>
                <w:color w:val="000000"/>
                <w:sz w:val="21"/>
                <w:szCs w:val="21"/>
              </w:rPr>
              <w:t>19,683</w:t>
            </w:r>
          </w:p>
        </w:tc>
        <w:tc>
          <w:tcPr>
            <w:tcW w:w="1960" w:type="dxa"/>
            <w:tcBorders>
              <w:top w:val="nil"/>
              <w:left w:val="nil"/>
              <w:bottom w:val="single" w:sz="4" w:space="0" w:color="auto"/>
              <w:right w:val="single" w:sz="4" w:space="0" w:color="auto"/>
            </w:tcBorders>
            <w:shd w:val="clear" w:color="000000" w:fill="E2EFD9"/>
            <w:vAlign w:val="center"/>
            <w:hideMark/>
          </w:tcPr>
          <w:p w14:paraId="6F301F93" w14:textId="3BC57513" w:rsidR="00D06E84" w:rsidRDefault="00D06E84" w:rsidP="004926F3">
            <w:pPr>
              <w:spacing w:line="360" w:lineRule="auto"/>
              <w:jc w:val="right"/>
              <w:rPr>
                <w:color w:val="000000"/>
                <w:sz w:val="21"/>
                <w:szCs w:val="21"/>
              </w:rPr>
            </w:pPr>
            <w:r>
              <w:rPr>
                <w:color w:val="000000"/>
                <w:sz w:val="21"/>
                <w:szCs w:val="21"/>
              </w:rPr>
              <w:t>26,572</w:t>
            </w:r>
          </w:p>
        </w:tc>
      </w:tr>
      <w:tr w:rsidR="00D06E84" w14:paraId="70D294B0"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1EF4A9A9" w14:textId="77777777" w:rsidR="00D06E84" w:rsidRDefault="00D06E84" w:rsidP="004926F3">
            <w:pPr>
              <w:spacing w:line="360" w:lineRule="auto"/>
              <w:jc w:val="center"/>
              <w:rPr>
                <w:b/>
                <w:bCs/>
                <w:color w:val="FFFFFF"/>
                <w:sz w:val="21"/>
                <w:szCs w:val="21"/>
              </w:rPr>
            </w:pPr>
            <w:r>
              <w:rPr>
                <w:b/>
                <w:bCs/>
                <w:color w:val="FFFFFF"/>
                <w:sz w:val="21"/>
                <w:szCs w:val="21"/>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B1D7FBA" w14:textId="0202BAF3" w:rsidR="00D06E84" w:rsidRDefault="00D06E84" w:rsidP="004926F3">
            <w:pPr>
              <w:spacing w:line="360" w:lineRule="auto"/>
              <w:jc w:val="right"/>
              <w:rPr>
                <w:color w:val="000000"/>
                <w:sz w:val="22"/>
                <w:szCs w:val="22"/>
              </w:rPr>
            </w:pPr>
            <w:r>
              <w:rPr>
                <w:color w:val="000000"/>
                <w:sz w:val="22"/>
                <w:szCs w:val="22"/>
              </w:rPr>
              <w:t>72,134</w:t>
            </w:r>
          </w:p>
        </w:tc>
        <w:tc>
          <w:tcPr>
            <w:tcW w:w="1960" w:type="dxa"/>
            <w:tcBorders>
              <w:top w:val="nil"/>
              <w:left w:val="nil"/>
              <w:bottom w:val="single" w:sz="4" w:space="0" w:color="auto"/>
              <w:right w:val="single" w:sz="4" w:space="0" w:color="auto"/>
            </w:tcBorders>
            <w:shd w:val="clear" w:color="auto" w:fill="auto"/>
            <w:noWrap/>
            <w:vAlign w:val="center"/>
            <w:hideMark/>
          </w:tcPr>
          <w:p w14:paraId="25B9D96A" w14:textId="4D0BFCD6" w:rsidR="00D06E84" w:rsidRDefault="00D06E84" w:rsidP="004926F3">
            <w:pPr>
              <w:spacing w:line="360" w:lineRule="auto"/>
              <w:jc w:val="right"/>
              <w:rPr>
                <w:color w:val="000000"/>
                <w:sz w:val="22"/>
                <w:szCs w:val="22"/>
              </w:rPr>
            </w:pPr>
            <w:r>
              <w:rPr>
                <w:color w:val="000000"/>
                <w:sz w:val="22"/>
                <w:szCs w:val="22"/>
              </w:rPr>
              <w:t>98,103</w:t>
            </w:r>
          </w:p>
        </w:tc>
        <w:tc>
          <w:tcPr>
            <w:tcW w:w="1960" w:type="dxa"/>
            <w:tcBorders>
              <w:top w:val="nil"/>
              <w:left w:val="nil"/>
              <w:bottom w:val="single" w:sz="4" w:space="0" w:color="auto"/>
              <w:right w:val="single" w:sz="4" w:space="0" w:color="auto"/>
            </w:tcBorders>
            <w:shd w:val="clear" w:color="auto" w:fill="auto"/>
            <w:noWrap/>
            <w:vAlign w:val="center"/>
            <w:hideMark/>
          </w:tcPr>
          <w:p w14:paraId="65D67EFD" w14:textId="0379034B" w:rsidR="00D06E84" w:rsidRDefault="00D06E84" w:rsidP="004926F3">
            <w:pPr>
              <w:spacing w:line="360" w:lineRule="auto"/>
              <w:jc w:val="right"/>
              <w:rPr>
                <w:color w:val="000000"/>
                <w:sz w:val="22"/>
                <w:szCs w:val="22"/>
              </w:rPr>
            </w:pPr>
            <w:r>
              <w:rPr>
                <w:color w:val="000000"/>
                <w:sz w:val="22"/>
                <w:szCs w:val="22"/>
              </w:rPr>
              <w:t>133,420</w:t>
            </w:r>
          </w:p>
        </w:tc>
      </w:tr>
      <w:tr w:rsidR="00D06E84" w14:paraId="1840A42C"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599F098A" w14:textId="77777777" w:rsidR="00D06E84" w:rsidRDefault="00D06E84" w:rsidP="004926F3">
            <w:pPr>
              <w:spacing w:line="360" w:lineRule="auto"/>
              <w:jc w:val="center"/>
              <w:rPr>
                <w:b/>
                <w:bCs/>
                <w:color w:val="FFFFFF"/>
                <w:sz w:val="21"/>
                <w:szCs w:val="21"/>
              </w:rPr>
            </w:pPr>
            <w:r>
              <w:rPr>
                <w:b/>
                <w:bCs/>
                <w:color w:val="FFFFFF"/>
                <w:sz w:val="21"/>
                <w:szCs w:val="21"/>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3DD8A9" w14:textId="2B0E0EEC" w:rsidR="00D06E84" w:rsidRDefault="00D06E84" w:rsidP="004926F3">
            <w:pPr>
              <w:spacing w:line="360" w:lineRule="auto"/>
              <w:jc w:val="right"/>
              <w:rPr>
                <w:color w:val="000000"/>
                <w:sz w:val="21"/>
                <w:szCs w:val="21"/>
              </w:rPr>
            </w:pPr>
            <w:r>
              <w:rPr>
                <w:color w:val="000000"/>
                <w:sz w:val="21"/>
                <w:szCs w:val="21"/>
              </w:rPr>
              <w:t>46,754</w:t>
            </w:r>
          </w:p>
        </w:tc>
        <w:tc>
          <w:tcPr>
            <w:tcW w:w="1960" w:type="dxa"/>
            <w:tcBorders>
              <w:top w:val="nil"/>
              <w:left w:val="nil"/>
              <w:bottom w:val="single" w:sz="4" w:space="0" w:color="auto"/>
              <w:right w:val="single" w:sz="4" w:space="0" w:color="auto"/>
            </w:tcBorders>
            <w:shd w:val="clear" w:color="000000" w:fill="E2EFD9"/>
            <w:vAlign w:val="center"/>
            <w:hideMark/>
          </w:tcPr>
          <w:p w14:paraId="70ADA9F4" w14:textId="51F297FE" w:rsidR="00D06E84" w:rsidRDefault="00D06E84" w:rsidP="004926F3">
            <w:pPr>
              <w:spacing w:line="360" w:lineRule="auto"/>
              <w:jc w:val="right"/>
              <w:rPr>
                <w:color w:val="000000"/>
                <w:sz w:val="21"/>
                <w:szCs w:val="21"/>
              </w:rPr>
            </w:pPr>
            <w:r>
              <w:rPr>
                <w:color w:val="000000"/>
                <w:sz w:val="21"/>
                <w:szCs w:val="21"/>
              </w:rPr>
              <w:t>68,247</w:t>
            </w:r>
          </w:p>
        </w:tc>
        <w:tc>
          <w:tcPr>
            <w:tcW w:w="1960" w:type="dxa"/>
            <w:tcBorders>
              <w:top w:val="nil"/>
              <w:left w:val="nil"/>
              <w:bottom w:val="single" w:sz="4" w:space="0" w:color="auto"/>
              <w:right w:val="single" w:sz="4" w:space="0" w:color="auto"/>
            </w:tcBorders>
            <w:shd w:val="clear" w:color="000000" w:fill="E2EFD9"/>
            <w:vAlign w:val="center"/>
            <w:hideMark/>
          </w:tcPr>
          <w:p w14:paraId="515DD852" w14:textId="3F015489" w:rsidR="00D06E84" w:rsidRDefault="00D06E84" w:rsidP="004926F3">
            <w:pPr>
              <w:spacing w:line="360" w:lineRule="auto"/>
              <w:jc w:val="right"/>
              <w:rPr>
                <w:color w:val="000000"/>
                <w:sz w:val="21"/>
                <w:szCs w:val="21"/>
              </w:rPr>
            </w:pPr>
            <w:r>
              <w:rPr>
                <w:color w:val="000000"/>
                <w:sz w:val="21"/>
                <w:szCs w:val="21"/>
              </w:rPr>
              <w:t>99,641</w:t>
            </w:r>
          </w:p>
        </w:tc>
      </w:tr>
      <w:tr w:rsidR="00D06E84" w14:paraId="2CE3688F"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02E6F26C" w14:textId="77777777" w:rsidR="00D06E84" w:rsidRDefault="00D06E84" w:rsidP="004926F3">
            <w:pPr>
              <w:spacing w:line="360" w:lineRule="auto"/>
              <w:jc w:val="center"/>
              <w:rPr>
                <w:b/>
                <w:bCs/>
                <w:color w:val="FFFFFF"/>
                <w:sz w:val="21"/>
                <w:szCs w:val="21"/>
              </w:rPr>
            </w:pPr>
            <w:r>
              <w:rPr>
                <w:b/>
                <w:bCs/>
                <w:color w:val="FFFFFF"/>
                <w:sz w:val="21"/>
                <w:szCs w:val="21"/>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0EEC2D1" w14:textId="73426CFB" w:rsidR="00D06E84" w:rsidRDefault="00D06E84" w:rsidP="004926F3">
            <w:pPr>
              <w:spacing w:line="360" w:lineRule="auto"/>
              <w:jc w:val="right"/>
              <w:rPr>
                <w:color w:val="000000"/>
                <w:sz w:val="22"/>
                <w:szCs w:val="22"/>
              </w:rPr>
            </w:pPr>
            <w:r>
              <w:rPr>
                <w:color w:val="000000"/>
                <w:sz w:val="22"/>
                <w:szCs w:val="22"/>
              </w:rPr>
              <w:t>1,333</w:t>
            </w:r>
          </w:p>
        </w:tc>
        <w:tc>
          <w:tcPr>
            <w:tcW w:w="1960" w:type="dxa"/>
            <w:tcBorders>
              <w:top w:val="nil"/>
              <w:left w:val="nil"/>
              <w:bottom w:val="single" w:sz="4" w:space="0" w:color="auto"/>
              <w:right w:val="single" w:sz="4" w:space="0" w:color="auto"/>
            </w:tcBorders>
            <w:shd w:val="clear" w:color="auto" w:fill="auto"/>
            <w:noWrap/>
            <w:vAlign w:val="center"/>
            <w:hideMark/>
          </w:tcPr>
          <w:p w14:paraId="12B4C4DE" w14:textId="4FD20995" w:rsidR="00D06E84" w:rsidRDefault="00D06E84" w:rsidP="004926F3">
            <w:pPr>
              <w:spacing w:line="360" w:lineRule="auto"/>
              <w:jc w:val="right"/>
              <w:rPr>
                <w:color w:val="000000"/>
                <w:sz w:val="22"/>
                <w:szCs w:val="22"/>
              </w:rPr>
            </w:pPr>
            <w:r>
              <w:rPr>
                <w:color w:val="000000"/>
                <w:sz w:val="22"/>
                <w:szCs w:val="22"/>
              </w:rPr>
              <w:t>1,840</w:t>
            </w:r>
          </w:p>
        </w:tc>
        <w:tc>
          <w:tcPr>
            <w:tcW w:w="1960" w:type="dxa"/>
            <w:tcBorders>
              <w:top w:val="nil"/>
              <w:left w:val="nil"/>
              <w:bottom w:val="single" w:sz="4" w:space="0" w:color="auto"/>
              <w:right w:val="single" w:sz="4" w:space="0" w:color="auto"/>
            </w:tcBorders>
            <w:shd w:val="clear" w:color="auto" w:fill="auto"/>
            <w:noWrap/>
            <w:vAlign w:val="center"/>
            <w:hideMark/>
          </w:tcPr>
          <w:p w14:paraId="3BF12349" w14:textId="46936EAA" w:rsidR="00D06E84" w:rsidRDefault="00D06E84" w:rsidP="004926F3">
            <w:pPr>
              <w:spacing w:line="360" w:lineRule="auto"/>
              <w:jc w:val="right"/>
              <w:rPr>
                <w:color w:val="000000"/>
                <w:sz w:val="22"/>
                <w:szCs w:val="22"/>
              </w:rPr>
            </w:pPr>
            <w:r>
              <w:rPr>
                <w:color w:val="000000"/>
                <w:sz w:val="22"/>
                <w:szCs w:val="22"/>
              </w:rPr>
              <w:t>2,538</w:t>
            </w:r>
          </w:p>
        </w:tc>
      </w:tr>
      <w:tr w:rsidR="00D06E84" w14:paraId="2B49C525" w14:textId="77777777" w:rsidTr="0007570B">
        <w:trPr>
          <w:trHeight w:val="320"/>
          <w:jc w:val="center"/>
        </w:trPr>
        <w:tc>
          <w:tcPr>
            <w:tcW w:w="1520" w:type="dxa"/>
            <w:tcBorders>
              <w:top w:val="nil"/>
              <w:left w:val="single" w:sz="12" w:space="0" w:color="375623"/>
              <w:bottom w:val="single" w:sz="12" w:space="0" w:color="375623"/>
              <w:right w:val="nil"/>
            </w:tcBorders>
            <w:shd w:val="clear" w:color="000000" w:fill="003300"/>
            <w:vAlign w:val="center"/>
            <w:hideMark/>
          </w:tcPr>
          <w:p w14:paraId="2B2F02E7" w14:textId="77777777" w:rsidR="00D06E84" w:rsidRDefault="00D06E84" w:rsidP="004926F3">
            <w:pPr>
              <w:spacing w:line="360" w:lineRule="auto"/>
              <w:jc w:val="center"/>
              <w:rPr>
                <w:b/>
                <w:bCs/>
                <w:color w:val="FFFFFF"/>
                <w:sz w:val="21"/>
                <w:szCs w:val="21"/>
              </w:rPr>
            </w:pPr>
            <w:r>
              <w:rPr>
                <w:b/>
                <w:bCs/>
                <w:color w:val="FFFFFF"/>
                <w:sz w:val="21"/>
                <w:szCs w:val="21"/>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8F204C" w14:textId="3D040C27" w:rsidR="00D06E84" w:rsidRDefault="00D06E84" w:rsidP="004926F3">
            <w:pPr>
              <w:spacing w:line="360" w:lineRule="auto"/>
              <w:jc w:val="right"/>
              <w:rPr>
                <w:color w:val="000000"/>
                <w:sz w:val="21"/>
                <w:szCs w:val="21"/>
              </w:rPr>
            </w:pPr>
            <w:r>
              <w:rPr>
                <w:color w:val="000000"/>
                <w:sz w:val="21"/>
                <w:szCs w:val="21"/>
              </w:rPr>
              <w:t>268,080</w:t>
            </w:r>
          </w:p>
        </w:tc>
        <w:tc>
          <w:tcPr>
            <w:tcW w:w="1960" w:type="dxa"/>
            <w:tcBorders>
              <w:top w:val="nil"/>
              <w:left w:val="nil"/>
              <w:bottom w:val="single" w:sz="4" w:space="0" w:color="auto"/>
              <w:right w:val="single" w:sz="4" w:space="0" w:color="auto"/>
            </w:tcBorders>
            <w:shd w:val="clear" w:color="000000" w:fill="E2EFD9"/>
            <w:vAlign w:val="center"/>
            <w:hideMark/>
          </w:tcPr>
          <w:p w14:paraId="1ED6EF49" w14:textId="7C6A652C" w:rsidR="00D06E84" w:rsidRDefault="00D06E84" w:rsidP="004926F3">
            <w:pPr>
              <w:spacing w:line="360" w:lineRule="auto"/>
              <w:jc w:val="right"/>
              <w:rPr>
                <w:color w:val="000000"/>
                <w:sz w:val="21"/>
                <w:szCs w:val="21"/>
              </w:rPr>
            </w:pPr>
            <w:r>
              <w:rPr>
                <w:color w:val="000000"/>
                <w:sz w:val="21"/>
                <w:szCs w:val="21"/>
              </w:rPr>
              <w:t>371,798</w:t>
            </w:r>
          </w:p>
        </w:tc>
        <w:tc>
          <w:tcPr>
            <w:tcW w:w="1960" w:type="dxa"/>
            <w:tcBorders>
              <w:top w:val="nil"/>
              <w:left w:val="nil"/>
              <w:bottom w:val="single" w:sz="4" w:space="0" w:color="auto"/>
              <w:right w:val="single" w:sz="4" w:space="0" w:color="auto"/>
            </w:tcBorders>
            <w:shd w:val="clear" w:color="000000" w:fill="E2EFD9"/>
            <w:vAlign w:val="center"/>
            <w:hideMark/>
          </w:tcPr>
          <w:p w14:paraId="36A677AC" w14:textId="29A2DDA5" w:rsidR="00D06E84" w:rsidRDefault="00D06E84" w:rsidP="004926F3">
            <w:pPr>
              <w:keepNext/>
              <w:spacing w:line="360" w:lineRule="auto"/>
              <w:jc w:val="right"/>
              <w:rPr>
                <w:color w:val="000000"/>
                <w:sz w:val="21"/>
                <w:szCs w:val="21"/>
              </w:rPr>
            </w:pPr>
            <w:r>
              <w:rPr>
                <w:color w:val="000000"/>
                <w:sz w:val="21"/>
                <w:szCs w:val="21"/>
              </w:rPr>
              <w:t>515,987</w:t>
            </w:r>
          </w:p>
        </w:tc>
      </w:tr>
    </w:tbl>
    <w:p w14:paraId="5B414D75" w14:textId="77777777" w:rsidR="00D06E84" w:rsidRPr="004926F3" w:rsidRDefault="00D06E84" w:rsidP="004926F3">
      <w:pPr>
        <w:spacing w:line="360" w:lineRule="auto"/>
      </w:pPr>
    </w:p>
    <w:p w14:paraId="07090013" w14:textId="0B9D0D11" w:rsidR="00D06E84" w:rsidRDefault="00D06E84" w:rsidP="004926F3">
      <w:pPr>
        <w:spacing w:line="360" w:lineRule="auto"/>
        <w:jc w:val="center"/>
        <w:rPr>
          <w:rFonts w:eastAsiaTheme="minorEastAsia"/>
          <w:lang w:val="en-US"/>
        </w:rPr>
      </w:pPr>
      <w:r>
        <w:rPr>
          <w:noProof/>
        </w:rPr>
        <w:drawing>
          <wp:inline distT="0" distB="0" distL="0" distR="0" wp14:anchorId="7F97D1A3" wp14:editId="5FFC16D6">
            <wp:extent cx="4572000" cy="2753360"/>
            <wp:effectExtent l="0" t="0" r="0" b="2540"/>
            <wp:docPr id="5" name="Chart 5">
              <a:extLst xmlns:a="http://schemas.openxmlformats.org/drawingml/2006/main">
                <a:ext uri="{FF2B5EF4-FFF2-40B4-BE49-F238E27FC236}">
                  <a16:creationId xmlns:a16="http://schemas.microsoft.com/office/drawing/2014/main" id="{2E591326-2E0B-C344-A506-C3F3063E6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5161F9" w14:textId="77777777" w:rsidR="00D06E84" w:rsidRDefault="00D06E84" w:rsidP="004926F3">
      <w:pPr>
        <w:pStyle w:val="Caption"/>
        <w:spacing w:line="360" w:lineRule="auto"/>
        <w:rPr>
          <w:rFonts w:ascii="Times New Roman" w:hAnsi="Times New Roman" w:cs="Times New Roman"/>
          <w:i/>
          <w:iCs/>
          <w:sz w:val="21"/>
          <w:szCs w:val="21"/>
        </w:rPr>
      </w:pPr>
      <w:r w:rsidRPr="0007570B">
        <w:rPr>
          <w:rFonts w:ascii="Times New Roman" w:hAnsi="Times New Roman" w:cs="Times New Roman"/>
          <w:i/>
          <w:iCs/>
          <w:sz w:val="21"/>
          <w:szCs w:val="21"/>
        </w:rPr>
        <w:t xml:space="preserve">Source: Lotus Investor Presentation, Carolina Journal, </w:t>
      </w:r>
      <w:proofErr w:type="spellStart"/>
      <w:r w:rsidRPr="0007570B">
        <w:rPr>
          <w:rFonts w:ascii="Times New Roman" w:hAnsi="Times New Roman" w:cs="Times New Roman"/>
          <w:i/>
          <w:iCs/>
          <w:sz w:val="21"/>
          <w:szCs w:val="21"/>
        </w:rPr>
        <w:t>insideevs</w:t>
      </w:r>
      <w:proofErr w:type="spellEnd"/>
      <w:r w:rsidRPr="0007570B">
        <w:rPr>
          <w:rFonts w:ascii="Times New Roman" w:hAnsi="Times New Roman" w:cs="Times New Roman"/>
          <w:i/>
          <w:iCs/>
          <w:sz w:val="21"/>
          <w:szCs w:val="21"/>
        </w:rPr>
        <w:t xml:space="preserve">, </w:t>
      </w:r>
      <w:proofErr w:type="spellStart"/>
      <w:r w:rsidRPr="0007570B">
        <w:rPr>
          <w:rFonts w:ascii="Times New Roman" w:hAnsi="Times New Roman" w:cs="Times New Roman"/>
          <w:i/>
          <w:iCs/>
          <w:sz w:val="21"/>
          <w:szCs w:val="21"/>
        </w:rPr>
        <w:t>CleanTechnica</w:t>
      </w:r>
      <w:proofErr w:type="spellEnd"/>
    </w:p>
    <w:p w14:paraId="230AEDB7" w14:textId="77777777" w:rsidR="00D06E84" w:rsidRPr="004926F3" w:rsidRDefault="00D06E84" w:rsidP="004926F3">
      <w:pPr>
        <w:jc w:val="center"/>
        <w:rPr>
          <w:rFonts w:eastAsiaTheme="minorEastAsia"/>
          <w:lang w:val="en-US"/>
        </w:rPr>
      </w:pPr>
    </w:p>
    <w:p w14:paraId="3B1AB308" w14:textId="77777777" w:rsidR="007A7C57" w:rsidRDefault="007A7C57" w:rsidP="007A7C57">
      <w:pPr>
        <w:pStyle w:val="IBSG4"/>
        <w:spacing w:before="0" w:after="0" w:line="360" w:lineRule="auto"/>
      </w:pPr>
      <w:bookmarkStart w:id="11" w:name="_Toc131092061"/>
      <w:r w:rsidRPr="5FAF5E2E">
        <w:lastRenderedPageBreak/>
        <w:t>2.1.6</w:t>
      </w:r>
      <w:r w:rsidRPr="007A7C57">
        <w:t xml:space="preserve"> </w:t>
      </w:r>
      <w:r w:rsidRPr="5FAF5E2E">
        <w:t>China Market Size Forecast</w:t>
      </w:r>
      <w:bookmarkEnd w:id="11"/>
    </w:p>
    <w:p w14:paraId="0A531E50" w14:textId="230C9DE4" w:rsidR="007A7C57" w:rsidRPr="007A7C57" w:rsidRDefault="007A7C57" w:rsidP="007A7C57">
      <w:pPr>
        <w:spacing w:line="360" w:lineRule="auto"/>
        <w:jc w:val="both"/>
      </w:pPr>
      <w:r w:rsidRPr="007A7C57">
        <w:t>In China</w:t>
      </w:r>
      <w:r w:rsidR="004C5751">
        <w:t>’s</w:t>
      </w:r>
      <w:r w:rsidRPr="007A7C57">
        <w:t xml:space="preserve"> luxury electric vehicle market, the luxury electric vehicle models mainly concentrate around 576,000RMB with a weighted average price of 585,000RMB. The market size is expected to grow </w:t>
      </w:r>
      <w:r w:rsidR="00671AF2">
        <w:t xml:space="preserve">at a high rate in 2023 as </w:t>
      </w:r>
      <w:r w:rsidR="004C5751">
        <w:t>many new luxury electric models are introduced to China, which will generate rapid growth in the average price of luxury electric vehicles</w:t>
      </w:r>
      <w:r w:rsidR="00671AF2">
        <w:t xml:space="preserve"> and </w:t>
      </w:r>
      <w:r w:rsidR="00AA0037">
        <w:t xml:space="preserve">sales volume. After 2023, the market size is expected to grow </w:t>
      </w:r>
      <w:r w:rsidRPr="007A7C57">
        <w:t xml:space="preserve">at a compounded </w:t>
      </w:r>
      <w:r w:rsidR="00D06E84" w:rsidRPr="007A7C57">
        <w:t>annual</w:t>
      </w:r>
      <w:r w:rsidRPr="007A7C57">
        <w:t xml:space="preserve"> growth rate of </w:t>
      </w:r>
      <w:r w:rsidR="00671AF2">
        <w:t>63</w:t>
      </w:r>
      <w:r w:rsidRPr="007A7C57">
        <w:t>% in 2024</w:t>
      </w:r>
      <w:r w:rsidR="00AA0037">
        <w:t xml:space="preserve"> and </w:t>
      </w:r>
      <w:r w:rsidRPr="007A7C57">
        <w:t xml:space="preserve">2025 respectively. </w:t>
      </w:r>
    </w:p>
    <w:p w14:paraId="31BEA5D3" w14:textId="77777777" w:rsidR="007A7C57" w:rsidRDefault="007A7C57" w:rsidP="007A7C57">
      <w:pPr>
        <w:pStyle w:val="IBSG4"/>
        <w:spacing w:before="0" w:after="0" w:line="360" w:lineRule="auto"/>
      </w:pPr>
      <w:bookmarkStart w:id="12" w:name="_Toc131092062"/>
      <w:r w:rsidRPr="5FAF5E2E">
        <w:t>2.1.7</w:t>
      </w:r>
      <w:r w:rsidRPr="007A7C57">
        <w:t xml:space="preserve"> Global</w:t>
      </w:r>
      <w:r w:rsidRPr="5FAF5E2E">
        <w:t xml:space="preserve"> Market Size Forecast</w:t>
      </w:r>
      <w:bookmarkEnd w:id="12"/>
    </w:p>
    <w:p w14:paraId="79EC636B" w14:textId="5E95D42D" w:rsidR="007A7C57" w:rsidRPr="007A7C57" w:rsidRDefault="007A7C57" w:rsidP="007A7C57">
      <w:pPr>
        <w:spacing w:line="360" w:lineRule="auto"/>
        <w:jc w:val="both"/>
      </w:pPr>
      <w:r w:rsidRPr="007A7C57">
        <w:t>The price levels used for markets besides China market are different</w:t>
      </w:r>
      <w:r w:rsidR="004C5751">
        <w:t>,</w:t>
      </w:r>
      <w:r w:rsidRPr="007A7C57">
        <w:t xml:space="preserve"> as existing luxury vehicle models in regions other than China have a higher price range. Though the price levels and growth rates may differ across the regions except for China, here assumes that the price levels and growth rates are like those in the US with some </w:t>
      </w:r>
      <w:r w:rsidR="00AA0037">
        <w:t>adjustments</w:t>
      </w:r>
      <w:r w:rsidRPr="007A7C57">
        <w:t xml:space="preserve"> and the difference is minor which will not affect the forecast result. </w:t>
      </w:r>
      <w:r>
        <w:t>Here also assumes that the luxury vehicle average prices will not fluctuate severely in the forecast period and will not affect the forecast result.</w:t>
      </w:r>
    </w:p>
    <w:p w14:paraId="06721381" w14:textId="38C341FD" w:rsidR="00D06E84" w:rsidRDefault="007A7C57" w:rsidP="00D06E84">
      <w:pPr>
        <w:spacing w:line="360" w:lineRule="auto"/>
        <w:jc w:val="both"/>
      </w:pPr>
      <w:r w:rsidRPr="007A7C57">
        <w:t>In US luxury electric market, the luxury electric vehicle models mainly concentrate around 119,000 USD with a weighted average price of 120,904 USD. The market size is expected to have a compounded annual growth rate of around 3</w:t>
      </w:r>
      <w:r w:rsidR="00AA0037">
        <w:t>8</w:t>
      </w:r>
      <w:r w:rsidRPr="007A7C57">
        <w:t xml:space="preserve">%. </w:t>
      </w:r>
    </w:p>
    <w:p w14:paraId="29343B29" w14:textId="65E1F3BA"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4</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xml:space="preserve">: </w:t>
      </w:r>
      <w:r>
        <w:rPr>
          <w:rFonts w:ascii="Times New Roman" w:hAnsi="Times New Roman" w:cs="Times New Roman"/>
          <w:i/>
          <w:iCs/>
          <w:sz w:val="21"/>
          <w:szCs w:val="21"/>
        </w:rPr>
        <w:t xml:space="preserve">2022-2025 </w:t>
      </w:r>
      <w:r w:rsidRPr="004926F3">
        <w:rPr>
          <w:rFonts w:ascii="Times New Roman" w:hAnsi="Times New Roman" w:cs="Times New Roman"/>
          <w:i/>
          <w:iCs/>
          <w:sz w:val="21"/>
          <w:szCs w:val="21"/>
        </w:rPr>
        <w:t>Market Size of Luxury Electric Vehicles in Different Regions</w:t>
      </w:r>
    </w:p>
    <w:tbl>
      <w:tblPr>
        <w:tblW w:w="9140" w:type="dxa"/>
        <w:jc w:val="center"/>
        <w:tblLook w:val="04A0" w:firstRow="1" w:lastRow="0" w:firstColumn="1" w:lastColumn="0" w:noHBand="0" w:noVBand="1"/>
      </w:tblPr>
      <w:tblGrid>
        <w:gridCol w:w="1300"/>
        <w:gridCol w:w="1960"/>
        <w:gridCol w:w="1960"/>
        <w:gridCol w:w="1960"/>
        <w:gridCol w:w="1960"/>
      </w:tblGrid>
      <w:tr w:rsidR="00D06E84" w14:paraId="3B2EAD90" w14:textId="77777777" w:rsidTr="004926F3">
        <w:trPr>
          <w:trHeight w:val="640"/>
          <w:jc w:val="center"/>
        </w:trPr>
        <w:tc>
          <w:tcPr>
            <w:tcW w:w="130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5270630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Market Size (USD)</w:t>
            </w:r>
          </w:p>
        </w:tc>
        <w:tc>
          <w:tcPr>
            <w:tcW w:w="1960" w:type="dxa"/>
            <w:tcBorders>
              <w:top w:val="single" w:sz="12" w:space="0" w:color="375623"/>
              <w:left w:val="nil"/>
              <w:bottom w:val="nil"/>
              <w:right w:val="single" w:sz="8" w:space="0" w:color="auto"/>
            </w:tcBorders>
            <w:shd w:val="clear" w:color="000000" w:fill="003300"/>
            <w:vAlign w:val="center"/>
            <w:hideMark/>
          </w:tcPr>
          <w:p w14:paraId="3C93CAE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2022</w:t>
            </w:r>
          </w:p>
        </w:tc>
        <w:tc>
          <w:tcPr>
            <w:tcW w:w="1960" w:type="dxa"/>
            <w:tcBorders>
              <w:top w:val="single" w:sz="12" w:space="0" w:color="375623"/>
              <w:left w:val="nil"/>
              <w:bottom w:val="nil"/>
              <w:right w:val="single" w:sz="8" w:space="0" w:color="auto"/>
            </w:tcBorders>
            <w:shd w:val="clear" w:color="000000" w:fill="003300"/>
            <w:vAlign w:val="center"/>
            <w:hideMark/>
          </w:tcPr>
          <w:p w14:paraId="0CDACA3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408C8DD3"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6B29BC6E"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2025E</w:t>
            </w:r>
          </w:p>
        </w:tc>
      </w:tr>
      <w:tr w:rsidR="00D06E84" w14:paraId="3E123D84"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08C552D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7E0AB" w14:textId="72C10C64" w:rsidR="00D06E84" w:rsidRPr="004926F3" w:rsidRDefault="00D06E84" w:rsidP="004926F3">
            <w:pPr>
              <w:spacing w:line="360" w:lineRule="auto"/>
              <w:jc w:val="right"/>
              <w:rPr>
                <w:color w:val="000000"/>
                <w:sz w:val="20"/>
                <w:szCs w:val="20"/>
              </w:rPr>
            </w:pPr>
            <w:r w:rsidRPr="004926F3">
              <w:rPr>
                <w:color w:val="000000"/>
                <w:sz w:val="20"/>
                <w:szCs w:val="20"/>
              </w:rPr>
              <w:t>10,616,446,575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6A42BC70" w14:textId="5808DE20" w:rsidR="00D06E84" w:rsidRPr="004926F3" w:rsidRDefault="00D06E84" w:rsidP="004926F3">
            <w:pPr>
              <w:spacing w:line="360" w:lineRule="auto"/>
              <w:jc w:val="right"/>
              <w:rPr>
                <w:color w:val="000000"/>
                <w:sz w:val="20"/>
                <w:szCs w:val="20"/>
              </w:rPr>
            </w:pPr>
            <w:r w:rsidRPr="004926F3">
              <w:rPr>
                <w:color w:val="000000"/>
                <w:sz w:val="20"/>
                <w:szCs w:val="20"/>
              </w:rPr>
              <w:t>14,544,531,80</w:t>
            </w:r>
            <w:r>
              <w:rPr>
                <w:color w:val="000000"/>
                <w:sz w:val="20"/>
                <w:szCs w:val="20"/>
              </w:rPr>
              <w:t>8</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D43F6FF" w14:textId="2494E949" w:rsidR="00D06E84" w:rsidRPr="004926F3" w:rsidRDefault="00D06E84" w:rsidP="004926F3">
            <w:pPr>
              <w:spacing w:line="360" w:lineRule="auto"/>
              <w:jc w:val="right"/>
              <w:rPr>
                <w:color w:val="000000"/>
                <w:sz w:val="20"/>
                <w:szCs w:val="20"/>
              </w:rPr>
            </w:pPr>
            <w:r w:rsidRPr="004926F3">
              <w:rPr>
                <w:color w:val="000000"/>
                <w:sz w:val="20"/>
                <w:szCs w:val="20"/>
              </w:rPr>
              <w:t>19,926,008,57</w:t>
            </w:r>
            <w:r>
              <w:rPr>
                <w:color w:val="000000"/>
                <w:sz w:val="20"/>
                <w:szCs w:val="20"/>
              </w:rPr>
              <w:t>7</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367541A" w14:textId="3A647796" w:rsidR="00D06E84" w:rsidRPr="004926F3" w:rsidRDefault="00D06E84" w:rsidP="004926F3">
            <w:pPr>
              <w:spacing w:line="360" w:lineRule="auto"/>
              <w:jc w:val="right"/>
              <w:rPr>
                <w:color w:val="000000"/>
                <w:sz w:val="20"/>
                <w:szCs w:val="20"/>
              </w:rPr>
            </w:pPr>
            <w:r w:rsidRPr="004926F3">
              <w:rPr>
                <w:color w:val="000000"/>
                <w:sz w:val="20"/>
                <w:szCs w:val="20"/>
              </w:rPr>
              <w:t>27,298,631,7</w:t>
            </w:r>
            <w:r>
              <w:rPr>
                <w:color w:val="000000"/>
                <w:sz w:val="20"/>
                <w:szCs w:val="20"/>
              </w:rPr>
              <w:t>50</w:t>
            </w:r>
          </w:p>
        </w:tc>
      </w:tr>
      <w:tr w:rsidR="00D06E84" w14:paraId="316896C8"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5CCEC32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03216C9D" w14:textId="0175D004" w:rsidR="00D06E84" w:rsidRPr="004926F3" w:rsidRDefault="00D06E84" w:rsidP="004926F3">
            <w:pPr>
              <w:spacing w:line="360" w:lineRule="auto"/>
              <w:jc w:val="right"/>
              <w:rPr>
                <w:color w:val="000000"/>
                <w:sz w:val="20"/>
                <w:szCs w:val="20"/>
              </w:rPr>
            </w:pPr>
            <w:r w:rsidRPr="004926F3">
              <w:rPr>
                <w:color w:val="000000"/>
                <w:sz w:val="20"/>
                <w:szCs w:val="20"/>
              </w:rPr>
              <w:t>1,187,190,000</w:t>
            </w:r>
          </w:p>
        </w:tc>
        <w:tc>
          <w:tcPr>
            <w:tcW w:w="1960" w:type="dxa"/>
            <w:tcBorders>
              <w:top w:val="nil"/>
              <w:left w:val="nil"/>
              <w:bottom w:val="single" w:sz="4" w:space="0" w:color="auto"/>
              <w:right w:val="single" w:sz="4" w:space="0" w:color="auto"/>
            </w:tcBorders>
            <w:shd w:val="clear" w:color="000000" w:fill="E2EFD9"/>
            <w:vAlign w:val="center"/>
            <w:hideMark/>
          </w:tcPr>
          <w:p w14:paraId="3450746A" w14:textId="7B96BDE4" w:rsidR="00D06E84" w:rsidRPr="004926F3" w:rsidRDefault="00D06E84" w:rsidP="004926F3">
            <w:pPr>
              <w:spacing w:line="360" w:lineRule="auto"/>
              <w:jc w:val="right"/>
              <w:rPr>
                <w:color w:val="000000"/>
                <w:sz w:val="20"/>
                <w:szCs w:val="20"/>
              </w:rPr>
            </w:pPr>
            <w:r w:rsidRPr="004926F3">
              <w:rPr>
                <w:color w:val="000000"/>
                <w:sz w:val="20"/>
                <w:szCs w:val="20"/>
              </w:rPr>
              <w:t>1,602,706,500</w:t>
            </w:r>
          </w:p>
        </w:tc>
        <w:tc>
          <w:tcPr>
            <w:tcW w:w="1960" w:type="dxa"/>
            <w:tcBorders>
              <w:top w:val="nil"/>
              <w:left w:val="nil"/>
              <w:bottom w:val="single" w:sz="4" w:space="0" w:color="auto"/>
              <w:right w:val="single" w:sz="4" w:space="0" w:color="auto"/>
            </w:tcBorders>
            <w:shd w:val="clear" w:color="000000" w:fill="E2EFD9"/>
            <w:vAlign w:val="center"/>
            <w:hideMark/>
          </w:tcPr>
          <w:p w14:paraId="0D8ED4E3" w14:textId="1819774F" w:rsidR="00D06E84" w:rsidRPr="004926F3" w:rsidRDefault="00D06E84" w:rsidP="004926F3">
            <w:pPr>
              <w:spacing w:line="360" w:lineRule="auto"/>
              <w:jc w:val="right"/>
              <w:rPr>
                <w:color w:val="000000"/>
                <w:sz w:val="20"/>
                <w:szCs w:val="20"/>
              </w:rPr>
            </w:pPr>
            <w:r w:rsidRPr="004926F3">
              <w:rPr>
                <w:color w:val="000000"/>
                <w:sz w:val="20"/>
                <w:szCs w:val="20"/>
              </w:rPr>
              <w:t>2,163,653,775</w:t>
            </w:r>
          </w:p>
        </w:tc>
        <w:tc>
          <w:tcPr>
            <w:tcW w:w="1960" w:type="dxa"/>
            <w:tcBorders>
              <w:top w:val="nil"/>
              <w:left w:val="nil"/>
              <w:bottom w:val="single" w:sz="4" w:space="0" w:color="auto"/>
              <w:right w:val="single" w:sz="4" w:space="0" w:color="auto"/>
            </w:tcBorders>
            <w:shd w:val="clear" w:color="000000" w:fill="E2EFD9"/>
            <w:vAlign w:val="center"/>
            <w:hideMark/>
          </w:tcPr>
          <w:p w14:paraId="3B89D2CB" w14:textId="0BFAAF9B" w:rsidR="00D06E84" w:rsidRPr="004926F3" w:rsidRDefault="00D06E84" w:rsidP="004926F3">
            <w:pPr>
              <w:spacing w:line="360" w:lineRule="auto"/>
              <w:jc w:val="right"/>
              <w:rPr>
                <w:color w:val="000000"/>
                <w:sz w:val="20"/>
                <w:szCs w:val="20"/>
              </w:rPr>
            </w:pPr>
            <w:r w:rsidRPr="004926F3">
              <w:rPr>
                <w:color w:val="000000"/>
                <w:sz w:val="20"/>
                <w:szCs w:val="20"/>
              </w:rPr>
              <w:t>2,920,932,596</w:t>
            </w:r>
          </w:p>
        </w:tc>
      </w:tr>
      <w:tr w:rsidR="00D06E84" w14:paraId="3C68FCB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46D32C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C40BD27" w14:textId="5FDF0BA6" w:rsidR="00D06E84" w:rsidRPr="004926F3" w:rsidRDefault="00D06E84" w:rsidP="004926F3">
            <w:pPr>
              <w:spacing w:line="360" w:lineRule="auto"/>
              <w:jc w:val="right"/>
              <w:rPr>
                <w:color w:val="000000"/>
                <w:sz w:val="20"/>
                <w:szCs w:val="20"/>
              </w:rPr>
            </w:pPr>
            <w:r w:rsidRPr="004926F3">
              <w:rPr>
                <w:color w:val="000000"/>
                <w:sz w:val="20"/>
                <w:szCs w:val="20"/>
              </w:rPr>
              <w:t>5,830,422,000</w:t>
            </w:r>
          </w:p>
        </w:tc>
        <w:tc>
          <w:tcPr>
            <w:tcW w:w="1960" w:type="dxa"/>
            <w:tcBorders>
              <w:top w:val="nil"/>
              <w:left w:val="nil"/>
              <w:bottom w:val="single" w:sz="4" w:space="0" w:color="auto"/>
              <w:right w:val="single" w:sz="4" w:space="0" w:color="auto"/>
            </w:tcBorders>
            <w:shd w:val="clear" w:color="auto" w:fill="auto"/>
            <w:noWrap/>
            <w:vAlign w:val="center"/>
            <w:hideMark/>
          </w:tcPr>
          <w:p w14:paraId="1AA54CFF" w14:textId="23F8BE85" w:rsidR="00D06E84" w:rsidRPr="004926F3" w:rsidRDefault="00D06E84" w:rsidP="004926F3">
            <w:pPr>
              <w:spacing w:line="360" w:lineRule="auto"/>
              <w:jc w:val="right"/>
              <w:rPr>
                <w:color w:val="000000"/>
                <w:sz w:val="20"/>
                <w:szCs w:val="20"/>
              </w:rPr>
            </w:pPr>
            <w:r w:rsidRPr="004926F3">
              <w:rPr>
                <w:color w:val="000000"/>
                <w:sz w:val="20"/>
                <w:szCs w:val="20"/>
              </w:rPr>
              <w:t>8,012,464,6</w:t>
            </w:r>
            <w:r>
              <w:rPr>
                <w:color w:val="000000"/>
                <w:sz w:val="20"/>
                <w:szCs w:val="20"/>
              </w:rPr>
              <w:t>30</w:t>
            </w:r>
          </w:p>
        </w:tc>
        <w:tc>
          <w:tcPr>
            <w:tcW w:w="1960" w:type="dxa"/>
            <w:tcBorders>
              <w:top w:val="nil"/>
              <w:left w:val="nil"/>
              <w:bottom w:val="single" w:sz="4" w:space="0" w:color="auto"/>
              <w:right w:val="single" w:sz="4" w:space="0" w:color="auto"/>
            </w:tcBorders>
            <w:shd w:val="clear" w:color="auto" w:fill="auto"/>
            <w:noWrap/>
            <w:vAlign w:val="center"/>
            <w:hideMark/>
          </w:tcPr>
          <w:p w14:paraId="5287A595" w14:textId="5B783FF3" w:rsidR="00D06E84" w:rsidRPr="004926F3" w:rsidRDefault="00D06E84" w:rsidP="004926F3">
            <w:pPr>
              <w:spacing w:line="360" w:lineRule="auto"/>
              <w:jc w:val="right"/>
              <w:rPr>
                <w:color w:val="000000"/>
                <w:sz w:val="20"/>
                <w:szCs w:val="20"/>
              </w:rPr>
            </w:pPr>
            <w:r w:rsidRPr="004926F3">
              <w:rPr>
                <w:color w:val="000000"/>
                <w:sz w:val="20"/>
                <w:szCs w:val="20"/>
              </w:rPr>
              <w:t>11,011,139,406</w:t>
            </w:r>
          </w:p>
        </w:tc>
        <w:tc>
          <w:tcPr>
            <w:tcW w:w="1960" w:type="dxa"/>
            <w:tcBorders>
              <w:top w:val="nil"/>
              <w:left w:val="nil"/>
              <w:bottom w:val="single" w:sz="4" w:space="0" w:color="auto"/>
              <w:right w:val="single" w:sz="4" w:space="0" w:color="auto"/>
            </w:tcBorders>
            <w:shd w:val="clear" w:color="auto" w:fill="auto"/>
            <w:noWrap/>
            <w:vAlign w:val="center"/>
            <w:hideMark/>
          </w:tcPr>
          <w:p w14:paraId="38E821E4" w14:textId="63A7431F" w:rsidR="00D06E84" w:rsidRPr="004926F3" w:rsidRDefault="00D06E84" w:rsidP="004926F3">
            <w:pPr>
              <w:spacing w:line="360" w:lineRule="auto"/>
              <w:jc w:val="right"/>
              <w:rPr>
                <w:color w:val="000000"/>
                <w:sz w:val="20"/>
                <w:szCs w:val="20"/>
              </w:rPr>
            </w:pPr>
            <w:r w:rsidRPr="004926F3">
              <w:rPr>
                <w:color w:val="000000"/>
                <w:sz w:val="20"/>
                <w:szCs w:val="20"/>
              </w:rPr>
              <w:t>15,132,071,9</w:t>
            </w:r>
            <w:r>
              <w:rPr>
                <w:color w:val="000000"/>
                <w:sz w:val="20"/>
                <w:szCs w:val="20"/>
              </w:rPr>
              <w:t>20</w:t>
            </w:r>
          </w:p>
        </w:tc>
      </w:tr>
      <w:tr w:rsidR="00D06E84" w14:paraId="26796B8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22B4175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1EFCE59" w14:textId="6A85DC0E" w:rsidR="00D06E84" w:rsidRPr="004926F3" w:rsidRDefault="00D06E84" w:rsidP="004926F3">
            <w:pPr>
              <w:spacing w:line="360" w:lineRule="auto"/>
              <w:jc w:val="right"/>
              <w:rPr>
                <w:color w:val="000000"/>
                <w:sz w:val="20"/>
                <w:szCs w:val="20"/>
              </w:rPr>
            </w:pPr>
            <w:r w:rsidRPr="004926F3">
              <w:rPr>
                <w:color w:val="000000"/>
                <w:sz w:val="20"/>
                <w:szCs w:val="20"/>
              </w:rPr>
              <w:t>2,711,971,360</w:t>
            </w:r>
          </w:p>
        </w:tc>
        <w:tc>
          <w:tcPr>
            <w:tcW w:w="1960" w:type="dxa"/>
            <w:tcBorders>
              <w:top w:val="nil"/>
              <w:left w:val="nil"/>
              <w:bottom w:val="single" w:sz="4" w:space="0" w:color="auto"/>
              <w:right w:val="single" w:sz="4" w:space="0" w:color="auto"/>
            </w:tcBorders>
            <w:shd w:val="clear" w:color="000000" w:fill="E2EFD9"/>
            <w:vAlign w:val="center"/>
            <w:hideMark/>
          </w:tcPr>
          <w:p w14:paraId="17CC2E8F" w14:textId="3FB1240B" w:rsidR="00D06E84" w:rsidRPr="004926F3" w:rsidRDefault="00D06E84" w:rsidP="004926F3">
            <w:pPr>
              <w:spacing w:line="360" w:lineRule="auto"/>
              <w:jc w:val="right"/>
              <w:rPr>
                <w:color w:val="000000"/>
                <w:sz w:val="20"/>
                <w:szCs w:val="20"/>
              </w:rPr>
            </w:pPr>
            <w:r w:rsidRPr="004926F3">
              <w:rPr>
                <w:color w:val="000000"/>
                <w:sz w:val="20"/>
                <w:szCs w:val="20"/>
              </w:rPr>
              <w:t>5,017,147,016</w:t>
            </w:r>
          </w:p>
        </w:tc>
        <w:tc>
          <w:tcPr>
            <w:tcW w:w="1960" w:type="dxa"/>
            <w:tcBorders>
              <w:top w:val="nil"/>
              <w:left w:val="nil"/>
              <w:bottom w:val="single" w:sz="4" w:space="0" w:color="auto"/>
              <w:right w:val="single" w:sz="4" w:space="0" w:color="auto"/>
            </w:tcBorders>
            <w:shd w:val="clear" w:color="000000" w:fill="E2EFD9"/>
            <w:vAlign w:val="center"/>
            <w:hideMark/>
          </w:tcPr>
          <w:p w14:paraId="0F22F21A" w14:textId="71D7B4D8" w:rsidR="00D06E84" w:rsidRPr="004926F3" w:rsidRDefault="00D06E84" w:rsidP="004926F3">
            <w:pPr>
              <w:spacing w:line="360" w:lineRule="auto"/>
              <w:jc w:val="right"/>
              <w:rPr>
                <w:color w:val="000000"/>
                <w:sz w:val="20"/>
                <w:szCs w:val="20"/>
              </w:rPr>
            </w:pPr>
            <w:r w:rsidRPr="004926F3">
              <w:rPr>
                <w:color w:val="000000"/>
                <w:sz w:val="20"/>
                <w:szCs w:val="20"/>
              </w:rPr>
              <w:t>8,177,949,636</w:t>
            </w:r>
          </w:p>
        </w:tc>
        <w:tc>
          <w:tcPr>
            <w:tcW w:w="1960" w:type="dxa"/>
            <w:tcBorders>
              <w:top w:val="nil"/>
              <w:left w:val="nil"/>
              <w:bottom w:val="single" w:sz="4" w:space="0" w:color="auto"/>
              <w:right w:val="single" w:sz="4" w:space="0" w:color="auto"/>
            </w:tcBorders>
            <w:shd w:val="clear" w:color="000000" w:fill="E2EFD9"/>
            <w:vAlign w:val="center"/>
            <w:hideMark/>
          </w:tcPr>
          <w:p w14:paraId="4AAE943B" w14:textId="520C4F7E" w:rsidR="00D06E84" w:rsidRPr="004926F3" w:rsidRDefault="00D06E84" w:rsidP="004926F3">
            <w:pPr>
              <w:spacing w:line="360" w:lineRule="auto"/>
              <w:jc w:val="right"/>
              <w:rPr>
                <w:color w:val="000000"/>
                <w:sz w:val="20"/>
                <w:szCs w:val="20"/>
              </w:rPr>
            </w:pPr>
            <w:r w:rsidRPr="004926F3">
              <w:rPr>
                <w:color w:val="000000"/>
                <w:sz w:val="20"/>
                <w:szCs w:val="20"/>
              </w:rPr>
              <w:t>13,330,057,90</w:t>
            </w:r>
            <w:r>
              <w:rPr>
                <w:color w:val="000000"/>
                <w:sz w:val="20"/>
                <w:szCs w:val="20"/>
              </w:rPr>
              <w:t>7</w:t>
            </w:r>
          </w:p>
        </w:tc>
      </w:tr>
      <w:tr w:rsidR="00D06E84" w14:paraId="51CCC800"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B1F20EB"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43E890D" w14:textId="79214C8A" w:rsidR="00D06E84" w:rsidRPr="004926F3" w:rsidRDefault="00D06E84" w:rsidP="004926F3">
            <w:pPr>
              <w:spacing w:line="360" w:lineRule="auto"/>
              <w:jc w:val="right"/>
              <w:rPr>
                <w:color w:val="000000"/>
                <w:sz w:val="20"/>
                <w:szCs w:val="20"/>
              </w:rPr>
            </w:pPr>
            <w:r w:rsidRPr="004926F3">
              <w:rPr>
                <w:color w:val="000000"/>
                <w:sz w:val="20"/>
                <w:szCs w:val="20"/>
              </w:rPr>
              <w:t>106,164,46</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3E1C7B9C" w14:textId="64A968FD" w:rsidR="00D06E84" w:rsidRPr="004926F3" w:rsidRDefault="00D06E84" w:rsidP="004926F3">
            <w:pPr>
              <w:spacing w:line="360" w:lineRule="auto"/>
              <w:jc w:val="right"/>
              <w:rPr>
                <w:color w:val="000000"/>
                <w:sz w:val="20"/>
                <w:szCs w:val="20"/>
              </w:rPr>
            </w:pPr>
            <w:r w:rsidRPr="004926F3">
              <w:rPr>
                <w:color w:val="000000"/>
                <w:sz w:val="20"/>
                <w:szCs w:val="20"/>
              </w:rPr>
              <w:t>145,445,318</w:t>
            </w:r>
          </w:p>
        </w:tc>
        <w:tc>
          <w:tcPr>
            <w:tcW w:w="1960" w:type="dxa"/>
            <w:tcBorders>
              <w:top w:val="nil"/>
              <w:left w:val="nil"/>
              <w:bottom w:val="single" w:sz="4" w:space="0" w:color="auto"/>
              <w:right w:val="single" w:sz="4" w:space="0" w:color="auto"/>
            </w:tcBorders>
            <w:shd w:val="clear" w:color="auto" w:fill="auto"/>
            <w:noWrap/>
            <w:vAlign w:val="center"/>
            <w:hideMark/>
          </w:tcPr>
          <w:p w14:paraId="65BED8E0" w14:textId="33060C93" w:rsidR="00D06E84" w:rsidRPr="004926F3" w:rsidRDefault="00D06E84" w:rsidP="004926F3">
            <w:pPr>
              <w:spacing w:line="360" w:lineRule="auto"/>
              <w:jc w:val="right"/>
              <w:rPr>
                <w:color w:val="000000"/>
                <w:sz w:val="20"/>
                <w:szCs w:val="20"/>
              </w:rPr>
            </w:pPr>
            <w:r w:rsidRPr="004926F3">
              <w:rPr>
                <w:color w:val="000000"/>
                <w:sz w:val="20"/>
                <w:szCs w:val="20"/>
              </w:rPr>
              <w:t>199,260,08</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6592F4F8" w14:textId="781D4538" w:rsidR="00D06E84" w:rsidRPr="004926F3" w:rsidRDefault="00D06E84" w:rsidP="004926F3">
            <w:pPr>
              <w:spacing w:line="360" w:lineRule="auto"/>
              <w:jc w:val="right"/>
              <w:rPr>
                <w:color w:val="000000"/>
                <w:sz w:val="20"/>
                <w:szCs w:val="20"/>
              </w:rPr>
            </w:pPr>
            <w:r w:rsidRPr="004926F3">
              <w:rPr>
                <w:color w:val="000000"/>
                <w:sz w:val="20"/>
                <w:szCs w:val="20"/>
              </w:rPr>
              <w:t>272,986,31</w:t>
            </w:r>
            <w:r>
              <w:rPr>
                <w:color w:val="000000"/>
                <w:sz w:val="20"/>
                <w:szCs w:val="20"/>
              </w:rPr>
              <w:t>8</w:t>
            </w:r>
          </w:p>
        </w:tc>
      </w:tr>
      <w:tr w:rsidR="00D06E84" w14:paraId="6B20C090" w14:textId="77777777" w:rsidTr="004926F3">
        <w:trPr>
          <w:trHeight w:val="320"/>
          <w:jc w:val="center"/>
        </w:trPr>
        <w:tc>
          <w:tcPr>
            <w:tcW w:w="1300" w:type="dxa"/>
            <w:tcBorders>
              <w:top w:val="nil"/>
              <w:left w:val="single" w:sz="12" w:space="0" w:color="375623"/>
              <w:bottom w:val="single" w:sz="12" w:space="0" w:color="375623"/>
              <w:right w:val="nil"/>
            </w:tcBorders>
            <w:shd w:val="clear" w:color="000000" w:fill="003300"/>
            <w:vAlign w:val="center"/>
            <w:hideMark/>
          </w:tcPr>
          <w:p w14:paraId="3821962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B89E3BA" w14:textId="394B1E5C" w:rsidR="00D06E84" w:rsidRPr="004926F3" w:rsidRDefault="00D06E84" w:rsidP="004926F3">
            <w:pPr>
              <w:spacing w:line="360" w:lineRule="auto"/>
              <w:jc w:val="right"/>
              <w:rPr>
                <w:color w:val="000000"/>
                <w:sz w:val="20"/>
                <w:szCs w:val="20"/>
              </w:rPr>
            </w:pPr>
            <w:r w:rsidRPr="004926F3">
              <w:rPr>
                <w:color w:val="000000"/>
                <w:sz w:val="20"/>
                <w:szCs w:val="20"/>
              </w:rPr>
              <w:t>20,452,194,400</w:t>
            </w:r>
          </w:p>
        </w:tc>
        <w:tc>
          <w:tcPr>
            <w:tcW w:w="1960" w:type="dxa"/>
            <w:tcBorders>
              <w:top w:val="nil"/>
              <w:left w:val="nil"/>
              <w:bottom w:val="single" w:sz="4" w:space="0" w:color="auto"/>
              <w:right w:val="single" w:sz="4" w:space="0" w:color="auto"/>
            </w:tcBorders>
            <w:shd w:val="clear" w:color="000000" w:fill="E2EFD9"/>
            <w:vAlign w:val="center"/>
            <w:hideMark/>
          </w:tcPr>
          <w:p w14:paraId="73F2520D" w14:textId="2ABD0CC7" w:rsidR="00D06E84" w:rsidRPr="004926F3" w:rsidRDefault="00D06E84" w:rsidP="004926F3">
            <w:pPr>
              <w:spacing w:line="360" w:lineRule="auto"/>
              <w:jc w:val="right"/>
              <w:rPr>
                <w:color w:val="000000"/>
                <w:sz w:val="20"/>
                <w:szCs w:val="20"/>
              </w:rPr>
            </w:pPr>
            <w:r w:rsidRPr="004926F3">
              <w:rPr>
                <w:color w:val="000000"/>
                <w:sz w:val="20"/>
                <w:szCs w:val="20"/>
              </w:rPr>
              <w:t>29,322,295,271</w:t>
            </w:r>
          </w:p>
        </w:tc>
        <w:tc>
          <w:tcPr>
            <w:tcW w:w="1960" w:type="dxa"/>
            <w:tcBorders>
              <w:top w:val="nil"/>
              <w:left w:val="nil"/>
              <w:bottom w:val="single" w:sz="4" w:space="0" w:color="auto"/>
              <w:right w:val="single" w:sz="4" w:space="0" w:color="auto"/>
            </w:tcBorders>
            <w:shd w:val="clear" w:color="000000" w:fill="E2EFD9"/>
            <w:vAlign w:val="center"/>
            <w:hideMark/>
          </w:tcPr>
          <w:p w14:paraId="3242A3C0" w14:textId="4BE0321A" w:rsidR="00D06E84" w:rsidRPr="004926F3" w:rsidRDefault="00D06E84" w:rsidP="004926F3">
            <w:pPr>
              <w:spacing w:line="360" w:lineRule="auto"/>
              <w:jc w:val="right"/>
              <w:rPr>
                <w:color w:val="000000"/>
                <w:sz w:val="20"/>
                <w:szCs w:val="20"/>
              </w:rPr>
            </w:pPr>
            <w:r w:rsidRPr="004926F3">
              <w:rPr>
                <w:color w:val="000000"/>
                <w:sz w:val="20"/>
                <w:szCs w:val="20"/>
              </w:rPr>
              <w:t>41,478,011,4</w:t>
            </w:r>
            <w:r>
              <w:rPr>
                <w:color w:val="000000"/>
                <w:sz w:val="20"/>
                <w:szCs w:val="20"/>
              </w:rPr>
              <w:t>80</w:t>
            </w:r>
          </w:p>
        </w:tc>
        <w:tc>
          <w:tcPr>
            <w:tcW w:w="1960" w:type="dxa"/>
            <w:tcBorders>
              <w:top w:val="nil"/>
              <w:left w:val="nil"/>
              <w:bottom w:val="single" w:sz="4" w:space="0" w:color="auto"/>
              <w:right w:val="single" w:sz="4" w:space="0" w:color="auto"/>
            </w:tcBorders>
            <w:shd w:val="clear" w:color="000000" w:fill="E2EFD9"/>
            <w:vAlign w:val="center"/>
            <w:hideMark/>
          </w:tcPr>
          <w:p w14:paraId="4190CD4C" w14:textId="2032613C" w:rsidR="00D06E84" w:rsidRPr="004926F3" w:rsidRDefault="00D06E84" w:rsidP="004926F3">
            <w:pPr>
              <w:keepNext/>
              <w:spacing w:line="360" w:lineRule="auto"/>
              <w:jc w:val="right"/>
              <w:rPr>
                <w:color w:val="000000"/>
                <w:sz w:val="20"/>
                <w:szCs w:val="20"/>
              </w:rPr>
            </w:pPr>
            <w:r w:rsidRPr="004926F3">
              <w:rPr>
                <w:color w:val="000000"/>
                <w:sz w:val="20"/>
                <w:szCs w:val="20"/>
              </w:rPr>
              <w:t>58,954,680,4</w:t>
            </w:r>
            <w:r>
              <w:rPr>
                <w:color w:val="000000"/>
                <w:sz w:val="20"/>
                <w:szCs w:val="20"/>
              </w:rPr>
              <w:t>90</w:t>
            </w:r>
          </w:p>
        </w:tc>
      </w:tr>
    </w:tbl>
    <w:p w14:paraId="11567C7A" w14:textId="35C759EF" w:rsidR="00D06E84" w:rsidRDefault="00D06E84" w:rsidP="004926F3">
      <w:pPr>
        <w:spacing w:line="360" w:lineRule="auto"/>
      </w:pPr>
      <w:r w:rsidRPr="004926F3">
        <w:rPr>
          <w:i/>
          <w:iCs/>
          <w:sz w:val="21"/>
          <w:szCs w:val="21"/>
        </w:rPr>
        <w:t xml:space="preserve">Source : Lotus Investor Presentation, Carolina Journal, </w:t>
      </w:r>
      <w:proofErr w:type="spellStart"/>
      <w:r w:rsidRPr="004926F3">
        <w:rPr>
          <w:i/>
          <w:iCs/>
          <w:sz w:val="21"/>
          <w:szCs w:val="21"/>
        </w:rPr>
        <w:t>insideevs</w:t>
      </w:r>
      <w:proofErr w:type="spellEnd"/>
      <w:r w:rsidRPr="004926F3">
        <w:rPr>
          <w:i/>
          <w:iCs/>
          <w:sz w:val="21"/>
          <w:szCs w:val="21"/>
        </w:rPr>
        <w:t xml:space="preserve">, </w:t>
      </w:r>
      <w:proofErr w:type="spellStart"/>
      <w:r w:rsidRPr="004926F3">
        <w:rPr>
          <w:i/>
          <w:iCs/>
          <w:sz w:val="21"/>
          <w:szCs w:val="21"/>
        </w:rPr>
        <w:t>CleanTechnica</w:t>
      </w:r>
      <w:proofErr w:type="spellEnd"/>
      <w:r w:rsidRPr="00D06E84">
        <w:rPr>
          <w:i/>
          <w:iCs/>
          <w:sz w:val="21"/>
          <w:szCs w:val="21"/>
        </w:rPr>
        <w:t xml:space="preserve">, </w:t>
      </w:r>
      <w:proofErr w:type="spellStart"/>
      <w:r w:rsidRPr="00D06E84">
        <w:rPr>
          <w:i/>
          <w:iCs/>
          <w:sz w:val="21"/>
          <w:szCs w:val="21"/>
        </w:rPr>
        <w:t>Autohome</w:t>
      </w:r>
      <w:proofErr w:type="spellEnd"/>
      <w:r w:rsidRPr="00D06E84">
        <w:rPr>
          <w:i/>
          <w:iCs/>
          <w:sz w:val="21"/>
          <w:szCs w:val="21"/>
        </w:rPr>
        <w:t xml:space="preserve"> Inc.</w:t>
      </w:r>
    </w:p>
    <w:p w14:paraId="2001051D" w14:textId="77777777" w:rsidR="00D06E84" w:rsidRPr="004926F3" w:rsidRDefault="00D06E84" w:rsidP="004926F3">
      <w:pPr>
        <w:rPr>
          <w:lang w:val="en-US"/>
        </w:rPr>
      </w:pPr>
    </w:p>
    <w:p w14:paraId="301C7CBF" w14:textId="77777777" w:rsidR="00BC58FB" w:rsidRDefault="00BC58FB" w:rsidP="007A7C57">
      <w:pPr>
        <w:pStyle w:val="Caption"/>
        <w:spacing w:line="360" w:lineRule="auto"/>
        <w:jc w:val="center"/>
        <w:rPr>
          <w:rFonts w:ascii="Times New Roman" w:hAnsi="Times New Roman" w:cs="Times New Roman"/>
          <w:i/>
          <w:iCs/>
          <w:sz w:val="21"/>
          <w:szCs w:val="21"/>
        </w:rPr>
      </w:pPr>
    </w:p>
    <w:p w14:paraId="56FBEF0E" w14:textId="77777777" w:rsidR="00BC58FB" w:rsidRDefault="00BC58FB" w:rsidP="007A7C57">
      <w:pPr>
        <w:pStyle w:val="Caption"/>
        <w:spacing w:line="360" w:lineRule="auto"/>
        <w:jc w:val="center"/>
        <w:rPr>
          <w:rFonts w:ascii="Times New Roman" w:hAnsi="Times New Roman" w:cs="Times New Roman"/>
          <w:i/>
          <w:iCs/>
          <w:sz w:val="21"/>
          <w:szCs w:val="21"/>
        </w:rPr>
      </w:pPr>
    </w:p>
    <w:p w14:paraId="3E16A01D" w14:textId="77777777" w:rsidR="00BC58FB" w:rsidRDefault="00BC58FB" w:rsidP="007A7C57">
      <w:pPr>
        <w:pStyle w:val="Caption"/>
        <w:spacing w:line="360" w:lineRule="auto"/>
        <w:jc w:val="center"/>
        <w:rPr>
          <w:rFonts w:ascii="Times New Roman" w:hAnsi="Times New Roman" w:cs="Times New Roman"/>
          <w:i/>
          <w:iCs/>
          <w:sz w:val="21"/>
          <w:szCs w:val="21"/>
        </w:rPr>
      </w:pPr>
    </w:p>
    <w:p w14:paraId="6CF069FF" w14:textId="77777777" w:rsidR="00BC58FB" w:rsidRDefault="00BC58FB" w:rsidP="007A7C57">
      <w:pPr>
        <w:pStyle w:val="Caption"/>
        <w:spacing w:line="360" w:lineRule="auto"/>
        <w:jc w:val="center"/>
        <w:rPr>
          <w:rFonts w:ascii="Times New Roman" w:hAnsi="Times New Roman" w:cs="Times New Roman"/>
          <w:i/>
          <w:iCs/>
          <w:sz w:val="21"/>
          <w:szCs w:val="21"/>
        </w:rPr>
      </w:pPr>
    </w:p>
    <w:p w14:paraId="423414F7" w14:textId="77777777" w:rsidR="00BC58FB" w:rsidRDefault="00BC58FB" w:rsidP="007A7C57">
      <w:pPr>
        <w:pStyle w:val="Caption"/>
        <w:spacing w:line="360" w:lineRule="auto"/>
        <w:jc w:val="center"/>
        <w:rPr>
          <w:rFonts w:ascii="Times New Roman" w:hAnsi="Times New Roman" w:cs="Times New Roman"/>
          <w:i/>
          <w:iCs/>
          <w:sz w:val="21"/>
          <w:szCs w:val="21"/>
        </w:rPr>
      </w:pPr>
    </w:p>
    <w:p w14:paraId="68156889" w14:textId="77777777" w:rsidR="00BC58FB" w:rsidRDefault="00BC58FB" w:rsidP="007A7C57">
      <w:pPr>
        <w:pStyle w:val="Caption"/>
        <w:spacing w:line="360" w:lineRule="auto"/>
        <w:jc w:val="center"/>
        <w:rPr>
          <w:rFonts w:ascii="Times New Roman" w:hAnsi="Times New Roman" w:cs="Times New Roman"/>
          <w:i/>
          <w:iCs/>
          <w:sz w:val="21"/>
          <w:szCs w:val="21"/>
        </w:rPr>
      </w:pPr>
    </w:p>
    <w:p w14:paraId="00AB597A" w14:textId="7E059F92" w:rsidR="00BC58FB" w:rsidRPr="00BC58FB" w:rsidRDefault="007A7C57" w:rsidP="00BC58FB">
      <w:pPr>
        <w:pStyle w:val="Caption"/>
        <w:spacing w:line="360" w:lineRule="auto"/>
        <w:jc w:val="center"/>
        <w:rPr>
          <w:rFonts w:ascii="Times New Roman" w:hAnsi="Times New Roman" w:cs="Times New Roman"/>
          <w:i/>
          <w:iCs/>
          <w:sz w:val="21"/>
          <w:szCs w:val="21"/>
        </w:rPr>
      </w:pPr>
      <w:r w:rsidRPr="00586D3D">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5</w:t>
      </w:r>
      <w:r w:rsidR="00D06E84">
        <w:rPr>
          <w:rFonts w:ascii="Times New Roman" w:hAnsi="Times New Roman" w:cs="Times New Roman"/>
          <w:i/>
          <w:iCs/>
          <w:sz w:val="21"/>
          <w:szCs w:val="21"/>
        </w:rPr>
        <w:fldChar w:fldCharType="end"/>
      </w:r>
      <w:r w:rsidRPr="00586D3D">
        <w:rPr>
          <w:rFonts w:ascii="Times New Roman" w:hAnsi="Times New Roman" w:cs="Times New Roman"/>
          <w:i/>
          <w:iCs/>
          <w:sz w:val="21"/>
          <w:szCs w:val="21"/>
        </w:rPr>
        <w:t xml:space="preserve">: </w:t>
      </w:r>
      <w:r w:rsidR="00D06E84">
        <w:rPr>
          <w:rFonts w:ascii="Times New Roman" w:hAnsi="Times New Roman" w:cs="Times New Roman"/>
          <w:i/>
          <w:iCs/>
          <w:sz w:val="21"/>
          <w:szCs w:val="21"/>
        </w:rPr>
        <w:t xml:space="preserve">2022-2025 </w:t>
      </w:r>
      <w:r w:rsidRPr="00586D3D">
        <w:rPr>
          <w:rFonts w:ascii="Times New Roman" w:hAnsi="Times New Roman" w:cs="Times New Roman"/>
          <w:i/>
          <w:iCs/>
          <w:sz w:val="21"/>
          <w:szCs w:val="21"/>
        </w:rPr>
        <w:t xml:space="preserve">Market Size of Luxury Electric </w:t>
      </w:r>
      <w:r>
        <w:rPr>
          <w:rFonts w:ascii="Times New Roman" w:hAnsi="Times New Roman" w:cs="Times New Roman"/>
          <w:i/>
          <w:iCs/>
          <w:sz w:val="21"/>
          <w:szCs w:val="21"/>
        </w:rPr>
        <w:t>Vehicles</w:t>
      </w:r>
      <w:r w:rsidRPr="00586D3D">
        <w:rPr>
          <w:rFonts w:ascii="Times New Roman" w:hAnsi="Times New Roman" w:cs="Times New Roman"/>
          <w:i/>
          <w:iCs/>
          <w:sz w:val="21"/>
          <w:szCs w:val="21"/>
        </w:rPr>
        <w:t xml:space="preserve"> by Region </w:t>
      </w:r>
    </w:p>
    <w:p w14:paraId="5CED4570" w14:textId="77777777" w:rsidR="007A7C57" w:rsidRDefault="00AA0037" w:rsidP="007A7C57">
      <w:pPr>
        <w:keepNext/>
        <w:jc w:val="center"/>
      </w:pPr>
      <w:r>
        <w:rPr>
          <w:noProof/>
        </w:rPr>
        <w:drawing>
          <wp:inline distT="0" distB="0" distL="0" distR="0" wp14:anchorId="19EF9C9F" wp14:editId="5C10AF7F">
            <wp:extent cx="4572000" cy="2743200"/>
            <wp:effectExtent l="0" t="0" r="0" b="0"/>
            <wp:docPr id="12" name="Chart 12">
              <a:extLst xmlns:a="http://schemas.openxmlformats.org/drawingml/2006/main">
                <a:ext uri="{FF2B5EF4-FFF2-40B4-BE49-F238E27FC236}">
                  <a16:creationId xmlns:a16="http://schemas.microsoft.com/office/drawing/2014/main" id="{A49111CE-BEA2-EA7A-8C7C-9069143CE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r w:rsidR="007A7C57">
        <w:rPr>
          <w:noProof/>
        </w:rPr>
        <w:t xml:space="preserve"> </w:t>
      </w:r>
    </w:p>
    <w:p w14:paraId="158DB554" w14:textId="3DFBCD18" w:rsidR="007A7C57" w:rsidRPr="00521877" w:rsidRDefault="007A7C57" w:rsidP="007A7C57">
      <w:pPr>
        <w:pStyle w:val="Caption"/>
        <w:spacing w:line="360" w:lineRule="auto"/>
        <w:rPr>
          <w:rFonts w:ascii="Times New Roman" w:hAnsi="Times New Roman" w:cs="Times New Roman"/>
          <w:i/>
          <w:sz w:val="21"/>
          <w:szCs w:val="21"/>
        </w:rPr>
      </w:pPr>
      <w:bookmarkStart w:id="13" w:name="OLE_LINK4"/>
      <w:r w:rsidRPr="00586D3D">
        <w:rPr>
          <w:rFonts w:ascii="Times New Roman" w:hAnsi="Times New Roman" w:cs="Times New Roman"/>
          <w:i/>
          <w:iCs/>
          <w:sz w:val="21"/>
          <w:szCs w:val="21"/>
        </w:rPr>
        <w:t>Source:</w:t>
      </w:r>
      <w:r>
        <w:rPr>
          <w:rFonts w:ascii="Times New Roman" w:hAnsi="Times New Roman" w:cs="Times New Roman"/>
          <w:i/>
          <w:iCs/>
          <w:sz w:val="21"/>
          <w:szCs w:val="21"/>
        </w:rPr>
        <w:t xml:space="preserve"> </w:t>
      </w:r>
      <w:r w:rsidRPr="00586D3D">
        <w:rPr>
          <w:rFonts w:ascii="Times New Roman" w:hAnsi="Times New Roman" w:cs="Times New Roman"/>
          <w:i/>
          <w:iCs/>
          <w:sz w:val="21"/>
          <w:szCs w:val="21"/>
        </w:rPr>
        <w:t>Lotus Investor Presentation,</w:t>
      </w:r>
      <w:r w:rsidR="004C5751">
        <w:rPr>
          <w:rFonts w:ascii="Times New Roman" w:hAnsi="Times New Roman" w:cs="Times New Roman"/>
          <w:i/>
          <w:iCs/>
          <w:sz w:val="21"/>
          <w:szCs w:val="21"/>
        </w:rPr>
        <w:t xml:space="preserve"> </w:t>
      </w:r>
      <w:r w:rsidRPr="00586D3D">
        <w:rPr>
          <w:rFonts w:ascii="Times New Roman" w:hAnsi="Times New Roman" w:cs="Times New Roman"/>
          <w:i/>
          <w:iCs/>
          <w:sz w:val="21"/>
          <w:szCs w:val="21"/>
        </w:rPr>
        <w:t>Carolina Journal,</w:t>
      </w:r>
      <w:r w:rsidR="004C5751">
        <w:rPr>
          <w:rFonts w:ascii="Times New Roman" w:hAnsi="Times New Roman" w:cs="Times New Roman"/>
          <w:i/>
          <w:iCs/>
          <w:sz w:val="21"/>
          <w:szCs w:val="21"/>
        </w:rPr>
        <w:t xml:space="preserve"> </w:t>
      </w:r>
      <w:proofErr w:type="spellStart"/>
      <w:r w:rsidRPr="00586D3D">
        <w:rPr>
          <w:rFonts w:ascii="Times New Roman" w:hAnsi="Times New Roman" w:cs="Times New Roman"/>
          <w:i/>
          <w:iCs/>
          <w:sz w:val="21"/>
          <w:szCs w:val="21"/>
        </w:rPr>
        <w:t>insideevs</w:t>
      </w:r>
      <w:proofErr w:type="spellEnd"/>
      <w:r>
        <w:rPr>
          <w:rFonts w:ascii="Times New Roman" w:hAnsi="Times New Roman" w:cs="Times New Roman"/>
          <w:i/>
          <w:iCs/>
          <w:sz w:val="21"/>
          <w:szCs w:val="21"/>
        </w:rPr>
        <w:t>,</w:t>
      </w:r>
      <w:r w:rsidR="004C5751">
        <w:rPr>
          <w:rFonts w:ascii="Times New Roman" w:hAnsi="Times New Roman" w:cs="Times New Roman"/>
          <w:i/>
          <w:iCs/>
          <w:sz w:val="21"/>
          <w:szCs w:val="21"/>
        </w:rPr>
        <w:t xml:space="preserve"> </w:t>
      </w:r>
      <w:proofErr w:type="spellStart"/>
      <w:r>
        <w:rPr>
          <w:rFonts w:ascii="Times New Roman" w:hAnsi="Times New Roman" w:cs="Times New Roman"/>
          <w:i/>
          <w:iCs/>
          <w:sz w:val="21"/>
          <w:szCs w:val="21"/>
        </w:rPr>
        <w:t>CleanTechnica</w:t>
      </w:r>
      <w:proofErr w:type="spellEnd"/>
      <w:r w:rsidR="00D06E84" w:rsidRPr="00D06E84">
        <w:rPr>
          <w:rFonts w:ascii="Times New Roman" w:hAnsi="Times New Roman" w:cs="Times New Roman"/>
          <w:i/>
          <w:iCs/>
          <w:sz w:val="21"/>
          <w:szCs w:val="21"/>
        </w:rPr>
        <w:t xml:space="preserve">, </w:t>
      </w:r>
      <w:proofErr w:type="spellStart"/>
      <w:r w:rsidR="00D06E84" w:rsidRPr="00D06E84">
        <w:rPr>
          <w:rFonts w:ascii="Times New Roman" w:hAnsi="Times New Roman" w:cs="Times New Roman"/>
          <w:i/>
          <w:iCs/>
          <w:sz w:val="21"/>
          <w:szCs w:val="21"/>
        </w:rPr>
        <w:t>Autohome</w:t>
      </w:r>
      <w:proofErr w:type="spellEnd"/>
      <w:r w:rsidR="00D06E84" w:rsidRPr="00D06E84">
        <w:rPr>
          <w:rFonts w:ascii="Times New Roman" w:hAnsi="Times New Roman" w:cs="Times New Roman"/>
          <w:i/>
          <w:iCs/>
          <w:sz w:val="21"/>
          <w:szCs w:val="21"/>
        </w:rPr>
        <w:t xml:space="preserve"> Inc.</w:t>
      </w:r>
    </w:p>
    <w:p w14:paraId="7872109C" w14:textId="77777777" w:rsidR="007A7C57" w:rsidRDefault="007A7C57" w:rsidP="007A7C57">
      <w:pPr>
        <w:pStyle w:val="IBSG4"/>
        <w:spacing w:before="0" w:after="0" w:line="360" w:lineRule="auto"/>
      </w:pPr>
      <w:bookmarkStart w:id="14" w:name="_Toc131092063"/>
      <w:bookmarkEnd w:id="13"/>
      <w:r w:rsidRPr="5FAF5E2E">
        <w:t>2.1.6 Key Assumptions of Growth rate by region</w:t>
      </w:r>
      <w:bookmarkEnd w:id="14"/>
    </w:p>
    <w:p w14:paraId="4AF41A3F" w14:textId="0AF98DDC" w:rsidR="007A7C57" w:rsidRDefault="007A7C57" w:rsidP="007A7C57">
      <w:pPr>
        <w:spacing w:line="360" w:lineRule="auto"/>
        <w:jc w:val="both"/>
      </w:pPr>
      <w:r>
        <w:t>With COP26</w:t>
      </w:r>
      <w:r w:rsidR="004C5751">
        <w:t>’</w:t>
      </w:r>
      <w:r>
        <w:t xml:space="preserve">s ambition of making </w:t>
      </w:r>
      <w:r w:rsidR="004C5751">
        <w:t xml:space="preserve">a </w:t>
      </w:r>
      <w:r>
        <w:t xml:space="preserve">100% share of ZEVs in new car and van sales by 2040 globally and by 2035 in </w:t>
      </w:r>
      <w:r w:rsidR="004C5751">
        <w:t>“</w:t>
      </w:r>
      <w:r>
        <w:t>leading markets,</w:t>
      </w:r>
      <w:r w:rsidR="004C5751">
        <w:t>”</w:t>
      </w:r>
      <w:r>
        <w:t xml:space="preserve"> the global electric vehicle sales growth rate in 2022 is around 57%. But with the increas</w:t>
      </w:r>
      <w:r w:rsidR="00FF06C1">
        <w:t>ing</w:t>
      </w:r>
      <w:r>
        <w:t xml:space="preserve"> coverage of the main audience of new energy vehicles, the growth rate of sales volume will be at a moderate level around 30.7% according to </w:t>
      </w:r>
      <w:proofErr w:type="spellStart"/>
      <w:r>
        <w:t>businessweekly</w:t>
      </w:r>
      <w:proofErr w:type="spellEnd"/>
      <w:r>
        <w:t xml:space="preserve"> research. In China, as the fuel economy standard tightened with the expected issuance of new luxury models by BYD, NIO and etc., </w:t>
      </w:r>
      <w:r w:rsidR="00FF06C1">
        <w:t>and meanwhile</w:t>
      </w:r>
      <w:r w:rsidR="00AA0037">
        <w:t xml:space="preserve">, the China luxury vehicle customer groups are still in the process of accepting electric vehicles, which is a potential driver of the rapid growth of luxury electric sales volume in the future. </w:t>
      </w:r>
      <w:r w:rsidR="00FF06C1">
        <w:t xml:space="preserve">The luxury electric vehicle sales volume growth rate is expected to be higher than that of the whole electric vehicle market as predicted by </w:t>
      </w:r>
      <w:proofErr w:type="spellStart"/>
      <w:r w:rsidR="00FF06C1">
        <w:t>EqualOcean</w:t>
      </w:r>
      <w:proofErr w:type="spellEnd"/>
      <w:r w:rsidR="00FF06C1">
        <w:t xml:space="preserve"> Intelligence. </w:t>
      </w:r>
      <w:r>
        <w:t>US faces a similar situation with a bigger market share of luxury electric vehicles</w:t>
      </w:r>
      <w:r w:rsidR="00AA0037">
        <w:t xml:space="preserve"> as there are much more existing luxury electric vehicle in the US</w:t>
      </w:r>
      <w:r>
        <w:t>. For EU and UK, the growth rate is rather slow as the electric vehicle ownership is higher. As predicted by Lotus Technology and other institutions, the luxury electric sales volume will grow slower than the whole electric vehicle market</w:t>
      </w:r>
      <w:r w:rsidR="00AA0037">
        <w:t xml:space="preserve"> in EU and UK</w:t>
      </w:r>
      <w:r>
        <w:t xml:space="preserve"> at certain rate</w:t>
      </w:r>
      <w:r w:rsidR="00AA0037">
        <w:t>s</w:t>
      </w:r>
      <w:r>
        <w:t xml:space="preserve"> mentioned above. </w:t>
      </w:r>
    </w:p>
    <w:p w14:paraId="119FBA2E" w14:textId="77777777" w:rsidR="007A7C57" w:rsidRDefault="007A7C57" w:rsidP="004F0B04">
      <w:pPr>
        <w:pStyle w:val="IBSG2"/>
      </w:pPr>
      <w:bookmarkStart w:id="15" w:name="_Toc131092064"/>
      <w:r w:rsidRPr="00D83652">
        <w:lastRenderedPageBreak/>
        <w:t>2.2 Competitiveness analysis</w:t>
      </w:r>
      <w:bookmarkEnd w:id="15"/>
    </w:p>
    <w:p w14:paraId="37B641A4" w14:textId="51B33C7E" w:rsidR="007A7C57" w:rsidRDefault="007A7C57" w:rsidP="007A7C57">
      <w:pPr>
        <w:spacing w:line="360" w:lineRule="auto"/>
        <w:jc w:val="both"/>
      </w:pPr>
      <w:r>
        <w:t xml:space="preserve">As a new </w:t>
      </w:r>
      <w:r w:rsidRPr="00A25015">
        <w:rPr>
          <w:rFonts w:hint="eastAsia"/>
        </w:rPr>
        <w:t>en</w:t>
      </w:r>
      <w:r>
        <w:t>trance to the EV market, whether Lotus</w:t>
      </w:r>
      <w:r w:rsidR="004C5751">
        <w:t>’</w:t>
      </w:r>
      <w:r>
        <w:t>s accumulation of technology could support it transform from conventional fuel vehicle brand to new energy vehicle brand is still suspectable.</w:t>
      </w:r>
    </w:p>
    <w:p w14:paraId="6600FCA1" w14:textId="678A8E2E" w:rsidR="007A7C57" w:rsidRPr="00D83652" w:rsidRDefault="007A7C57" w:rsidP="007A7C57">
      <w:pPr>
        <w:spacing w:line="360" w:lineRule="auto"/>
        <w:jc w:val="both"/>
        <w:rPr>
          <w:rFonts w:eastAsiaTheme="minorEastAsia"/>
        </w:rPr>
      </w:pPr>
      <w:r>
        <w:t>So here we choose models mentioned in Lotus</w:t>
      </w:r>
      <w:r w:rsidR="004C5751">
        <w:t>’</w:t>
      </w:r>
      <w:r>
        <w:t>s pitch deck together with the top 10 best luxury electric models selected by Forbes Wheels 2023 as the competitors for Lotus to analyse the position of Lotus in luxury electric vehicles market.</w:t>
      </w:r>
    </w:p>
    <w:p w14:paraId="4EE89457" w14:textId="77777777" w:rsidR="007A7C57" w:rsidRDefault="007A7C57" w:rsidP="007A7C57">
      <w:pPr>
        <w:pStyle w:val="IBSG4"/>
        <w:spacing w:before="0" w:after="0" w:line="360" w:lineRule="auto"/>
      </w:pPr>
      <w:bookmarkStart w:id="16" w:name="_Toc131092065"/>
      <w:r>
        <w:rPr>
          <w:rFonts w:hint="eastAsia"/>
        </w:rPr>
        <w:t>2</w:t>
      </w:r>
      <w:r>
        <w:t>.2.1 Technological analysis</w:t>
      </w:r>
      <w:bookmarkEnd w:id="16"/>
    </w:p>
    <w:p w14:paraId="4B8F9E01" w14:textId="77777777" w:rsidR="007A7C57" w:rsidRDefault="007A7C57" w:rsidP="007A7C57">
      <w:pPr>
        <w:spacing w:line="360" w:lineRule="auto"/>
        <w:jc w:val="both"/>
      </w:pPr>
      <w:r>
        <w:t>To compare Lotus Eletre with models from other brands, we select eight core indicators to represent the performance of the models. Normally we assume that the higher the price is, the better the performance of a car should be, so price indicator works as a penalty term. 0-100 km/h acceleration time is the most widely used indicator for the power capability.</w:t>
      </w:r>
    </w:p>
    <w:p w14:paraId="5FAD6261" w14:textId="6C18293D" w:rsidR="007A7C57" w:rsidRPr="00F62F7F" w:rsidRDefault="007A7C57" w:rsidP="007A7C57">
      <w:pPr>
        <w:spacing w:line="360" w:lineRule="auto"/>
        <w:jc w:val="both"/>
        <w:rPr>
          <w:rFonts w:eastAsiaTheme="minorEastAsia"/>
        </w:rPr>
      </w:pPr>
      <w:r>
        <w:rPr>
          <w:rFonts w:eastAsiaTheme="minorEastAsia" w:hint="eastAsia"/>
        </w:rPr>
        <w:t>F</w:t>
      </w:r>
      <w:r>
        <w:rPr>
          <w:rFonts w:eastAsiaTheme="minorEastAsia"/>
        </w:rPr>
        <w:t>or the Electrification Performance, Charging Speed and Driving E-range are the indicators that directly affect consumers</w:t>
      </w:r>
      <w:r w:rsidR="004C5751">
        <w:rPr>
          <w:rFonts w:eastAsiaTheme="minorEastAsia"/>
        </w:rPr>
        <w:t>’</w:t>
      </w:r>
      <w:r>
        <w:rPr>
          <w:rFonts w:eastAsiaTheme="minorEastAsia"/>
        </w:rPr>
        <w:t xml:space="preserve"> daily driving experience. And power consumption reflects whether a car is economical after purchase.</w:t>
      </w:r>
    </w:p>
    <w:p w14:paraId="19A41129" w14:textId="77777777" w:rsidR="007A7C57" w:rsidRPr="004F3703" w:rsidRDefault="007A7C57" w:rsidP="007A7C57">
      <w:pPr>
        <w:spacing w:line="360" w:lineRule="auto"/>
        <w:jc w:val="both"/>
        <w:rPr>
          <w:rFonts w:eastAsiaTheme="minorEastAsia"/>
        </w:rPr>
      </w:pPr>
      <w:r>
        <w:rPr>
          <w:rFonts w:eastAsiaTheme="minorEastAsia" w:hint="eastAsia"/>
        </w:rPr>
        <w:t>F</w:t>
      </w:r>
      <w:r>
        <w:rPr>
          <w:rFonts w:eastAsiaTheme="minorEastAsia"/>
        </w:rPr>
        <w:t xml:space="preserve">or the Traditional Metrics, Exterior Design, Interior Design and Comfort scores are sourced from </w:t>
      </w:r>
      <w:proofErr w:type="spellStart"/>
      <w:r>
        <w:rPr>
          <w:rFonts w:eastAsiaTheme="minorEastAsia"/>
        </w:rPr>
        <w:t>Dongchedi</w:t>
      </w:r>
      <w:proofErr w:type="spellEnd"/>
      <w:r>
        <w:rPr>
          <w:rFonts w:eastAsiaTheme="minorEastAsia"/>
        </w:rPr>
        <w:t xml:space="preserve"> as a reference. The </w:t>
      </w:r>
      <w:proofErr w:type="spellStart"/>
      <w:r>
        <w:rPr>
          <w:rFonts w:eastAsiaTheme="minorEastAsia"/>
        </w:rPr>
        <w:t>socres</w:t>
      </w:r>
      <w:proofErr w:type="spellEnd"/>
      <w:r>
        <w:rPr>
          <w:rFonts w:eastAsiaTheme="minorEastAsia"/>
        </w:rPr>
        <w:t xml:space="preserve"> are calculated based on the reviews from car owners on </w:t>
      </w:r>
      <w:proofErr w:type="spellStart"/>
      <w:r>
        <w:rPr>
          <w:rFonts w:eastAsiaTheme="minorEastAsia"/>
        </w:rPr>
        <w:t>Dongchedi</w:t>
      </w:r>
      <w:proofErr w:type="spellEnd"/>
      <w:r>
        <w:rPr>
          <w:rFonts w:eastAsiaTheme="minorEastAsia"/>
        </w:rPr>
        <w:t xml:space="preserve">. Though not authoritative, the </w:t>
      </w:r>
      <w:proofErr w:type="spellStart"/>
      <w:r>
        <w:rPr>
          <w:rFonts w:eastAsiaTheme="minorEastAsia"/>
        </w:rPr>
        <w:t>socres</w:t>
      </w:r>
      <w:proofErr w:type="spellEnd"/>
      <w:r>
        <w:rPr>
          <w:rFonts w:eastAsiaTheme="minorEastAsia"/>
        </w:rPr>
        <w:t xml:space="preserve"> still can </w:t>
      </w:r>
      <w:proofErr w:type="spellStart"/>
      <w:r>
        <w:rPr>
          <w:rFonts w:eastAsiaTheme="minorEastAsia"/>
        </w:rPr>
        <w:t>partily</w:t>
      </w:r>
      <w:proofErr w:type="spellEnd"/>
      <w:r>
        <w:rPr>
          <w:rFonts w:eastAsiaTheme="minorEastAsia"/>
        </w:rPr>
        <w:t xml:space="preserve"> reflect market recognition. The volume indicator is related to the available space of the car which reflect the comfortable capability when using the car.</w:t>
      </w:r>
    </w:p>
    <w:p w14:paraId="46331747" w14:textId="3A6BC4F1" w:rsidR="006633E7" w:rsidRPr="006633E7" w:rsidRDefault="006633E7" w:rsidP="006633E7">
      <w:pPr>
        <w:pStyle w:val="Caption"/>
        <w:spacing w:line="360" w:lineRule="auto"/>
        <w:jc w:val="center"/>
        <w:rPr>
          <w:rFonts w:ascii="Times New Roman" w:hAnsi="Times New Roman" w:cs="Times New Roman"/>
          <w:i/>
          <w:iCs/>
          <w:sz w:val="21"/>
          <w:szCs w:val="21"/>
        </w:rPr>
      </w:pPr>
      <w:r w:rsidRPr="006633E7">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6</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xml:space="preserve"> The comparison of performance indicators among different luxury electric vehicles</w:t>
      </w:r>
    </w:p>
    <w:tbl>
      <w:tblPr>
        <w:tblW w:w="8997" w:type="dxa"/>
        <w:tblLayout w:type="fixed"/>
        <w:tblLook w:val="04A0" w:firstRow="1" w:lastRow="0" w:firstColumn="1" w:lastColumn="0" w:noHBand="0" w:noVBand="1"/>
      </w:tblPr>
      <w:tblGrid>
        <w:gridCol w:w="795"/>
        <w:gridCol w:w="900"/>
        <w:gridCol w:w="731"/>
        <w:gridCol w:w="821"/>
        <w:gridCol w:w="822"/>
        <w:gridCol w:w="821"/>
        <w:gridCol w:w="821"/>
        <w:gridCol w:w="822"/>
        <w:gridCol w:w="821"/>
        <w:gridCol w:w="731"/>
        <w:gridCol w:w="912"/>
      </w:tblGrid>
      <w:tr w:rsidR="007A7C57" w:rsidRPr="00817307" w14:paraId="450BAE38" w14:textId="77777777" w:rsidTr="00354141">
        <w:trPr>
          <w:trHeight w:val="564"/>
          <w:tblHeader/>
        </w:trPr>
        <w:tc>
          <w:tcPr>
            <w:tcW w:w="1695" w:type="dxa"/>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110E047"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lastRenderedPageBreak/>
              <w:t>Parameters</w:t>
            </w:r>
          </w:p>
        </w:tc>
        <w:tc>
          <w:tcPr>
            <w:tcW w:w="1552" w:type="dxa"/>
            <w:gridSpan w:val="2"/>
            <w:tcBorders>
              <w:top w:val="single" w:sz="12" w:space="0" w:color="375623"/>
              <w:left w:val="nil"/>
              <w:bottom w:val="single" w:sz="4" w:space="0" w:color="auto"/>
              <w:right w:val="single" w:sz="4" w:space="0" w:color="auto"/>
            </w:tcBorders>
            <w:shd w:val="clear" w:color="000000" w:fill="003300"/>
            <w:vAlign w:val="center"/>
            <w:hideMark/>
          </w:tcPr>
          <w:p w14:paraId="6F78C354"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Lotus</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hideMark/>
          </w:tcPr>
          <w:p w14:paraId="06EA6EEC"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BMW</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tcPr>
          <w:p w14:paraId="6AADFB85"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Tesla</w:t>
            </w:r>
          </w:p>
        </w:tc>
        <w:tc>
          <w:tcPr>
            <w:tcW w:w="821" w:type="dxa"/>
            <w:tcBorders>
              <w:top w:val="single" w:sz="12" w:space="0" w:color="375623"/>
              <w:left w:val="nil"/>
              <w:bottom w:val="single" w:sz="4" w:space="0" w:color="auto"/>
              <w:right w:val="single" w:sz="4" w:space="0" w:color="auto"/>
            </w:tcBorders>
            <w:shd w:val="clear" w:color="000000" w:fill="003300"/>
            <w:vAlign w:val="center"/>
            <w:hideMark/>
          </w:tcPr>
          <w:p w14:paraId="2F970877"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 xml:space="preserve">Lucid </w:t>
            </w:r>
          </w:p>
        </w:tc>
        <w:tc>
          <w:tcPr>
            <w:tcW w:w="731" w:type="dxa"/>
            <w:tcBorders>
              <w:top w:val="single" w:sz="12" w:space="0" w:color="375623"/>
              <w:left w:val="nil"/>
              <w:bottom w:val="single" w:sz="4" w:space="0" w:color="auto"/>
              <w:right w:val="single" w:sz="4" w:space="0" w:color="auto"/>
            </w:tcBorders>
            <w:shd w:val="clear" w:color="000000" w:fill="003300"/>
            <w:vAlign w:val="center"/>
          </w:tcPr>
          <w:p w14:paraId="502C8D54"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Benz</w:t>
            </w:r>
          </w:p>
        </w:tc>
        <w:tc>
          <w:tcPr>
            <w:tcW w:w="912" w:type="dxa"/>
            <w:tcBorders>
              <w:top w:val="single" w:sz="12" w:space="0" w:color="375623"/>
              <w:left w:val="nil"/>
              <w:bottom w:val="single" w:sz="4" w:space="0" w:color="auto"/>
              <w:right w:val="single" w:sz="12" w:space="0" w:color="375623"/>
            </w:tcBorders>
            <w:shd w:val="clear" w:color="000000" w:fill="003300"/>
            <w:vAlign w:val="center"/>
            <w:hideMark/>
          </w:tcPr>
          <w:p w14:paraId="5836B006"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Porsche</w:t>
            </w:r>
          </w:p>
        </w:tc>
      </w:tr>
      <w:tr w:rsidR="007A7C57" w:rsidRPr="00817307" w14:paraId="4C1B1BC7" w14:textId="77777777" w:rsidTr="00354141">
        <w:trPr>
          <w:trHeight w:val="552"/>
          <w:tblHeader/>
        </w:trPr>
        <w:tc>
          <w:tcPr>
            <w:tcW w:w="1695" w:type="dxa"/>
            <w:gridSpan w:val="2"/>
            <w:tcBorders>
              <w:top w:val="single" w:sz="4" w:space="0" w:color="auto"/>
              <w:left w:val="single" w:sz="12" w:space="0" w:color="375623"/>
              <w:bottom w:val="single" w:sz="4" w:space="0" w:color="auto"/>
              <w:right w:val="single" w:sz="4" w:space="0" w:color="auto"/>
            </w:tcBorders>
            <w:shd w:val="clear" w:color="000000" w:fill="FFFFFF"/>
            <w:vAlign w:val="center"/>
            <w:hideMark/>
          </w:tcPr>
          <w:p w14:paraId="6C278497"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Model Type</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4316846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Eletre S</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1E30EE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Eletre R</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0EBFB4C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iX M60</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6B87B9C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i7</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0EE95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Model X Plaid</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6BDFCA2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Model S Plaid</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035C271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Air Touring</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0153A7C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EQE 350</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158F0D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Taycan 4S</w:t>
            </w:r>
          </w:p>
        </w:tc>
      </w:tr>
      <w:tr w:rsidR="007A7C57" w:rsidRPr="00817307" w14:paraId="753B85E7" w14:textId="77777777" w:rsidTr="00354141">
        <w:trPr>
          <w:trHeight w:val="828"/>
          <w:tblHeader/>
        </w:trPr>
        <w:tc>
          <w:tcPr>
            <w:tcW w:w="795" w:type="dxa"/>
            <w:tcBorders>
              <w:top w:val="single" w:sz="4" w:space="0" w:color="auto"/>
              <w:left w:val="single" w:sz="12" w:space="0" w:color="375623"/>
              <w:bottom w:val="single" w:sz="4" w:space="0" w:color="auto"/>
              <w:right w:val="single" w:sz="4" w:space="0" w:color="auto"/>
            </w:tcBorders>
            <w:shd w:val="clear" w:color="000000" w:fill="E2EFD9"/>
            <w:vAlign w:val="center"/>
            <w:hideMark/>
          </w:tcPr>
          <w:p w14:paraId="470579D1"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Price</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81F345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US Region, US$</w:t>
            </w:r>
          </w:p>
        </w:tc>
        <w:tc>
          <w:tcPr>
            <w:tcW w:w="731" w:type="dxa"/>
            <w:tcBorders>
              <w:top w:val="nil"/>
              <w:left w:val="nil"/>
              <w:bottom w:val="single" w:sz="4" w:space="0" w:color="auto"/>
              <w:right w:val="single" w:sz="4" w:space="0" w:color="auto"/>
            </w:tcBorders>
            <w:shd w:val="clear" w:color="000000" w:fill="E2EFD9"/>
            <w:vAlign w:val="center"/>
            <w:hideMark/>
          </w:tcPr>
          <w:p w14:paraId="20270F2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116,000 </w:t>
            </w:r>
          </w:p>
        </w:tc>
        <w:tc>
          <w:tcPr>
            <w:tcW w:w="821" w:type="dxa"/>
            <w:tcBorders>
              <w:top w:val="nil"/>
              <w:left w:val="nil"/>
              <w:bottom w:val="single" w:sz="4" w:space="0" w:color="auto"/>
              <w:right w:val="single" w:sz="4" w:space="0" w:color="auto"/>
            </w:tcBorders>
            <w:shd w:val="clear" w:color="000000" w:fill="E2EFD9"/>
            <w:vAlign w:val="center"/>
            <w:hideMark/>
          </w:tcPr>
          <w:p w14:paraId="157BF0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144,000 </w:t>
            </w:r>
          </w:p>
        </w:tc>
        <w:tc>
          <w:tcPr>
            <w:tcW w:w="822" w:type="dxa"/>
            <w:tcBorders>
              <w:top w:val="nil"/>
              <w:left w:val="nil"/>
              <w:bottom w:val="single" w:sz="4" w:space="0" w:color="auto"/>
              <w:right w:val="single" w:sz="4" w:space="0" w:color="auto"/>
            </w:tcBorders>
            <w:shd w:val="clear" w:color="000000" w:fill="E2EFD9"/>
            <w:vAlign w:val="center"/>
            <w:hideMark/>
          </w:tcPr>
          <w:p w14:paraId="4EBBC45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111,500 </w:t>
            </w:r>
          </w:p>
        </w:tc>
        <w:tc>
          <w:tcPr>
            <w:tcW w:w="821" w:type="dxa"/>
            <w:tcBorders>
              <w:top w:val="nil"/>
              <w:left w:val="nil"/>
              <w:bottom w:val="single" w:sz="4" w:space="0" w:color="auto"/>
              <w:right w:val="single" w:sz="4" w:space="0" w:color="auto"/>
            </w:tcBorders>
            <w:shd w:val="clear" w:color="000000" w:fill="E2EFD9"/>
            <w:vAlign w:val="center"/>
            <w:hideMark/>
          </w:tcPr>
          <w:p w14:paraId="14687E0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119,300 </w:t>
            </w:r>
          </w:p>
        </w:tc>
        <w:tc>
          <w:tcPr>
            <w:tcW w:w="821" w:type="dxa"/>
            <w:tcBorders>
              <w:top w:val="nil"/>
              <w:left w:val="nil"/>
              <w:bottom w:val="single" w:sz="4" w:space="0" w:color="auto"/>
              <w:right w:val="single" w:sz="4" w:space="0" w:color="auto"/>
            </w:tcBorders>
            <w:shd w:val="clear" w:color="000000" w:fill="E2EFD9"/>
            <w:vAlign w:val="center"/>
            <w:hideMark/>
          </w:tcPr>
          <w:p w14:paraId="07B7710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109,990 </w:t>
            </w:r>
          </w:p>
        </w:tc>
        <w:tc>
          <w:tcPr>
            <w:tcW w:w="822" w:type="dxa"/>
            <w:tcBorders>
              <w:top w:val="nil"/>
              <w:left w:val="nil"/>
              <w:bottom w:val="single" w:sz="4" w:space="0" w:color="auto"/>
              <w:right w:val="single" w:sz="4" w:space="0" w:color="auto"/>
            </w:tcBorders>
            <w:shd w:val="clear" w:color="000000" w:fill="E2EFD9"/>
            <w:vAlign w:val="center"/>
            <w:hideMark/>
          </w:tcPr>
          <w:p w14:paraId="237863B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109,990 </w:t>
            </w:r>
          </w:p>
        </w:tc>
        <w:tc>
          <w:tcPr>
            <w:tcW w:w="821" w:type="dxa"/>
            <w:tcBorders>
              <w:top w:val="nil"/>
              <w:left w:val="nil"/>
              <w:bottom w:val="single" w:sz="4" w:space="0" w:color="auto"/>
              <w:right w:val="single" w:sz="4" w:space="0" w:color="auto"/>
            </w:tcBorders>
            <w:shd w:val="clear" w:color="000000" w:fill="E2EFD9"/>
            <w:vAlign w:val="center"/>
            <w:hideMark/>
          </w:tcPr>
          <w:p w14:paraId="5C95A66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107,400 </w:t>
            </w:r>
          </w:p>
        </w:tc>
        <w:tc>
          <w:tcPr>
            <w:tcW w:w="731" w:type="dxa"/>
            <w:tcBorders>
              <w:top w:val="nil"/>
              <w:left w:val="nil"/>
              <w:bottom w:val="single" w:sz="4" w:space="0" w:color="auto"/>
              <w:right w:val="single" w:sz="4" w:space="0" w:color="auto"/>
            </w:tcBorders>
            <w:shd w:val="clear" w:color="000000" w:fill="E2EFD9"/>
            <w:vAlign w:val="center"/>
            <w:hideMark/>
          </w:tcPr>
          <w:p w14:paraId="741E08E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77,900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3F492C7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113,000 </w:t>
            </w:r>
          </w:p>
        </w:tc>
      </w:tr>
      <w:tr w:rsidR="007A7C57" w:rsidRPr="00817307" w14:paraId="3905A33C" w14:textId="77777777" w:rsidTr="00354141">
        <w:trPr>
          <w:trHeight w:val="1104"/>
          <w:tblHeader/>
        </w:trPr>
        <w:tc>
          <w:tcPr>
            <w:tcW w:w="795" w:type="dxa"/>
            <w:tcBorders>
              <w:top w:val="nil"/>
              <w:left w:val="single" w:sz="12" w:space="0" w:color="375623"/>
              <w:bottom w:val="single" w:sz="4" w:space="0" w:color="auto"/>
              <w:right w:val="single" w:sz="4" w:space="0" w:color="auto"/>
            </w:tcBorders>
            <w:shd w:val="clear" w:color="000000" w:fill="FFFFFF"/>
            <w:vAlign w:val="center"/>
            <w:hideMark/>
          </w:tcPr>
          <w:p w14:paraId="078CE35C"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Driving Performance</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2FAFE6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Acceleration, 0-100km/h,s</w:t>
            </w:r>
          </w:p>
        </w:tc>
        <w:tc>
          <w:tcPr>
            <w:tcW w:w="731" w:type="dxa"/>
            <w:tcBorders>
              <w:top w:val="nil"/>
              <w:left w:val="nil"/>
              <w:bottom w:val="single" w:sz="4" w:space="0" w:color="auto"/>
              <w:right w:val="single" w:sz="4" w:space="0" w:color="auto"/>
            </w:tcBorders>
            <w:shd w:val="clear" w:color="000000" w:fill="FFFFFF"/>
            <w:vAlign w:val="center"/>
            <w:hideMark/>
          </w:tcPr>
          <w:p w14:paraId="31FDFE1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4.5 </w:t>
            </w:r>
          </w:p>
        </w:tc>
        <w:tc>
          <w:tcPr>
            <w:tcW w:w="821" w:type="dxa"/>
            <w:tcBorders>
              <w:top w:val="nil"/>
              <w:left w:val="nil"/>
              <w:bottom w:val="single" w:sz="4" w:space="0" w:color="auto"/>
              <w:right w:val="single" w:sz="4" w:space="0" w:color="auto"/>
            </w:tcBorders>
            <w:shd w:val="clear" w:color="000000" w:fill="FFFFFF"/>
            <w:vAlign w:val="center"/>
            <w:hideMark/>
          </w:tcPr>
          <w:p w14:paraId="780AC32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3.0 </w:t>
            </w:r>
          </w:p>
        </w:tc>
        <w:tc>
          <w:tcPr>
            <w:tcW w:w="822" w:type="dxa"/>
            <w:tcBorders>
              <w:top w:val="nil"/>
              <w:left w:val="nil"/>
              <w:bottom w:val="single" w:sz="4" w:space="0" w:color="auto"/>
              <w:right w:val="single" w:sz="4" w:space="0" w:color="auto"/>
            </w:tcBorders>
            <w:shd w:val="clear" w:color="000000" w:fill="FFFFFF"/>
            <w:vAlign w:val="center"/>
            <w:hideMark/>
          </w:tcPr>
          <w:p w14:paraId="4FED8B7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3.8 </w:t>
            </w:r>
          </w:p>
        </w:tc>
        <w:tc>
          <w:tcPr>
            <w:tcW w:w="821" w:type="dxa"/>
            <w:tcBorders>
              <w:top w:val="nil"/>
              <w:left w:val="nil"/>
              <w:bottom w:val="single" w:sz="4" w:space="0" w:color="auto"/>
              <w:right w:val="single" w:sz="4" w:space="0" w:color="auto"/>
            </w:tcBorders>
            <w:shd w:val="clear" w:color="000000" w:fill="FFFFFF"/>
            <w:vAlign w:val="center"/>
            <w:hideMark/>
          </w:tcPr>
          <w:p w14:paraId="670CBF2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4.7 </w:t>
            </w:r>
          </w:p>
        </w:tc>
        <w:tc>
          <w:tcPr>
            <w:tcW w:w="821" w:type="dxa"/>
            <w:tcBorders>
              <w:top w:val="nil"/>
              <w:left w:val="nil"/>
              <w:bottom w:val="single" w:sz="4" w:space="0" w:color="auto"/>
              <w:right w:val="single" w:sz="4" w:space="0" w:color="auto"/>
            </w:tcBorders>
            <w:shd w:val="clear" w:color="000000" w:fill="FFFFFF"/>
            <w:vAlign w:val="center"/>
            <w:hideMark/>
          </w:tcPr>
          <w:p w14:paraId="6F0D3FD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2.6 </w:t>
            </w:r>
          </w:p>
        </w:tc>
        <w:tc>
          <w:tcPr>
            <w:tcW w:w="822" w:type="dxa"/>
            <w:tcBorders>
              <w:top w:val="nil"/>
              <w:left w:val="nil"/>
              <w:bottom w:val="single" w:sz="4" w:space="0" w:color="auto"/>
              <w:right w:val="single" w:sz="4" w:space="0" w:color="auto"/>
            </w:tcBorders>
            <w:shd w:val="clear" w:color="000000" w:fill="FFFFFF"/>
            <w:vAlign w:val="center"/>
            <w:hideMark/>
          </w:tcPr>
          <w:p w14:paraId="6A56CF5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2.1 </w:t>
            </w:r>
          </w:p>
        </w:tc>
        <w:tc>
          <w:tcPr>
            <w:tcW w:w="821" w:type="dxa"/>
            <w:tcBorders>
              <w:top w:val="nil"/>
              <w:left w:val="nil"/>
              <w:bottom w:val="single" w:sz="4" w:space="0" w:color="auto"/>
              <w:right w:val="single" w:sz="4" w:space="0" w:color="auto"/>
            </w:tcBorders>
            <w:shd w:val="clear" w:color="000000" w:fill="FFFFFF"/>
            <w:vAlign w:val="center"/>
            <w:hideMark/>
          </w:tcPr>
          <w:p w14:paraId="1F5CBA9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3.4 </w:t>
            </w:r>
          </w:p>
        </w:tc>
        <w:tc>
          <w:tcPr>
            <w:tcW w:w="731" w:type="dxa"/>
            <w:tcBorders>
              <w:top w:val="nil"/>
              <w:left w:val="nil"/>
              <w:bottom w:val="single" w:sz="4" w:space="0" w:color="auto"/>
              <w:right w:val="single" w:sz="4" w:space="0" w:color="auto"/>
            </w:tcBorders>
            <w:shd w:val="clear" w:color="000000" w:fill="FFFFFF"/>
            <w:vAlign w:val="center"/>
            <w:hideMark/>
          </w:tcPr>
          <w:p w14:paraId="436EC3A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6.0 </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B54386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 </w:t>
            </w:r>
          </w:p>
        </w:tc>
      </w:tr>
      <w:tr w:rsidR="007A7C57" w:rsidRPr="00817307" w14:paraId="196DB434" w14:textId="77777777" w:rsidTr="00354141">
        <w:trPr>
          <w:trHeight w:val="828"/>
          <w:tblHeader/>
        </w:trPr>
        <w:tc>
          <w:tcPr>
            <w:tcW w:w="795" w:type="dxa"/>
            <w:vMerge w:val="restart"/>
            <w:tcBorders>
              <w:top w:val="nil"/>
              <w:left w:val="single" w:sz="12" w:space="0" w:color="375623"/>
              <w:bottom w:val="single" w:sz="4" w:space="0" w:color="auto"/>
              <w:right w:val="single" w:sz="4" w:space="0" w:color="auto"/>
            </w:tcBorders>
            <w:shd w:val="clear" w:color="000000" w:fill="E2EFD9"/>
            <w:vAlign w:val="center"/>
            <w:hideMark/>
          </w:tcPr>
          <w:p w14:paraId="28541562"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Electrification</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CC5093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Charging Speed, max. h</w:t>
            </w:r>
          </w:p>
        </w:tc>
        <w:tc>
          <w:tcPr>
            <w:tcW w:w="731" w:type="dxa"/>
            <w:tcBorders>
              <w:top w:val="nil"/>
              <w:left w:val="nil"/>
              <w:bottom w:val="single" w:sz="4" w:space="0" w:color="auto"/>
              <w:right w:val="single" w:sz="4" w:space="0" w:color="auto"/>
            </w:tcBorders>
            <w:shd w:val="clear" w:color="000000" w:fill="E2EFD9"/>
            <w:vAlign w:val="center"/>
            <w:hideMark/>
          </w:tcPr>
          <w:p w14:paraId="6E009C0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0.33</w:t>
            </w:r>
          </w:p>
        </w:tc>
        <w:tc>
          <w:tcPr>
            <w:tcW w:w="821" w:type="dxa"/>
            <w:tcBorders>
              <w:top w:val="nil"/>
              <w:left w:val="nil"/>
              <w:bottom w:val="single" w:sz="4" w:space="0" w:color="auto"/>
              <w:right w:val="single" w:sz="4" w:space="0" w:color="auto"/>
            </w:tcBorders>
            <w:shd w:val="clear" w:color="000000" w:fill="E2EFD9"/>
            <w:vAlign w:val="center"/>
            <w:hideMark/>
          </w:tcPr>
          <w:p w14:paraId="286E0F0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0.33</w:t>
            </w:r>
          </w:p>
        </w:tc>
        <w:tc>
          <w:tcPr>
            <w:tcW w:w="822" w:type="dxa"/>
            <w:tcBorders>
              <w:top w:val="nil"/>
              <w:left w:val="nil"/>
              <w:bottom w:val="single" w:sz="4" w:space="0" w:color="auto"/>
              <w:right w:val="single" w:sz="4" w:space="0" w:color="auto"/>
            </w:tcBorders>
            <w:shd w:val="clear" w:color="000000" w:fill="E2EFD9"/>
            <w:vAlign w:val="center"/>
            <w:hideMark/>
          </w:tcPr>
          <w:p w14:paraId="21438E2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0.82</w:t>
            </w:r>
          </w:p>
        </w:tc>
        <w:tc>
          <w:tcPr>
            <w:tcW w:w="821" w:type="dxa"/>
            <w:tcBorders>
              <w:top w:val="nil"/>
              <w:left w:val="nil"/>
              <w:bottom w:val="single" w:sz="4" w:space="0" w:color="auto"/>
              <w:right w:val="single" w:sz="4" w:space="0" w:color="auto"/>
            </w:tcBorders>
            <w:shd w:val="clear" w:color="000000" w:fill="E2EFD9"/>
            <w:vAlign w:val="center"/>
            <w:hideMark/>
          </w:tcPr>
          <w:p w14:paraId="37B07B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0.93</w:t>
            </w:r>
          </w:p>
        </w:tc>
        <w:tc>
          <w:tcPr>
            <w:tcW w:w="821" w:type="dxa"/>
            <w:tcBorders>
              <w:top w:val="nil"/>
              <w:left w:val="nil"/>
              <w:bottom w:val="single" w:sz="4" w:space="0" w:color="auto"/>
              <w:right w:val="single" w:sz="4" w:space="0" w:color="auto"/>
            </w:tcBorders>
            <w:shd w:val="clear" w:color="000000" w:fill="E2EFD9"/>
            <w:vAlign w:val="center"/>
            <w:hideMark/>
          </w:tcPr>
          <w:p w14:paraId="087447D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w:t>
            </w:r>
          </w:p>
        </w:tc>
        <w:tc>
          <w:tcPr>
            <w:tcW w:w="822" w:type="dxa"/>
            <w:tcBorders>
              <w:top w:val="nil"/>
              <w:left w:val="nil"/>
              <w:bottom w:val="single" w:sz="4" w:space="0" w:color="auto"/>
              <w:right w:val="single" w:sz="4" w:space="0" w:color="auto"/>
            </w:tcBorders>
            <w:shd w:val="clear" w:color="000000" w:fill="E2EFD9"/>
            <w:vAlign w:val="center"/>
            <w:hideMark/>
          </w:tcPr>
          <w:p w14:paraId="6FF5194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w:t>
            </w:r>
          </w:p>
        </w:tc>
        <w:tc>
          <w:tcPr>
            <w:tcW w:w="821" w:type="dxa"/>
            <w:tcBorders>
              <w:top w:val="nil"/>
              <w:left w:val="nil"/>
              <w:bottom w:val="single" w:sz="4" w:space="0" w:color="auto"/>
              <w:right w:val="single" w:sz="4" w:space="0" w:color="auto"/>
            </w:tcBorders>
            <w:shd w:val="clear" w:color="000000" w:fill="E2EFD9"/>
            <w:vAlign w:val="center"/>
            <w:hideMark/>
          </w:tcPr>
          <w:p w14:paraId="28D6F97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0.4</w:t>
            </w:r>
          </w:p>
        </w:tc>
        <w:tc>
          <w:tcPr>
            <w:tcW w:w="731" w:type="dxa"/>
            <w:tcBorders>
              <w:top w:val="nil"/>
              <w:left w:val="nil"/>
              <w:bottom w:val="single" w:sz="4" w:space="0" w:color="auto"/>
              <w:right w:val="single" w:sz="4" w:space="0" w:color="auto"/>
            </w:tcBorders>
            <w:shd w:val="clear" w:color="000000" w:fill="E2EFD9"/>
            <w:vAlign w:val="center"/>
            <w:hideMark/>
          </w:tcPr>
          <w:p w14:paraId="5A2DAAF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0.8</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2503AF6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1.55</w:t>
            </w:r>
          </w:p>
        </w:tc>
      </w:tr>
      <w:tr w:rsidR="007A7C57" w:rsidRPr="00817307" w14:paraId="2BA5AEAC" w14:textId="77777777" w:rsidTr="00354141">
        <w:trPr>
          <w:trHeight w:val="552"/>
          <w:tblHeader/>
        </w:trPr>
        <w:tc>
          <w:tcPr>
            <w:tcW w:w="795" w:type="dxa"/>
            <w:vMerge/>
            <w:tcBorders>
              <w:top w:val="nil"/>
              <w:left w:val="single" w:sz="12" w:space="0" w:color="375623"/>
              <w:bottom w:val="single" w:sz="4" w:space="0" w:color="auto"/>
              <w:right w:val="single" w:sz="4" w:space="0" w:color="auto"/>
            </w:tcBorders>
            <w:vAlign w:val="center"/>
            <w:hideMark/>
          </w:tcPr>
          <w:p w14:paraId="20A6ECEF"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EDC4F9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Driving </w:t>
            </w:r>
            <w:r>
              <w:rPr>
                <w:rFonts w:eastAsia="等线"/>
                <w:color w:val="000000"/>
                <w:sz w:val="18"/>
                <w:szCs w:val="18"/>
              </w:rPr>
              <w:t>E</w:t>
            </w:r>
            <w:r w:rsidRPr="00941C94">
              <w:rPr>
                <w:rFonts w:eastAsia="等线"/>
                <w:color w:val="000000"/>
                <w:sz w:val="18"/>
                <w:szCs w:val="18"/>
              </w:rPr>
              <w:t>-range, km</w:t>
            </w:r>
          </w:p>
        </w:tc>
        <w:tc>
          <w:tcPr>
            <w:tcW w:w="731" w:type="dxa"/>
            <w:tcBorders>
              <w:top w:val="nil"/>
              <w:left w:val="nil"/>
              <w:bottom w:val="single" w:sz="4" w:space="0" w:color="auto"/>
              <w:right w:val="single" w:sz="4" w:space="0" w:color="auto"/>
            </w:tcBorders>
            <w:shd w:val="clear" w:color="000000" w:fill="E2EFD9"/>
            <w:vAlign w:val="center"/>
            <w:hideMark/>
          </w:tcPr>
          <w:p w14:paraId="24E6014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26CB440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560</w:t>
            </w:r>
          </w:p>
        </w:tc>
        <w:tc>
          <w:tcPr>
            <w:tcW w:w="822" w:type="dxa"/>
            <w:tcBorders>
              <w:top w:val="nil"/>
              <w:left w:val="nil"/>
              <w:bottom w:val="single" w:sz="4" w:space="0" w:color="auto"/>
              <w:right w:val="single" w:sz="4" w:space="0" w:color="auto"/>
            </w:tcBorders>
            <w:shd w:val="clear" w:color="000000" w:fill="E2EFD9"/>
            <w:vAlign w:val="center"/>
            <w:hideMark/>
          </w:tcPr>
          <w:p w14:paraId="5EFD8E7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640</w:t>
            </w:r>
          </w:p>
        </w:tc>
        <w:tc>
          <w:tcPr>
            <w:tcW w:w="821" w:type="dxa"/>
            <w:tcBorders>
              <w:top w:val="nil"/>
              <w:left w:val="nil"/>
              <w:bottom w:val="single" w:sz="4" w:space="0" w:color="auto"/>
              <w:right w:val="single" w:sz="4" w:space="0" w:color="auto"/>
            </w:tcBorders>
            <w:shd w:val="clear" w:color="000000" w:fill="E2EFD9"/>
            <w:vAlign w:val="center"/>
            <w:hideMark/>
          </w:tcPr>
          <w:p w14:paraId="404F67D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414F593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664</w:t>
            </w:r>
          </w:p>
        </w:tc>
        <w:tc>
          <w:tcPr>
            <w:tcW w:w="822" w:type="dxa"/>
            <w:tcBorders>
              <w:top w:val="nil"/>
              <w:left w:val="nil"/>
              <w:bottom w:val="single" w:sz="4" w:space="0" w:color="auto"/>
              <w:right w:val="single" w:sz="4" w:space="0" w:color="auto"/>
            </w:tcBorders>
            <w:shd w:val="clear" w:color="000000" w:fill="E2EFD9"/>
            <w:vAlign w:val="center"/>
            <w:hideMark/>
          </w:tcPr>
          <w:p w14:paraId="1C1DFF4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672</w:t>
            </w:r>
          </w:p>
        </w:tc>
        <w:tc>
          <w:tcPr>
            <w:tcW w:w="821" w:type="dxa"/>
            <w:tcBorders>
              <w:top w:val="nil"/>
              <w:left w:val="nil"/>
              <w:bottom w:val="single" w:sz="4" w:space="0" w:color="auto"/>
              <w:right w:val="single" w:sz="4" w:space="0" w:color="auto"/>
            </w:tcBorders>
            <w:shd w:val="clear" w:color="000000" w:fill="E2EFD9"/>
            <w:vAlign w:val="center"/>
            <w:hideMark/>
          </w:tcPr>
          <w:p w14:paraId="45D7030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680</w:t>
            </w:r>
          </w:p>
        </w:tc>
        <w:tc>
          <w:tcPr>
            <w:tcW w:w="731" w:type="dxa"/>
            <w:tcBorders>
              <w:top w:val="nil"/>
              <w:left w:val="nil"/>
              <w:bottom w:val="single" w:sz="4" w:space="0" w:color="auto"/>
              <w:right w:val="single" w:sz="4" w:space="0" w:color="auto"/>
            </w:tcBorders>
            <w:shd w:val="clear" w:color="000000" w:fill="E2EFD9"/>
            <w:vAlign w:val="center"/>
            <w:hideMark/>
          </w:tcPr>
          <w:p w14:paraId="649C4B9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717</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5B0D634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461</w:t>
            </w:r>
          </w:p>
        </w:tc>
      </w:tr>
      <w:tr w:rsidR="007A7C57" w:rsidRPr="00817307" w14:paraId="7B5A3AD1" w14:textId="77777777" w:rsidTr="00354141">
        <w:trPr>
          <w:trHeight w:val="1380"/>
          <w:tblHeader/>
        </w:trPr>
        <w:tc>
          <w:tcPr>
            <w:tcW w:w="795" w:type="dxa"/>
            <w:vMerge/>
            <w:tcBorders>
              <w:top w:val="nil"/>
              <w:left w:val="single" w:sz="12" w:space="0" w:color="375623"/>
              <w:bottom w:val="single" w:sz="4" w:space="0" w:color="auto"/>
              <w:right w:val="single" w:sz="4" w:space="0" w:color="auto"/>
            </w:tcBorders>
            <w:vAlign w:val="center"/>
            <w:hideMark/>
          </w:tcPr>
          <w:p w14:paraId="0E2AD235"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1BCEE6F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Power Consumption, kWh/100km</w:t>
            </w:r>
          </w:p>
        </w:tc>
        <w:tc>
          <w:tcPr>
            <w:tcW w:w="731" w:type="dxa"/>
            <w:tcBorders>
              <w:top w:val="nil"/>
              <w:left w:val="nil"/>
              <w:bottom w:val="single" w:sz="4" w:space="0" w:color="auto"/>
              <w:right w:val="single" w:sz="4" w:space="0" w:color="auto"/>
            </w:tcBorders>
            <w:shd w:val="clear" w:color="000000" w:fill="E2EFD9"/>
            <w:vAlign w:val="center"/>
            <w:hideMark/>
          </w:tcPr>
          <w:p w14:paraId="6B7E5B0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21.5 </w:t>
            </w:r>
          </w:p>
        </w:tc>
        <w:tc>
          <w:tcPr>
            <w:tcW w:w="821" w:type="dxa"/>
            <w:tcBorders>
              <w:top w:val="nil"/>
              <w:left w:val="nil"/>
              <w:bottom w:val="single" w:sz="4" w:space="0" w:color="auto"/>
              <w:right w:val="single" w:sz="4" w:space="0" w:color="auto"/>
            </w:tcBorders>
            <w:shd w:val="clear" w:color="000000" w:fill="E2EFD9"/>
            <w:vAlign w:val="center"/>
            <w:hideMark/>
          </w:tcPr>
          <w:p w14:paraId="6978081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25.0 </w:t>
            </w:r>
          </w:p>
        </w:tc>
        <w:tc>
          <w:tcPr>
            <w:tcW w:w="822" w:type="dxa"/>
            <w:tcBorders>
              <w:top w:val="nil"/>
              <w:left w:val="nil"/>
              <w:bottom w:val="single" w:sz="4" w:space="0" w:color="auto"/>
              <w:right w:val="single" w:sz="4" w:space="0" w:color="auto"/>
            </w:tcBorders>
            <w:shd w:val="clear" w:color="000000" w:fill="E2EFD9"/>
            <w:vAlign w:val="center"/>
            <w:hideMark/>
          </w:tcPr>
          <w:p w14:paraId="3CDA683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19.1 </w:t>
            </w:r>
          </w:p>
        </w:tc>
        <w:tc>
          <w:tcPr>
            <w:tcW w:w="821" w:type="dxa"/>
            <w:tcBorders>
              <w:top w:val="nil"/>
              <w:left w:val="nil"/>
              <w:bottom w:val="single" w:sz="4" w:space="0" w:color="auto"/>
              <w:right w:val="single" w:sz="4" w:space="0" w:color="auto"/>
            </w:tcBorders>
            <w:shd w:val="clear" w:color="000000" w:fill="E2EFD9"/>
            <w:vAlign w:val="center"/>
            <w:hideMark/>
          </w:tcPr>
          <w:p w14:paraId="21DDD3D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17.9 </w:t>
            </w:r>
          </w:p>
        </w:tc>
        <w:tc>
          <w:tcPr>
            <w:tcW w:w="821" w:type="dxa"/>
            <w:tcBorders>
              <w:top w:val="nil"/>
              <w:left w:val="nil"/>
              <w:bottom w:val="single" w:sz="4" w:space="0" w:color="auto"/>
              <w:right w:val="single" w:sz="4" w:space="0" w:color="auto"/>
            </w:tcBorders>
            <w:shd w:val="clear" w:color="000000" w:fill="E2EFD9"/>
            <w:vAlign w:val="center"/>
            <w:hideMark/>
          </w:tcPr>
          <w:p w14:paraId="561587B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22.6 </w:t>
            </w:r>
          </w:p>
        </w:tc>
        <w:tc>
          <w:tcPr>
            <w:tcW w:w="822" w:type="dxa"/>
            <w:tcBorders>
              <w:top w:val="nil"/>
              <w:left w:val="nil"/>
              <w:bottom w:val="single" w:sz="4" w:space="0" w:color="auto"/>
              <w:right w:val="single" w:sz="4" w:space="0" w:color="auto"/>
            </w:tcBorders>
            <w:shd w:val="clear" w:color="000000" w:fill="E2EFD9"/>
            <w:vAlign w:val="center"/>
            <w:hideMark/>
          </w:tcPr>
          <w:p w14:paraId="130588A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20.0 </w:t>
            </w:r>
          </w:p>
        </w:tc>
        <w:tc>
          <w:tcPr>
            <w:tcW w:w="821" w:type="dxa"/>
            <w:tcBorders>
              <w:top w:val="nil"/>
              <w:left w:val="nil"/>
              <w:bottom w:val="single" w:sz="4" w:space="0" w:color="auto"/>
              <w:right w:val="single" w:sz="4" w:space="0" w:color="auto"/>
            </w:tcBorders>
            <w:shd w:val="clear" w:color="000000" w:fill="E2EFD9"/>
            <w:vAlign w:val="center"/>
            <w:hideMark/>
          </w:tcPr>
          <w:p w14:paraId="56580F1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16.0 </w:t>
            </w:r>
          </w:p>
        </w:tc>
        <w:tc>
          <w:tcPr>
            <w:tcW w:w="731" w:type="dxa"/>
            <w:tcBorders>
              <w:top w:val="nil"/>
              <w:left w:val="nil"/>
              <w:bottom w:val="single" w:sz="4" w:space="0" w:color="auto"/>
              <w:right w:val="single" w:sz="4" w:space="0" w:color="auto"/>
            </w:tcBorders>
            <w:shd w:val="clear" w:color="000000" w:fill="E2EFD9"/>
            <w:vAlign w:val="center"/>
            <w:hideMark/>
          </w:tcPr>
          <w:p w14:paraId="0B4897F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14.4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7AFA9CB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24.6</w:t>
            </w:r>
          </w:p>
        </w:tc>
      </w:tr>
      <w:tr w:rsidR="007A7C57" w:rsidRPr="00817307" w14:paraId="1EB97D94" w14:textId="77777777" w:rsidTr="00354141">
        <w:trPr>
          <w:trHeight w:val="552"/>
          <w:tblHeader/>
        </w:trPr>
        <w:tc>
          <w:tcPr>
            <w:tcW w:w="795" w:type="dxa"/>
            <w:vMerge w:val="restart"/>
            <w:tcBorders>
              <w:top w:val="nil"/>
              <w:left w:val="single" w:sz="12" w:space="0" w:color="375623"/>
              <w:bottom w:val="single" w:sz="12" w:space="0" w:color="375623"/>
              <w:right w:val="single" w:sz="4" w:space="0" w:color="auto"/>
            </w:tcBorders>
            <w:shd w:val="clear" w:color="000000" w:fill="FFFFFF"/>
            <w:vAlign w:val="center"/>
            <w:hideMark/>
          </w:tcPr>
          <w:p w14:paraId="4F8F6254"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Traditional Metrics</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ABC1AD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Exterior Design</w:t>
            </w:r>
          </w:p>
        </w:tc>
        <w:tc>
          <w:tcPr>
            <w:tcW w:w="731" w:type="dxa"/>
            <w:tcBorders>
              <w:top w:val="nil"/>
              <w:left w:val="nil"/>
              <w:bottom w:val="single" w:sz="4" w:space="0" w:color="auto"/>
              <w:right w:val="single" w:sz="4" w:space="0" w:color="auto"/>
            </w:tcBorders>
            <w:shd w:val="clear" w:color="000000" w:fill="FFFFFF"/>
            <w:vAlign w:val="center"/>
            <w:hideMark/>
          </w:tcPr>
          <w:p w14:paraId="2D5E7A4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4.60 </w:t>
            </w:r>
          </w:p>
        </w:tc>
        <w:tc>
          <w:tcPr>
            <w:tcW w:w="821" w:type="dxa"/>
            <w:tcBorders>
              <w:top w:val="nil"/>
              <w:left w:val="nil"/>
              <w:bottom w:val="single" w:sz="4" w:space="0" w:color="auto"/>
              <w:right w:val="single" w:sz="4" w:space="0" w:color="auto"/>
            </w:tcBorders>
            <w:shd w:val="clear" w:color="000000" w:fill="FFFFFF"/>
            <w:vAlign w:val="center"/>
            <w:hideMark/>
          </w:tcPr>
          <w:p w14:paraId="1C85DD4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4.60 </w:t>
            </w:r>
          </w:p>
        </w:tc>
        <w:tc>
          <w:tcPr>
            <w:tcW w:w="822" w:type="dxa"/>
            <w:tcBorders>
              <w:top w:val="nil"/>
              <w:left w:val="nil"/>
              <w:bottom w:val="single" w:sz="4" w:space="0" w:color="auto"/>
              <w:right w:val="single" w:sz="4" w:space="0" w:color="auto"/>
            </w:tcBorders>
            <w:shd w:val="clear" w:color="000000" w:fill="FFFFFF"/>
            <w:vAlign w:val="center"/>
            <w:hideMark/>
          </w:tcPr>
          <w:p w14:paraId="568673F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4.04 </w:t>
            </w:r>
          </w:p>
        </w:tc>
        <w:tc>
          <w:tcPr>
            <w:tcW w:w="821" w:type="dxa"/>
            <w:tcBorders>
              <w:top w:val="nil"/>
              <w:left w:val="nil"/>
              <w:bottom w:val="single" w:sz="4" w:space="0" w:color="auto"/>
              <w:right w:val="single" w:sz="4" w:space="0" w:color="auto"/>
            </w:tcBorders>
            <w:shd w:val="clear" w:color="000000" w:fill="FFFFFF"/>
            <w:vAlign w:val="center"/>
            <w:hideMark/>
          </w:tcPr>
          <w:p w14:paraId="7F1C752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01C7DEA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4.19 </w:t>
            </w:r>
          </w:p>
        </w:tc>
        <w:tc>
          <w:tcPr>
            <w:tcW w:w="822" w:type="dxa"/>
            <w:tcBorders>
              <w:top w:val="nil"/>
              <w:left w:val="nil"/>
              <w:bottom w:val="single" w:sz="4" w:space="0" w:color="auto"/>
              <w:right w:val="single" w:sz="4" w:space="0" w:color="auto"/>
            </w:tcBorders>
            <w:shd w:val="clear" w:color="000000" w:fill="FFFFFF"/>
            <w:vAlign w:val="center"/>
            <w:hideMark/>
          </w:tcPr>
          <w:p w14:paraId="6BB61D4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4.22 </w:t>
            </w:r>
          </w:p>
        </w:tc>
        <w:tc>
          <w:tcPr>
            <w:tcW w:w="821" w:type="dxa"/>
            <w:tcBorders>
              <w:top w:val="nil"/>
              <w:left w:val="nil"/>
              <w:bottom w:val="single" w:sz="4" w:space="0" w:color="auto"/>
              <w:right w:val="single" w:sz="4" w:space="0" w:color="auto"/>
            </w:tcBorders>
            <w:shd w:val="clear" w:color="000000" w:fill="FFFFFF"/>
            <w:vAlign w:val="center"/>
            <w:hideMark/>
          </w:tcPr>
          <w:p w14:paraId="448D76B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020F760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26301C4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4.67 </w:t>
            </w:r>
          </w:p>
        </w:tc>
      </w:tr>
      <w:tr w:rsidR="007A7C57" w:rsidRPr="00817307" w14:paraId="628756A7" w14:textId="77777777" w:rsidTr="00354141">
        <w:trPr>
          <w:trHeight w:val="1104"/>
          <w:tblHeader/>
        </w:trPr>
        <w:tc>
          <w:tcPr>
            <w:tcW w:w="795" w:type="dxa"/>
            <w:vMerge/>
            <w:tcBorders>
              <w:top w:val="nil"/>
              <w:left w:val="single" w:sz="12" w:space="0" w:color="375623"/>
              <w:bottom w:val="single" w:sz="12" w:space="0" w:color="375623"/>
              <w:right w:val="single" w:sz="4" w:space="0" w:color="auto"/>
            </w:tcBorders>
            <w:vAlign w:val="center"/>
            <w:hideMark/>
          </w:tcPr>
          <w:p w14:paraId="4D136092"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7B6C97A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Interior </w:t>
            </w:r>
            <w:r>
              <w:rPr>
                <w:rFonts w:eastAsia="等线"/>
                <w:color w:val="000000"/>
                <w:sz w:val="18"/>
                <w:szCs w:val="18"/>
              </w:rPr>
              <w:t>D</w:t>
            </w:r>
            <w:r w:rsidRPr="00941C94">
              <w:rPr>
                <w:rFonts w:eastAsia="等线"/>
                <w:color w:val="000000"/>
                <w:sz w:val="18"/>
                <w:szCs w:val="18"/>
              </w:rPr>
              <w:t xml:space="preserve">esign and </w:t>
            </w:r>
            <w:r>
              <w:rPr>
                <w:rFonts w:eastAsia="等线"/>
                <w:color w:val="000000"/>
                <w:sz w:val="18"/>
                <w:szCs w:val="18"/>
              </w:rPr>
              <w:t>C</w:t>
            </w:r>
            <w:r w:rsidRPr="00941C94">
              <w:rPr>
                <w:rFonts w:eastAsia="等线"/>
                <w:color w:val="000000"/>
                <w:sz w:val="18"/>
                <w:szCs w:val="18"/>
              </w:rPr>
              <w:t>omfort</w:t>
            </w:r>
          </w:p>
        </w:tc>
        <w:tc>
          <w:tcPr>
            <w:tcW w:w="731" w:type="dxa"/>
            <w:tcBorders>
              <w:top w:val="nil"/>
              <w:left w:val="nil"/>
              <w:bottom w:val="single" w:sz="4" w:space="0" w:color="auto"/>
              <w:right w:val="single" w:sz="4" w:space="0" w:color="auto"/>
            </w:tcBorders>
            <w:shd w:val="clear" w:color="000000" w:fill="FFFFFF"/>
            <w:vAlign w:val="center"/>
            <w:hideMark/>
          </w:tcPr>
          <w:p w14:paraId="1002E0F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4.40 </w:t>
            </w:r>
          </w:p>
        </w:tc>
        <w:tc>
          <w:tcPr>
            <w:tcW w:w="821" w:type="dxa"/>
            <w:tcBorders>
              <w:top w:val="nil"/>
              <w:left w:val="nil"/>
              <w:bottom w:val="single" w:sz="4" w:space="0" w:color="auto"/>
              <w:right w:val="single" w:sz="4" w:space="0" w:color="auto"/>
            </w:tcBorders>
            <w:shd w:val="clear" w:color="000000" w:fill="FFFFFF"/>
            <w:vAlign w:val="center"/>
            <w:hideMark/>
          </w:tcPr>
          <w:p w14:paraId="597D7B4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4.40 </w:t>
            </w:r>
          </w:p>
        </w:tc>
        <w:tc>
          <w:tcPr>
            <w:tcW w:w="822" w:type="dxa"/>
            <w:tcBorders>
              <w:top w:val="nil"/>
              <w:left w:val="nil"/>
              <w:bottom w:val="single" w:sz="4" w:space="0" w:color="auto"/>
              <w:right w:val="single" w:sz="4" w:space="0" w:color="auto"/>
            </w:tcBorders>
            <w:shd w:val="clear" w:color="000000" w:fill="FFFFFF"/>
            <w:vAlign w:val="center"/>
            <w:hideMark/>
          </w:tcPr>
          <w:p w14:paraId="3DF0712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4.26 </w:t>
            </w:r>
          </w:p>
        </w:tc>
        <w:tc>
          <w:tcPr>
            <w:tcW w:w="821" w:type="dxa"/>
            <w:tcBorders>
              <w:top w:val="nil"/>
              <w:left w:val="nil"/>
              <w:bottom w:val="single" w:sz="4" w:space="0" w:color="auto"/>
              <w:right w:val="single" w:sz="4" w:space="0" w:color="auto"/>
            </w:tcBorders>
            <w:shd w:val="clear" w:color="000000" w:fill="FFFFFF"/>
            <w:vAlign w:val="center"/>
            <w:hideMark/>
          </w:tcPr>
          <w:p w14:paraId="4C31846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22B1A68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3.88 </w:t>
            </w:r>
          </w:p>
        </w:tc>
        <w:tc>
          <w:tcPr>
            <w:tcW w:w="822" w:type="dxa"/>
            <w:tcBorders>
              <w:top w:val="nil"/>
              <w:left w:val="nil"/>
              <w:bottom w:val="single" w:sz="4" w:space="0" w:color="auto"/>
              <w:right w:val="single" w:sz="4" w:space="0" w:color="auto"/>
            </w:tcBorders>
            <w:shd w:val="clear" w:color="000000" w:fill="FFFFFF"/>
            <w:vAlign w:val="center"/>
            <w:hideMark/>
          </w:tcPr>
          <w:p w14:paraId="144E88F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3.98 </w:t>
            </w:r>
          </w:p>
        </w:tc>
        <w:tc>
          <w:tcPr>
            <w:tcW w:w="821" w:type="dxa"/>
            <w:tcBorders>
              <w:top w:val="nil"/>
              <w:left w:val="nil"/>
              <w:bottom w:val="single" w:sz="4" w:space="0" w:color="auto"/>
              <w:right w:val="single" w:sz="4" w:space="0" w:color="auto"/>
            </w:tcBorders>
            <w:shd w:val="clear" w:color="000000" w:fill="FFFFFF"/>
            <w:vAlign w:val="center"/>
            <w:hideMark/>
          </w:tcPr>
          <w:p w14:paraId="23E8881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2AB92AC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1CAAE10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4.06 </w:t>
            </w:r>
          </w:p>
        </w:tc>
      </w:tr>
      <w:tr w:rsidR="007A7C57" w:rsidRPr="00817307" w14:paraId="70DDF4F0" w14:textId="77777777" w:rsidTr="00354141">
        <w:trPr>
          <w:trHeight w:val="1116"/>
          <w:tblHeader/>
        </w:trPr>
        <w:tc>
          <w:tcPr>
            <w:tcW w:w="795" w:type="dxa"/>
            <w:vMerge/>
            <w:tcBorders>
              <w:top w:val="nil"/>
              <w:left w:val="single" w:sz="12" w:space="0" w:color="375623"/>
              <w:bottom w:val="single" w:sz="12" w:space="0" w:color="375623"/>
              <w:right w:val="single" w:sz="4" w:space="0" w:color="auto"/>
            </w:tcBorders>
            <w:vAlign w:val="center"/>
            <w:hideMark/>
          </w:tcPr>
          <w:p w14:paraId="7D143CB3" w14:textId="77777777" w:rsidR="007A7C57" w:rsidRPr="00941C94" w:rsidRDefault="007A7C57" w:rsidP="00354141">
            <w:pPr>
              <w:spacing w:line="360" w:lineRule="auto"/>
              <w:rPr>
                <w:rFonts w:eastAsia="等线"/>
                <w:color w:val="000000"/>
                <w:sz w:val="18"/>
                <w:szCs w:val="18"/>
              </w:rPr>
            </w:pPr>
          </w:p>
        </w:tc>
        <w:tc>
          <w:tcPr>
            <w:tcW w:w="900" w:type="dxa"/>
            <w:tcBorders>
              <w:top w:val="single" w:sz="4" w:space="0" w:color="auto"/>
              <w:left w:val="nil"/>
              <w:bottom w:val="single" w:sz="12" w:space="0" w:color="375623"/>
              <w:right w:val="single" w:sz="4" w:space="0" w:color="auto"/>
            </w:tcBorders>
            <w:shd w:val="clear" w:color="000000" w:fill="FFFFFF"/>
            <w:vAlign w:val="center"/>
            <w:hideMark/>
          </w:tcPr>
          <w:p w14:paraId="0C699EC9" w14:textId="77777777" w:rsidR="007A7C57" w:rsidRPr="00941C94" w:rsidRDefault="007A7C57" w:rsidP="00354141">
            <w:pPr>
              <w:spacing w:line="360" w:lineRule="auto"/>
              <w:rPr>
                <w:rFonts w:eastAsia="等线"/>
                <w:color w:val="000000"/>
                <w:sz w:val="18"/>
                <w:szCs w:val="18"/>
              </w:rPr>
            </w:pPr>
            <w:r w:rsidRPr="00535E28">
              <w:rPr>
                <w:rFonts w:eastAsia="等线"/>
                <w:color w:val="000000"/>
                <w:sz w:val="18"/>
                <w:szCs w:val="18"/>
              </w:rPr>
              <w:t>Volume</w:t>
            </w:r>
            <w:r w:rsidRPr="00941C94">
              <w:rPr>
                <w:rFonts w:eastAsia="等线"/>
                <w:color w:val="000000"/>
                <w:sz w:val="18"/>
                <w:szCs w:val="18"/>
              </w:rPr>
              <w:t>, cu m</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4AFD2CF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16.86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6DB285B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16.86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74C0F86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16.55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2A074EE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16.27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756BD88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17.56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455D90C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14.28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3186DF1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13.60 </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1E29E1F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14.34 </w:t>
            </w:r>
          </w:p>
        </w:tc>
        <w:tc>
          <w:tcPr>
            <w:tcW w:w="912" w:type="dxa"/>
            <w:tcBorders>
              <w:top w:val="nil"/>
              <w:left w:val="nil"/>
              <w:bottom w:val="single" w:sz="12" w:space="0" w:color="375623"/>
              <w:right w:val="single" w:sz="12" w:space="0" w:color="375623"/>
            </w:tcBorders>
            <w:shd w:val="clear" w:color="000000" w:fill="FFFFFF"/>
            <w:vAlign w:val="center"/>
            <w:hideMark/>
          </w:tcPr>
          <w:p w14:paraId="47CF257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13.46 </w:t>
            </w:r>
          </w:p>
        </w:tc>
      </w:tr>
    </w:tbl>
    <w:p w14:paraId="0E0A94CD" w14:textId="77777777" w:rsidR="007A7C57" w:rsidRPr="00A93A26" w:rsidRDefault="007A7C57" w:rsidP="006633E7">
      <w:pPr>
        <w:spacing w:line="360" w:lineRule="auto"/>
        <w:jc w:val="both"/>
        <w:rPr>
          <w:rFonts w:eastAsiaTheme="minorEastAsia"/>
          <w:i/>
          <w:iCs/>
          <w:sz w:val="21"/>
          <w:szCs w:val="21"/>
        </w:rPr>
      </w:pPr>
      <w:r w:rsidRPr="00A93A26">
        <w:rPr>
          <w:rFonts w:eastAsiaTheme="minorEastAsia" w:hint="eastAsia"/>
          <w:i/>
          <w:iCs/>
          <w:sz w:val="21"/>
          <w:szCs w:val="21"/>
        </w:rPr>
        <w:t>S</w:t>
      </w:r>
      <w:r w:rsidRPr="00A93A26">
        <w:rPr>
          <w:rFonts w:eastAsiaTheme="minorEastAsia"/>
          <w:i/>
          <w:iCs/>
          <w:sz w:val="21"/>
          <w:szCs w:val="21"/>
        </w:rPr>
        <w:t xml:space="preserve">ource: Electric Vehicle Database, </w:t>
      </w:r>
      <w:proofErr w:type="spellStart"/>
      <w:r w:rsidRPr="00A93A26">
        <w:rPr>
          <w:rFonts w:eastAsiaTheme="minorEastAsia"/>
          <w:i/>
          <w:iCs/>
          <w:sz w:val="21"/>
          <w:szCs w:val="21"/>
        </w:rPr>
        <w:t>Dongchedi</w:t>
      </w:r>
      <w:proofErr w:type="spellEnd"/>
    </w:p>
    <w:p w14:paraId="46FB2875" w14:textId="081FA216"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o quantify the performance of Lotus on different indicators, we use the overall scope of selected nine models as the total distribution and calculate each indicator</w:t>
      </w:r>
      <w:r w:rsidR="004C5751">
        <w:rPr>
          <w:rFonts w:eastAsiaTheme="minorEastAsia"/>
        </w:rPr>
        <w:t>’</w:t>
      </w:r>
      <w:r>
        <w:rPr>
          <w:rFonts w:eastAsiaTheme="minorEastAsia"/>
        </w:rPr>
        <w:t>s percentile based on the distribution. The lower the percentile and ranking is, the better the performance is.</w:t>
      </w:r>
    </w:p>
    <w:p w14:paraId="2C4BDBE2" w14:textId="536F2612"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7</w:t>
      </w:r>
      <w:r w:rsidR="00D06E84">
        <w:rPr>
          <w:rFonts w:ascii="Times New Roman" w:hAnsi="Times New Roman" w:cs="Times New Roman"/>
          <w:i/>
          <w:iCs/>
          <w:sz w:val="21"/>
          <w:szCs w:val="21"/>
        </w:rPr>
        <w:fldChar w:fldCharType="end"/>
      </w:r>
      <w:r w:rsidRPr="00AC4BA9">
        <w:rPr>
          <w:rFonts w:ascii="Times New Roman" w:hAnsi="Times New Roman" w:cs="Times New Roman"/>
          <w:i/>
          <w:iCs/>
          <w:sz w:val="21"/>
          <w:szCs w:val="21"/>
        </w:rPr>
        <w:t>:The percentile of Lotus among different luxury electric vehicles</w:t>
      </w:r>
    </w:p>
    <w:tbl>
      <w:tblPr>
        <w:tblW w:w="5000" w:type="pct"/>
        <w:tblLayout w:type="fixed"/>
        <w:tblLook w:val="04A0" w:firstRow="1" w:lastRow="0" w:firstColumn="1" w:lastColumn="0" w:noHBand="0" w:noVBand="1"/>
      </w:tblPr>
      <w:tblGrid>
        <w:gridCol w:w="1251"/>
        <w:gridCol w:w="1387"/>
        <w:gridCol w:w="955"/>
        <w:gridCol w:w="882"/>
        <w:gridCol w:w="730"/>
        <w:gridCol w:w="993"/>
        <w:gridCol w:w="1078"/>
        <w:gridCol w:w="721"/>
        <w:gridCol w:w="999"/>
      </w:tblGrid>
      <w:tr w:rsidR="007A7C57" w:rsidRPr="00535E28" w14:paraId="4566D9E4" w14:textId="77777777" w:rsidTr="004C69BF">
        <w:trPr>
          <w:trHeight w:val="456"/>
          <w:tblHeader/>
        </w:trPr>
        <w:tc>
          <w:tcPr>
            <w:tcW w:w="1466"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753F3C99"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Parameters</w:t>
            </w:r>
          </w:p>
        </w:tc>
        <w:tc>
          <w:tcPr>
            <w:tcW w:w="531" w:type="pct"/>
            <w:tcBorders>
              <w:top w:val="single" w:sz="12" w:space="0" w:color="375623"/>
              <w:left w:val="nil"/>
              <w:bottom w:val="single" w:sz="4" w:space="0" w:color="auto"/>
              <w:right w:val="single" w:sz="4" w:space="0" w:color="auto"/>
            </w:tcBorders>
            <w:shd w:val="clear" w:color="000000" w:fill="003300"/>
            <w:vAlign w:val="center"/>
            <w:hideMark/>
          </w:tcPr>
          <w:p w14:paraId="1604AF13"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Overall scope</w:t>
            </w:r>
          </w:p>
        </w:tc>
        <w:tc>
          <w:tcPr>
            <w:tcW w:w="490" w:type="pct"/>
            <w:tcBorders>
              <w:top w:val="single" w:sz="12" w:space="0" w:color="375623"/>
              <w:left w:val="nil"/>
              <w:bottom w:val="single" w:sz="4" w:space="0" w:color="auto"/>
              <w:right w:val="single" w:sz="4" w:space="0" w:color="auto"/>
            </w:tcBorders>
            <w:shd w:val="clear" w:color="000000" w:fill="003300"/>
            <w:vAlign w:val="center"/>
            <w:hideMark/>
          </w:tcPr>
          <w:p w14:paraId="4CBD182F"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Lotus Eletre S</w:t>
            </w:r>
          </w:p>
        </w:tc>
        <w:tc>
          <w:tcPr>
            <w:tcW w:w="406" w:type="pct"/>
            <w:tcBorders>
              <w:top w:val="single" w:sz="12" w:space="0" w:color="375623"/>
              <w:left w:val="nil"/>
              <w:bottom w:val="single" w:sz="4" w:space="0" w:color="auto"/>
              <w:right w:val="single" w:sz="4" w:space="0" w:color="auto"/>
            </w:tcBorders>
            <w:shd w:val="clear" w:color="000000" w:fill="003300"/>
            <w:vAlign w:val="center"/>
            <w:hideMark/>
          </w:tcPr>
          <w:p w14:paraId="0D55AA54"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Percentile</w:t>
            </w:r>
          </w:p>
        </w:tc>
        <w:tc>
          <w:tcPr>
            <w:tcW w:w="552" w:type="pct"/>
            <w:tcBorders>
              <w:top w:val="single" w:sz="12" w:space="0" w:color="375623"/>
              <w:left w:val="nil"/>
              <w:bottom w:val="single" w:sz="4" w:space="0" w:color="auto"/>
              <w:right w:val="single" w:sz="4" w:space="0" w:color="auto"/>
            </w:tcBorders>
            <w:shd w:val="clear" w:color="000000" w:fill="003300"/>
            <w:vAlign w:val="center"/>
            <w:hideMark/>
          </w:tcPr>
          <w:p w14:paraId="2A741788"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Ranking</w:t>
            </w:r>
          </w:p>
        </w:tc>
        <w:tc>
          <w:tcPr>
            <w:tcW w:w="599" w:type="pct"/>
            <w:tcBorders>
              <w:top w:val="single" w:sz="12" w:space="0" w:color="375623"/>
              <w:left w:val="nil"/>
              <w:bottom w:val="single" w:sz="4" w:space="0" w:color="auto"/>
              <w:right w:val="single" w:sz="4" w:space="0" w:color="auto"/>
            </w:tcBorders>
            <w:shd w:val="clear" w:color="000000" w:fill="003300"/>
            <w:vAlign w:val="center"/>
            <w:hideMark/>
          </w:tcPr>
          <w:p w14:paraId="42B78D07"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Lotus Eletre R</w:t>
            </w:r>
          </w:p>
        </w:tc>
        <w:tc>
          <w:tcPr>
            <w:tcW w:w="401" w:type="pct"/>
            <w:tcBorders>
              <w:top w:val="single" w:sz="12" w:space="0" w:color="375623"/>
              <w:left w:val="nil"/>
              <w:bottom w:val="single" w:sz="4" w:space="0" w:color="auto"/>
              <w:right w:val="single" w:sz="4" w:space="0" w:color="auto"/>
            </w:tcBorders>
            <w:shd w:val="clear" w:color="000000" w:fill="003300"/>
            <w:vAlign w:val="center"/>
            <w:hideMark/>
          </w:tcPr>
          <w:p w14:paraId="16AA3078"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Percentile</w:t>
            </w:r>
          </w:p>
        </w:tc>
        <w:tc>
          <w:tcPr>
            <w:tcW w:w="555" w:type="pct"/>
            <w:tcBorders>
              <w:top w:val="single" w:sz="12" w:space="0" w:color="375623"/>
              <w:left w:val="nil"/>
              <w:bottom w:val="single" w:sz="4" w:space="0" w:color="auto"/>
              <w:right w:val="single" w:sz="12" w:space="0" w:color="375623"/>
            </w:tcBorders>
            <w:shd w:val="clear" w:color="000000" w:fill="003300"/>
            <w:vAlign w:val="center"/>
            <w:hideMark/>
          </w:tcPr>
          <w:p w14:paraId="1A1226CA"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Ranking</w:t>
            </w:r>
          </w:p>
        </w:tc>
      </w:tr>
      <w:tr w:rsidR="004C69BF" w:rsidRPr="00535E28" w14:paraId="66864189"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tcPr>
          <w:p w14:paraId="15C1D6BF" w14:textId="0FF83BE4"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Price</w:t>
            </w:r>
          </w:p>
        </w:tc>
        <w:tc>
          <w:tcPr>
            <w:tcW w:w="771" w:type="pct"/>
            <w:tcBorders>
              <w:top w:val="single" w:sz="4" w:space="0" w:color="auto"/>
              <w:left w:val="single" w:sz="4" w:space="0" w:color="auto"/>
              <w:bottom w:val="single" w:sz="4" w:space="0" w:color="auto"/>
              <w:right w:val="single" w:sz="4" w:space="0" w:color="auto"/>
            </w:tcBorders>
            <w:shd w:val="clear" w:color="000000" w:fill="E2EFD9"/>
            <w:vAlign w:val="center"/>
          </w:tcPr>
          <w:p w14:paraId="48582BD6" w14:textId="411E48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US Region, US$</w:t>
            </w:r>
          </w:p>
        </w:tc>
        <w:tc>
          <w:tcPr>
            <w:tcW w:w="531" w:type="pct"/>
            <w:tcBorders>
              <w:top w:val="single" w:sz="4" w:space="0" w:color="auto"/>
              <w:left w:val="nil"/>
              <w:bottom w:val="single" w:sz="4" w:space="0" w:color="auto"/>
              <w:right w:val="single" w:sz="4" w:space="0" w:color="auto"/>
            </w:tcBorders>
            <w:shd w:val="clear" w:color="000000" w:fill="E2EFD9"/>
            <w:vAlign w:val="center"/>
          </w:tcPr>
          <w:p w14:paraId="79969166" w14:textId="41C223E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77,900 - 144,000</w:t>
            </w:r>
          </w:p>
        </w:tc>
        <w:tc>
          <w:tcPr>
            <w:tcW w:w="490" w:type="pct"/>
            <w:tcBorders>
              <w:top w:val="single" w:sz="4" w:space="0" w:color="auto"/>
              <w:left w:val="nil"/>
              <w:bottom w:val="single" w:sz="4" w:space="0" w:color="auto"/>
              <w:right w:val="single" w:sz="4" w:space="0" w:color="auto"/>
            </w:tcBorders>
            <w:shd w:val="clear" w:color="000000" w:fill="E2EFD9"/>
            <w:vAlign w:val="center"/>
          </w:tcPr>
          <w:p w14:paraId="2054DC09" w14:textId="4FE94A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116,000</w:t>
            </w:r>
          </w:p>
        </w:tc>
        <w:tc>
          <w:tcPr>
            <w:tcW w:w="406" w:type="pct"/>
            <w:tcBorders>
              <w:top w:val="single" w:sz="4" w:space="0" w:color="auto"/>
              <w:left w:val="nil"/>
              <w:bottom w:val="single" w:sz="4" w:space="0" w:color="auto"/>
              <w:right w:val="single" w:sz="4" w:space="0" w:color="auto"/>
            </w:tcBorders>
            <w:shd w:val="clear" w:color="000000" w:fill="E2EFD9"/>
            <w:vAlign w:val="center"/>
          </w:tcPr>
          <w:p w14:paraId="728A00FC" w14:textId="43E210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0.58 </w:t>
            </w:r>
          </w:p>
        </w:tc>
        <w:tc>
          <w:tcPr>
            <w:tcW w:w="552" w:type="pct"/>
            <w:tcBorders>
              <w:top w:val="single" w:sz="4" w:space="0" w:color="auto"/>
              <w:left w:val="nil"/>
              <w:bottom w:val="single" w:sz="4" w:space="0" w:color="auto"/>
              <w:right w:val="single" w:sz="4" w:space="0" w:color="auto"/>
            </w:tcBorders>
            <w:shd w:val="clear" w:color="000000" w:fill="E2EFD9"/>
            <w:vAlign w:val="center"/>
          </w:tcPr>
          <w:p w14:paraId="3354BAD5" w14:textId="5291C0E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7 </w:t>
            </w:r>
          </w:p>
        </w:tc>
        <w:tc>
          <w:tcPr>
            <w:tcW w:w="599" w:type="pct"/>
            <w:tcBorders>
              <w:top w:val="single" w:sz="4" w:space="0" w:color="auto"/>
              <w:left w:val="nil"/>
              <w:bottom w:val="single" w:sz="4" w:space="0" w:color="auto"/>
              <w:right w:val="single" w:sz="4" w:space="0" w:color="auto"/>
            </w:tcBorders>
            <w:shd w:val="clear" w:color="000000" w:fill="E2EFD9"/>
            <w:vAlign w:val="center"/>
          </w:tcPr>
          <w:p w14:paraId="54905DD0" w14:textId="3CA2C5AC"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144,000 </w:t>
            </w:r>
          </w:p>
        </w:tc>
        <w:tc>
          <w:tcPr>
            <w:tcW w:w="401" w:type="pct"/>
            <w:tcBorders>
              <w:top w:val="single" w:sz="4" w:space="0" w:color="auto"/>
              <w:left w:val="nil"/>
              <w:bottom w:val="single" w:sz="4" w:space="0" w:color="auto"/>
              <w:right w:val="single" w:sz="4" w:space="0" w:color="auto"/>
            </w:tcBorders>
            <w:shd w:val="clear" w:color="000000" w:fill="E2EFD9"/>
            <w:vAlign w:val="center"/>
          </w:tcPr>
          <w:p w14:paraId="416BC5A3" w14:textId="4B862A3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tcPr>
          <w:p w14:paraId="5E89C638" w14:textId="750DFB1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9 </w:t>
            </w:r>
          </w:p>
        </w:tc>
      </w:tr>
      <w:tr w:rsidR="004C69BF" w:rsidRPr="00535E28" w14:paraId="3EAE1DDD"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FFFFFF"/>
            <w:vAlign w:val="center"/>
            <w:hideMark/>
          </w:tcPr>
          <w:p w14:paraId="478D13E3" w14:textId="786C471B"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Driving Performance</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0A40D39E" w14:textId="6CD492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Acceleration, 0-100km/h,s</w:t>
            </w:r>
          </w:p>
        </w:tc>
        <w:tc>
          <w:tcPr>
            <w:tcW w:w="531" w:type="pct"/>
            <w:tcBorders>
              <w:top w:val="nil"/>
              <w:left w:val="nil"/>
              <w:bottom w:val="single" w:sz="4" w:space="0" w:color="auto"/>
              <w:right w:val="single" w:sz="4" w:space="0" w:color="auto"/>
            </w:tcBorders>
            <w:shd w:val="clear" w:color="000000" w:fill="FFFFFF"/>
            <w:vAlign w:val="center"/>
            <w:hideMark/>
          </w:tcPr>
          <w:p w14:paraId="78AB0CFB"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2.1 </w:t>
            </w:r>
            <w:r>
              <w:rPr>
                <w:rFonts w:eastAsia="等线"/>
                <w:color w:val="000000"/>
                <w:sz w:val="18"/>
                <w:szCs w:val="18"/>
              </w:rPr>
              <w:t>-</w:t>
            </w:r>
          </w:p>
          <w:p w14:paraId="74031A4E" w14:textId="551DFAC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6.0</w:t>
            </w:r>
          </w:p>
        </w:tc>
        <w:tc>
          <w:tcPr>
            <w:tcW w:w="490" w:type="pct"/>
            <w:tcBorders>
              <w:top w:val="nil"/>
              <w:left w:val="nil"/>
              <w:bottom w:val="single" w:sz="4" w:space="0" w:color="auto"/>
              <w:right w:val="single" w:sz="4" w:space="0" w:color="auto"/>
            </w:tcBorders>
            <w:shd w:val="clear" w:color="000000" w:fill="FFFFFF"/>
            <w:vAlign w:val="center"/>
            <w:hideMark/>
          </w:tcPr>
          <w:p w14:paraId="36150E3C" w14:textId="7A980E4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4.5</w:t>
            </w:r>
          </w:p>
        </w:tc>
        <w:tc>
          <w:tcPr>
            <w:tcW w:w="406" w:type="pct"/>
            <w:tcBorders>
              <w:top w:val="nil"/>
              <w:left w:val="nil"/>
              <w:bottom w:val="single" w:sz="4" w:space="0" w:color="auto"/>
              <w:right w:val="single" w:sz="4" w:space="0" w:color="auto"/>
            </w:tcBorders>
            <w:shd w:val="clear" w:color="000000" w:fill="FFFFFF"/>
            <w:vAlign w:val="center"/>
            <w:hideMark/>
          </w:tcPr>
          <w:p w14:paraId="60CFDCDA" w14:textId="579219C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0.62 </w:t>
            </w:r>
          </w:p>
        </w:tc>
        <w:tc>
          <w:tcPr>
            <w:tcW w:w="552" w:type="pct"/>
            <w:tcBorders>
              <w:top w:val="nil"/>
              <w:left w:val="nil"/>
              <w:bottom w:val="single" w:sz="4" w:space="0" w:color="auto"/>
              <w:right w:val="single" w:sz="4" w:space="0" w:color="auto"/>
            </w:tcBorders>
            <w:shd w:val="clear" w:color="000000" w:fill="FFFFFF"/>
            <w:vAlign w:val="center"/>
            <w:hideMark/>
          </w:tcPr>
          <w:p w14:paraId="215874DC" w14:textId="7305A5F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7 </w:t>
            </w:r>
          </w:p>
        </w:tc>
        <w:tc>
          <w:tcPr>
            <w:tcW w:w="599" w:type="pct"/>
            <w:tcBorders>
              <w:top w:val="nil"/>
              <w:left w:val="nil"/>
              <w:bottom w:val="single" w:sz="4" w:space="0" w:color="auto"/>
              <w:right w:val="single" w:sz="4" w:space="0" w:color="auto"/>
            </w:tcBorders>
            <w:shd w:val="clear" w:color="000000" w:fill="FFFFFF"/>
            <w:vAlign w:val="center"/>
            <w:hideMark/>
          </w:tcPr>
          <w:p w14:paraId="5987D158" w14:textId="6D2CE8D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3.0 </w:t>
            </w:r>
          </w:p>
        </w:tc>
        <w:tc>
          <w:tcPr>
            <w:tcW w:w="401" w:type="pct"/>
            <w:tcBorders>
              <w:top w:val="nil"/>
              <w:left w:val="nil"/>
              <w:bottom w:val="single" w:sz="4" w:space="0" w:color="auto"/>
              <w:right w:val="single" w:sz="4" w:space="0" w:color="auto"/>
            </w:tcBorders>
            <w:shd w:val="clear" w:color="000000" w:fill="FFFFFF"/>
            <w:vAlign w:val="center"/>
            <w:hideMark/>
          </w:tcPr>
          <w:p w14:paraId="4A770A5D" w14:textId="532ADB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0.23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53D5731E" w14:textId="77C91D8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3 </w:t>
            </w:r>
          </w:p>
        </w:tc>
      </w:tr>
      <w:tr w:rsidR="004C69BF" w:rsidRPr="00535E28" w14:paraId="66CB6FBC"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hideMark/>
          </w:tcPr>
          <w:p w14:paraId="38BC8A91" w14:textId="190BC59B"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Electrification</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341CAA01" w14:textId="23B863D0"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Charging Speed, max. h</w:t>
            </w:r>
          </w:p>
        </w:tc>
        <w:tc>
          <w:tcPr>
            <w:tcW w:w="531" w:type="pct"/>
            <w:tcBorders>
              <w:top w:val="nil"/>
              <w:left w:val="nil"/>
              <w:bottom w:val="single" w:sz="4" w:space="0" w:color="auto"/>
              <w:right w:val="single" w:sz="4" w:space="0" w:color="auto"/>
            </w:tcBorders>
            <w:shd w:val="clear" w:color="000000" w:fill="E2EFD9"/>
            <w:vAlign w:val="center"/>
            <w:hideMark/>
          </w:tcPr>
          <w:p w14:paraId="43AC3AC6" w14:textId="08B57B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0.33 - 1.55</w:t>
            </w:r>
          </w:p>
        </w:tc>
        <w:tc>
          <w:tcPr>
            <w:tcW w:w="490" w:type="pct"/>
            <w:tcBorders>
              <w:top w:val="nil"/>
              <w:left w:val="nil"/>
              <w:bottom w:val="single" w:sz="4" w:space="0" w:color="auto"/>
              <w:right w:val="single" w:sz="4" w:space="0" w:color="auto"/>
            </w:tcBorders>
            <w:shd w:val="clear" w:color="000000" w:fill="E2EFD9"/>
            <w:vAlign w:val="center"/>
            <w:hideMark/>
          </w:tcPr>
          <w:p w14:paraId="41579A51" w14:textId="2D6AD92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w:t>
            </w:r>
          </w:p>
        </w:tc>
        <w:tc>
          <w:tcPr>
            <w:tcW w:w="406" w:type="pct"/>
            <w:tcBorders>
              <w:top w:val="nil"/>
              <w:left w:val="nil"/>
              <w:bottom w:val="single" w:sz="4" w:space="0" w:color="auto"/>
              <w:right w:val="single" w:sz="4" w:space="0" w:color="auto"/>
            </w:tcBorders>
            <w:shd w:val="clear" w:color="000000" w:fill="E2EFD9"/>
            <w:vAlign w:val="center"/>
            <w:hideMark/>
          </w:tcPr>
          <w:p w14:paraId="58C7EDD7" w14:textId="40EBDA1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E2EFD9"/>
            <w:vAlign w:val="center"/>
            <w:hideMark/>
          </w:tcPr>
          <w:p w14:paraId="08FC37D6" w14:textId="0135B80C"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 </w:t>
            </w:r>
          </w:p>
        </w:tc>
        <w:tc>
          <w:tcPr>
            <w:tcW w:w="599" w:type="pct"/>
            <w:tcBorders>
              <w:top w:val="nil"/>
              <w:left w:val="nil"/>
              <w:bottom w:val="single" w:sz="4" w:space="0" w:color="auto"/>
              <w:right w:val="single" w:sz="4" w:space="0" w:color="auto"/>
            </w:tcBorders>
            <w:shd w:val="clear" w:color="000000" w:fill="E2EFD9"/>
            <w:vAlign w:val="center"/>
            <w:hideMark/>
          </w:tcPr>
          <w:p w14:paraId="4EF6C157" w14:textId="7A8FBB9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w:t>
            </w:r>
          </w:p>
        </w:tc>
        <w:tc>
          <w:tcPr>
            <w:tcW w:w="401" w:type="pct"/>
            <w:tcBorders>
              <w:top w:val="nil"/>
              <w:left w:val="nil"/>
              <w:bottom w:val="single" w:sz="4" w:space="0" w:color="auto"/>
              <w:right w:val="single" w:sz="4" w:space="0" w:color="auto"/>
            </w:tcBorders>
            <w:shd w:val="clear" w:color="000000" w:fill="E2EFD9"/>
            <w:vAlign w:val="center"/>
            <w:hideMark/>
          </w:tcPr>
          <w:p w14:paraId="6B641413" w14:textId="7AE2157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79630533" w14:textId="4072CB1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 </w:t>
            </w:r>
          </w:p>
        </w:tc>
      </w:tr>
      <w:tr w:rsidR="004C69BF" w:rsidRPr="00535E28" w14:paraId="254FE8E4" w14:textId="77777777" w:rsidTr="004C69BF">
        <w:trPr>
          <w:trHeight w:val="456"/>
          <w:tblHeader/>
        </w:trPr>
        <w:tc>
          <w:tcPr>
            <w:tcW w:w="695" w:type="pct"/>
            <w:vMerge w:val="restart"/>
            <w:tcBorders>
              <w:top w:val="nil"/>
              <w:left w:val="single" w:sz="12" w:space="0" w:color="375623"/>
              <w:bottom w:val="single" w:sz="4" w:space="0" w:color="auto"/>
              <w:right w:val="single" w:sz="4" w:space="0" w:color="auto"/>
            </w:tcBorders>
            <w:vAlign w:val="center"/>
            <w:hideMark/>
          </w:tcPr>
          <w:p w14:paraId="6A13A55A" w14:textId="77777777"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Electrification</w:t>
            </w:r>
          </w:p>
          <w:p w14:paraId="258A6307" w14:textId="0EBB5361"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4905D451" w14:textId="3D05D6F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Driving </w:t>
            </w:r>
            <w:r>
              <w:rPr>
                <w:rFonts w:eastAsia="等线"/>
                <w:color w:val="000000"/>
                <w:sz w:val="18"/>
                <w:szCs w:val="18"/>
              </w:rPr>
              <w:t>E</w:t>
            </w:r>
            <w:r w:rsidRPr="00535E28">
              <w:rPr>
                <w:rFonts w:eastAsia="等线"/>
                <w:color w:val="000000"/>
                <w:sz w:val="18"/>
                <w:szCs w:val="18"/>
              </w:rPr>
              <w:t>-range, km</w:t>
            </w:r>
          </w:p>
        </w:tc>
        <w:tc>
          <w:tcPr>
            <w:tcW w:w="531" w:type="pct"/>
            <w:tcBorders>
              <w:top w:val="nil"/>
              <w:left w:val="nil"/>
              <w:bottom w:val="single" w:sz="4" w:space="0" w:color="auto"/>
              <w:right w:val="single" w:sz="4" w:space="0" w:color="auto"/>
            </w:tcBorders>
            <w:shd w:val="clear" w:color="000000" w:fill="E2EFD9"/>
            <w:vAlign w:val="center"/>
            <w:hideMark/>
          </w:tcPr>
          <w:p w14:paraId="6C2765FE"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461 </w:t>
            </w:r>
            <w:r>
              <w:rPr>
                <w:rFonts w:eastAsia="等线"/>
                <w:color w:val="000000"/>
                <w:sz w:val="18"/>
                <w:szCs w:val="18"/>
              </w:rPr>
              <w:t>-</w:t>
            </w:r>
            <w:r w:rsidRPr="00535E28">
              <w:rPr>
                <w:rFonts w:eastAsia="等线"/>
                <w:color w:val="000000"/>
                <w:sz w:val="18"/>
                <w:szCs w:val="18"/>
              </w:rPr>
              <w:t xml:space="preserve"> </w:t>
            </w:r>
          </w:p>
          <w:p w14:paraId="7FAEF9EB" w14:textId="3E80AB5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717</w:t>
            </w:r>
          </w:p>
        </w:tc>
        <w:tc>
          <w:tcPr>
            <w:tcW w:w="490" w:type="pct"/>
            <w:tcBorders>
              <w:top w:val="nil"/>
              <w:left w:val="nil"/>
              <w:bottom w:val="single" w:sz="4" w:space="0" w:color="auto"/>
              <w:right w:val="single" w:sz="4" w:space="0" w:color="auto"/>
            </w:tcBorders>
            <w:shd w:val="clear" w:color="000000" w:fill="E2EFD9"/>
            <w:vAlign w:val="center"/>
            <w:hideMark/>
          </w:tcPr>
          <w:p w14:paraId="76B6AC0C" w14:textId="20A581E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650</w:t>
            </w:r>
          </w:p>
        </w:tc>
        <w:tc>
          <w:tcPr>
            <w:tcW w:w="406" w:type="pct"/>
            <w:tcBorders>
              <w:top w:val="nil"/>
              <w:left w:val="nil"/>
              <w:bottom w:val="single" w:sz="4" w:space="0" w:color="auto"/>
              <w:right w:val="single" w:sz="4" w:space="0" w:color="auto"/>
            </w:tcBorders>
            <w:shd w:val="clear" w:color="000000" w:fill="E2EFD9"/>
            <w:vAlign w:val="center"/>
            <w:hideMark/>
          </w:tcPr>
          <w:p w14:paraId="58F335FA" w14:textId="2E322B7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0.26 </w:t>
            </w:r>
          </w:p>
        </w:tc>
        <w:tc>
          <w:tcPr>
            <w:tcW w:w="552" w:type="pct"/>
            <w:tcBorders>
              <w:top w:val="nil"/>
              <w:left w:val="nil"/>
              <w:bottom w:val="single" w:sz="4" w:space="0" w:color="auto"/>
              <w:right w:val="single" w:sz="4" w:space="0" w:color="auto"/>
            </w:tcBorders>
            <w:shd w:val="clear" w:color="000000" w:fill="E2EFD9"/>
            <w:vAlign w:val="center"/>
            <w:hideMark/>
          </w:tcPr>
          <w:p w14:paraId="056AAE23" w14:textId="4B119F98"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5 </w:t>
            </w:r>
          </w:p>
        </w:tc>
        <w:tc>
          <w:tcPr>
            <w:tcW w:w="599" w:type="pct"/>
            <w:tcBorders>
              <w:top w:val="nil"/>
              <w:left w:val="nil"/>
              <w:bottom w:val="single" w:sz="4" w:space="0" w:color="auto"/>
              <w:right w:val="single" w:sz="4" w:space="0" w:color="auto"/>
            </w:tcBorders>
            <w:shd w:val="clear" w:color="000000" w:fill="E2EFD9"/>
            <w:vAlign w:val="center"/>
            <w:hideMark/>
          </w:tcPr>
          <w:p w14:paraId="68A720EC" w14:textId="56A093C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560</w:t>
            </w:r>
          </w:p>
        </w:tc>
        <w:tc>
          <w:tcPr>
            <w:tcW w:w="401" w:type="pct"/>
            <w:tcBorders>
              <w:top w:val="nil"/>
              <w:left w:val="nil"/>
              <w:bottom w:val="single" w:sz="4" w:space="0" w:color="auto"/>
              <w:right w:val="single" w:sz="4" w:space="0" w:color="auto"/>
            </w:tcBorders>
            <w:shd w:val="clear" w:color="000000" w:fill="E2EFD9"/>
            <w:vAlign w:val="center"/>
            <w:hideMark/>
          </w:tcPr>
          <w:p w14:paraId="6EA6DE04" w14:textId="215DE31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0.61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12A028F5" w14:textId="1540A05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8 </w:t>
            </w:r>
          </w:p>
        </w:tc>
      </w:tr>
      <w:tr w:rsidR="004C69BF" w:rsidRPr="00535E28" w14:paraId="6580EA57" w14:textId="77777777" w:rsidTr="004C69BF">
        <w:trPr>
          <w:trHeight w:val="456"/>
          <w:tblHeader/>
        </w:trPr>
        <w:tc>
          <w:tcPr>
            <w:tcW w:w="695" w:type="pct"/>
            <w:vMerge/>
            <w:tcBorders>
              <w:top w:val="nil"/>
              <w:left w:val="single" w:sz="12" w:space="0" w:color="375623"/>
              <w:bottom w:val="single" w:sz="4" w:space="0" w:color="auto"/>
              <w:right w:val="single" w:sz="4" w:space="0" w:color="auto"/>
            </w:tcBorders>
            <w:vAlign w:val="center"/>
            <w:hideMark/>
          </w:tcPr>
          <w:p w14:paraId="05A63AEA" w14:textId="77777777" w:rsidR="004C69BF" w:rsidRPr="00535E28" w:rsidRDefault="004C69BF" w:rsidP="00354141">
            <w:pPr>
              <w:spacing w:line="360" w:lineRule="auto"/>
              <w:rPr>
                <w:rFonts w:eastAsia="等线"/>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552ECC71" w14:textId="2681875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Power Consumption, kWh/100km</w:t>
            </w:r>
          </w:p>
        </w:tc>
        <w:tc>
          <w:tcPr>
            <w:tcW w:w="531" w:type="pct"/>
            <w:tcBorders>
              <w:top w:val="nil"/>
              <w:left w:val="nil"/>
              <w:bottom w:val="single" w:sz="4" w:space="0" w:color="auto"/>
              <w:right w:val="single" w:sz="4" w:space="0" w:color="auto"/>
            </w:tcBorders>
            <w:shd w:val="clear" w:color="000000" w:fill="E2EFD9"/>
            <w:vAlign w:val="center"/>
            <w:hideMark/>
          </w:tcPr>
          <w:p w14:paraId="5543DF72"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14.4 </w:t>
            </w:r>
            <w:r>
              <w:rPr>
                <w:rFonts w:eastAsia="等线"/>
                <w:color w:val="000000"/>
                <w:sz w:val="18"/>
                <w:szCs w:val="18"/>
              </w:rPr>
              <w:t>–</w:t>
            </w:r>
            <w:r w:rsidRPr="00535E28">
              <w:rPr>
                <w:rFonts w:eastAsia="等线"/>
                <w:color w:val="000000"/>
                <w:sz w:val="18"/>
                <w:szCs w:val="18"/>
              </w:rPr>
              <w:t xml:space="preserve"> </w:t>
            </w:r>
          </w:p>
          <w:p w14:paraId="059D12E3" w14:textId="27DFFC98"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25</w:t>
            </w:r>
          </w:p>
        </w:tc>
        <w:tc>
          <w:tcPr>
            <w:tcW w:w="490" w:type="pct"/>
            <w:tcBorders>
              <w:top w:val="nil"/>
              <w:left w:val="nil"/>
              <w:bottom w:val="single" w:sz="4" w:space="0" w:color="auto"/>
              <w:right w:val="single" w:sz="4" w:space="0" w:color="auto"/>
            </w:tcBorders>
            <w:shd w:val="clear" w:color="000000" w:fill="E2EFD9"/>
            <w:vAlign w:val="center"/>
            <w:hideMark/>
          </w:tcPr>
          <w:p w14:paraId="75EA50EC" w14:textId="6FF7D3D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21.5</w:t>
            </w:r>
          </w:p>
        </w:tc>
        <w:tc>
          <w:tcPr>
            <w:tcW w:w="406" w:type="pct"/>
            <w:tcBorders>
              <w:top w:val="nil"/>
              <w:left w:val="nil"/>
              <w:bottom w:val="single" w:sz="4" w:space="0" w:color="auto"/>
              <w:right w:val="single" w:sz="4" w:space="0" w:color="auto"/>
            </w:tcBorders>
            <w:shd w:val="clear" w:color="000000" w:fill="E2EFD9"/>
            <w:vAlign w:val="center"/>
            <w:hideMark/>
          </w:tcPr>
          <w:p w14:paraId="392F725C" w14:textId="5BF555D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0.67 </w:t>
            </w:r>
          </w:p>
        </w:tc>
        <w:tc>
          <w:tcPr>
            <w:tcW w:w="552" w:type="pct"/>
            <w:tcBorders>
              <w:top w:val="nil"/>
              <w:left w:val="nil"/>
              <w:bottom w:val="single" w:sz="4" w:space="0" w:color="auto"/>
              <w:right w:val="single" w:sz="4" w:space="0" w:color="auto"/>
            </w:tcBorders>
            <w:shd w:val="clear" w:color="000000" w:fill="E2EFD9"/>
            <w:vAlign w:val="center"/>
            <w:hideMark/>
          </w:tcPr>
          <w:p w14:paraId="6C42FA60" w14:textId="6307E9B0"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6 </w:t>
            </w:r>
          </w:p>
        </w:tc>
        <w:tc>
          <w:tcPr>
            <w:tcW w:w="599" w:type="pct"/>
            <w:tcBorders>
              <w:top w:val="nil"/>
              <w:left w:val="nil"/>
              <w:bottom w:val="single" w:sz="4" w:space="0" w:color="auto"/>
              <w:right w:val="single" w:sz="4" w:space="0" w:color="auto"/>
            </w:tcBorders>
            <w:shd w:val="clear" w:color="000000" w:fill="E2EFD9"/>
            <w:vAlign w:val="center"/>
            <w:hideMark/>
          </w:tcPr>
          <w:p w14:paraId="608C359A" w14:textId="3D3A660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25.0 </w:t>
            </w:r>
          </w:p>
        </w:tc>
        <w:tc>
          <w:tcPr>
            <w:tcW w:w="401" w:type="pct"/>
            <w:tcBorders>
              <w:top w:val="nil"/>
              <w:left w:val="nil"/>
              <w:bottom w:val="single" w:sz="4" w:space="0" w:color="auto"/>
              <w:right w:val="single" w:sz="4" w:space="0" w:color="auto"/>
            </w:tcBorders>
            <w:shd w:val="clear" w:color="000000" w:fill="E2EFD9"/>
            <w:vAlign w:val="center"/>
            <w:hideMark/>
          </w:tcPr>
          <w:p w14:paraId="7DF1312E" w14:textId="332D25D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28F8A28E" w14:textId="607EFF3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9 </w:t>
            </w:r>
          </w:p>
        </w:tc>
      </w:tr>
      <w:tr w:rsidR="004C69BF" w:rsidRPr="00535E28" w14:paraId="339AC4EC" w14:textId="77777777" w:rsidTr="00056E8B">
        <w:trPr>
          <w:trHeight w:val="441"/>
          <w:tblHeader/>
        </w:trPr>
        <w:tc>
          <w:tcPr>
            <w:tcW w:w="695" w:type="pct"/>
            <w:vMerge/>
            <w:tcBorders>
              <w:top w:val="nil"/>
              <w:left w:val="single" w:sz="12" w:space="0" w:color="375623"/>
              <w:bottom w:val="single" w:sz="4" w:space="0" w:color="auto"/>
              <w:right w:val="single" w:sz="4" w:space="0" w:color="auto"/>
            </w:tcBorders>
            <w:shd w:val="clear" w:color="000000" w:fill="FFFFFF"/>
            <w:vAlign w:val="center"/>
            <w:hideMark/>
          </w:tcPr>
          <w:p w14:paraId="1DAAF3C2" w14:textId="77777777" w:rsidR="004C69BF" w:rsidRPr="00535E28" w:rsidRDefault="004C69BF" w:rsidP="00354141">
            <w:pPr>
              <w:spacing w:line="360" w:lineRule="auto"/>
              <w:rPr>
                <w:rFonts w:eastAsia="等线"/>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42561F63" w14:textId="49CEAF7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Exterior Design</w:t>
            </w:r>
          </w:p>
        </w:tc>
        <w:tc>
          <w:tcPr>
            <w:tcW w:w="531" w:type="pct"/>
            <w:tcBorders>
              <w:top w:val="nil"/>
              <w:left w:val="nil"/>
              <w:bottom w:val="single" w:sz="4" w:space="0" w:color="auto"/>
              <w:right w:val="single" w:sz="4" w:space="0" w:color="auto"/>
            </w:tcBorders>
            <w:shd w:val="clear" w:color="000000" w:fill="FFFFFF"/>
            <w:vAlign w:val="center"/>
            <w:hideMark/>
          </w:tcPr>
          <w:p w14:paraId="58AA9D8E" w14:textId="1A6AEF1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4.04 - 4.67</w:t>
            </w:r>
          </w:p>
        </w:tc>
        <w:tc>
          <w:tcPr>
            <w:tcW w:w="490" w:type="pct"/>
            <w:tcBorders>
              <w:top w:val="nil"/>
              <w:left w:val="nil"/>
              <w:bottom w:val="single" w:sz="4" w:space="0" w:color="auto"/>
              <w:right w:val="single" w:sz="4" w:space="0" w:color="auto"/>
            </w:tcBorders>
            <w:shd w:val="clear" w:color="000000" w:fill="FFFFFF"/>
            <w:vAlign w:val="center"/>
            <w:hideMark/>
          </w:tcPr>
          <w:p w14:paraId="246B2E53" w14:textId="65DA294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4.60</w:t>
            </w:r>
          </w:p>
        </w:tc>
        <w:tc>
          <w:tcPr>
            <w:tcW w:w="406" w:type="pct"/>
            <w:tcBorders>
              <w:top w:val="nil"/>
              <w:left w:val="nil"/>
              <w:bottom w:val="single" w:sz="4" w:space="0" w:color="auto"/>
              <w:right w:val="single" w:sz="4" w:space="0" w:color="auto"/>
            </w:tcBorders>
            <w:shd w:val="clear" w:color="000000" w:fill="FFFFFF"/>
            <w:vAlign w:val="center"/>
            <w:hideMark/>
          </w:tcPr>
          <w:p w14:paraId="3EDCE28C" w14:textId="38F18D0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0.11 </w:t>
            </w:r>
          </w:p>
        </w:tc>
        <w:tc>
          <w:tcPr>
            <w:tcW w:w="552" w:type="pct"/>
            <w:tcBorders>
              <w:top w:val="nil"/>
              <w:left w:val="nil"/>
              <w:bottom w:val="single" w:sz="4" w:space="0" w:color="auto"/>
              <w:right w:val="single" w:sz="4" w:space="0" w:color="auto"/>
            </w:tcBorders>
            <w:shd w:val="clear" w:color="000000" w:fill="FFFFFF"/>
            <w:vAlign w:val="center"/>
            <w:hideMark/>
          </w:tcPr>
          <w:p w14:paraId="3AEBD7C5" w14:textId="46F9D1F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 </w:t>
            </w:r>
          </w:p>
        </w:tc>
        <w:tc>
          <w:tcPr>
            <w:tcW w:w="599" w:type="pct"/>
            <w:tcBorders>
              <w:top w:val="nil"/>
              <w:left w:val="nil"/>
              <w:bottom w:val="single" w:sz="4" w:space="0" w:color="auto"/>
              <w:right w:val="single" w:sz="4" w:space="0" w:color="auto"/>
            </w:tcBorders>
            <w:shd w:val="clear" w:color="000000" w:fill="FFFFFF"/>
            <w:vAlign w:val="center"/>
            <w:hideMark/>
          </w:tcPr>
          <w:p w14:paraId="04C18247" w14:textId="64A95BC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4.60 </w:t>
            </w:r>
          </w:p>
        </w:tc>
        <w:tc>
          <w:tcPr>
            <w:tcW w:w="401" w:type="pct"/>
            <w:tcBorders>
              <w:top w:val="nil"/>
              <w:left w:val="nil"/>
              <w:bottom w:val="single" w:sz="4" w:space="0" w:color="auto"/>
              <w:right w:val="single" w:sz="4" w:space="0" w:color="auto"/>
            </w:tcBorders>
            <w:shd w:val="clear" w:color="000000" w:fill="FFFFFF"/>
            <w:vAlign w:val="center"/>
            <w:hideMark/>
          </w:tcPr>
          <w:p w14:paraId="0EAF8BE1" w14:textId="2B4C0407"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0.11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7F95DF0C" w14:textId="152F1E7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 </w:t>
            </w:r>
          </w:p>
        </w:tc>
      </w:tr>
      <w:tr w:rsidR="00056E8B" w:rsidRPr="00535E28" w14:paraId="0D088A81" w14:textId="77777777" w:rsidTr="00056E8B">
        <w:trPr>
          <w:trHeight w:val="456"/>
          <w:tblHeader/>
        </w:trPr>
        <w:tc>
          <w:tcPr>
            <w:tcW w:w="695" w:type="pct"/>
            <w:vMerge w:val="restart"/>
            <w:tcBorders>
              <w:top w:val="single" w:sz="4" w:space="0" w:color="auto"/>
              <w:left w:val="single" w:sz="12" w:space="0" w:color="375623"/>
              <w:bottom w:val="single" w:sz="12" w:space="0" w:color="375623"/>
              <w:right w:val="single" w:sz="4" w:space="0" w:color="auto"/>
            </w:tcBorders>
            <w:vAlign w:val="center"/>
            <w:hideMark/>
          </w:tcPr>
          <w:p w14:paraId="53816B6C" w14:textId="77777777" w:rsidR="00056E8B" w:rsidRPr="00535E28" w:rsidRDefault="00056E8B" w:rsidP="00354141">
            <w:pPr>
              <w:spacing w:line="360" w:lineRule="auto"/>
              <w:jc w:val="center"/>
              <w:rPr>
                <w:rFonts w:eastAsia="等线"/>
                <w:color w:val="000000"/>
                <w:sz w:val="18"/>
                <w:szCs w:val="18"/>
              </w:rPr>
            </w:pPr>
            <w:r w:rsidRPr="00535E28">
              <w:rPr>
                <w:rFonts w:eastAsia="等线"/>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2702F856" w14:textId="554FEBCA"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Interior </w:t>
            </w:r>
            <w:r>
              <w:rPr>
                <w:rFonts w:eastAsia="等线"/>
                <w:color w:val="000000"/>
                <w:sz w:val="18"/>
                <w:szCs w:val="18"/>
              </w:rPr>
              <w:t>D</w:t>
            </w:r>
            <w:r w:rsidRPr="00535E28">
              <w:rPr>
                <w:rFonts w:eastAsia="等线"/>
                <w:color w:val="000000"/>
                <w:sz w:val="18"/>
                <w:szCs w:val="18"/>
              </w:rPr>
              <w:t xml:space="preserve">esign and </w:t>
            </w:r>
            <w:r>
              <w:rPr>
                <w:rFonts w:eastAsia="等线"/>
                <w:color w:val="000000"/>
                <w:sz w:val="18"/>
                <w:szCs w:val="18"/>
              </w:rPr>
              <w:t>C</w:t>
            </w:r>
            <w:r w:rsidRPr="00535E28">
              <w:rPr>
                <w:rFonts w:eastAsia="等线"/>
                <w:color w:val="000000"/>
                <w:sz w:val="18"/>
                <w:szCs w:val="18"/>
              </w:rPr>
              <w:t>omfort</w:t>
            </w:r>
          </w:p>
        </w:tc>
        <w:tc>
          <w:tcPr>
            <w:tcW w:w="531" w:type="pct"/>
            <w:tcBorders>
              <w:top w:val="nil"/>
              <w:left w:val="nil"/>
              <w:bottom w:val="single" w:sz="4" w:space="0" w:color="auto"/>
              <w:right w:val="single" w:sz="4" w:space="0" w:color="auto"/>
            </w:tcBorders>
            <w:shd w:val="clear" w:color="000000" w:fill="FFFFFF"/>
            <w:vAlign w:val="center"/>
            <w:hideMark/>
          </w:tcPr>
          <w:p w14:paraId="33474EFB" w14:textId="77777777" w:rsidR="00056E8B" w:rsidRDefault="00056E8B" w:rsidP="00354141">
            <w:pPr>
              <w:spacing w:line="360" w:lineRule="auto"/>
              <w:rPr>
                <w:rFonts w:eastAsia="等线"/>
                <w:color w:val="000000"/>
                <w:sz w:val="18"/>
                <w:szCs w:val="18"/>
              </w:rPr>
            </w:pPr>
            <w:r w:rsidRPr="00535E28">
              <w:rPr>
                <w:rFonts w:eastAsia="等线"/>
                <w:color w:val="000000"/>
                <w:sz w:val="18"/>
                <w:szCs w:val="18"/>
              </w:rPr>
              <w:t xml:space="preserve">3.88 </w:t>
            </w:r>
            <w:r>
              <w:rPr>
                <w:rFonts w:eastAsia="等线"/>
                <w:color w:val="000000"/>
                <w:sz w:val="18"/>
                <w:szCs w:val="18"/>
              </w:rPr>
              <w:t>-</w:t>
            </w:r>
            <w:r w:rsidRPr="00535E28">
              <w:rPr>
                <w:rFonts w:eastAsia="等线"/>
                <w:color w:val="000000"/>
                <w:sz w:val="18"/>
                <w:szCs w:val="18"/>
              </w:rPr>
              <w:t xml:space="preserve"> </w:t>
            </w:r>
          </w:p>
          <w:p w14:paraId="37FDB683" w14:textId="51ADC83A"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4.4</w:t>
            </w:r>
          </w:p>
        </w:tc>
        <w:tc>
          <w:tcPr>
            <w:tcW w:w="490" w:type="pct"/>
            <w:tcBorders>
              <w:top w:val="nil"/>
              <w:left w:val="nil"/>
              <w:bottom w:val="single" w:sz="4" w:space="0" w:color="auto"/>
              <w:right w:val="single" w:sz="4" w:space="0" w:color="auto"/>
            </w:tcBorders>
            <w:shd w:val="clear" w:color="000000" w:fill="FFFFFF"/>
            <w:vAlign w:val="center"/>
            <w:hideMark/>
          </w:tcPr>
          <w:p w14:paraId="1B4F8D11" w14:textId="4B877B95"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4.40</w:t>
            </w:r>
          </w:p>
        </w:tc>
        <w:tc>
          <w:tcPr>
            <w:tcW w:w="406" w:type="pct"/>
            <w:tcBorders>
              <w:top w:val="nil"/>
              <w:left w:val="nil"/>
              <w:bottom w:val="single" w:sz="4" w:space="0" w:color="auto"/>
              <w:right w:val="single" w:sz="4" w:space="0" w:color="auto"/>
            </w:tcBorders>
            <w:shd w:val="clear" w:color="000000" w:fill="FFFFFF"/>
            <w:vAlign w:val="center"/>
            <w:hideMark/>
          </w:tcPr>
          <w:p w14:paraId="55E397F8" w14:textId="484042FB"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FFFFFF"/>
            <w:vAlign w:val="center"/>
            <w:hideMark/>
          </w:tcPr>
          <w:p w14:paraId="1749FA49" w14:textId="634EE3F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 </w:t>
            </w:r>
          </w:p>
        </w:tc>
        <w:tc>
          <w:tcPr>
            <w:tcW w:w="599" w:type="pct"/>
            <w:tcBorders>
              <w:top w:val="nil"/>
              <w:left w:val="nil"/>
              <w:bottom w:val="single" w:sz="4" w:space="0" w:color="auto"/>
              <w:right w:val="single" w:sz="4" w:space="0" w:color="auto"/>
            </w:tcBorders>
            <w:shd w:val="clear" w:color="000000" w:fill="FFFFFF"/>
            <w:vAlign w:val="center"/>
            <w:hideMark/>
          </w:tcPr>
          <w:p w14:paraId="0C13794C" w14:textId="5B32522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4.40 </w:t>
            </w:r>
          </w:p>
        </w:tc>
        <w:tc>
          <w:tcPr>
            <w:tcW w:w="401" w:type="pct"/>
            <w:tcBorders>
              <w:top w:val="nil"/>
              <w:left w:val="nil"/>
              <w:bottom w:val="single" w:sz="4" w:space="0" w:color="auto"/>
              <w:right w:val="single" w:sz="4" w:space="0" w:color="auto"/>
            </w:tcBorders>
            <w:shd w:val="clear" w:color="000000" w:fill="FFFFFF"/>
            <w:vAlign w:val="center"/>
            <w:hideMark/>
          </w:tcPr>
          <w:p w14:paraId="6221039E" w14:textId="0F42D3E8"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2794A848" w14:textId="4856075C"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 </w:t>
            </w:r>
          </w:p>
        </w:tc>
      </w:tr>
      <w:tr w:rsidR="00056E8B" w:rsidRPr="00535E28" w14:paraId="062CEF64" w14:textId="77777777" w:rsidTr="00B0000E">
        <w:trPr>
          <w:trHeight w:val="456"/>
          <w:tblHeader/>
        </w:trPr>
        <w:tc>
          <w:tcPr>
            <w:tcW w:w="695" w:type="pct"/>
            <w:vMerge/>
            <w:tcBorders>
              <w:left w:val="single" w:sz="12" w:space="0" w:color="375623"/>
              <w:bottom w:val="single" w:sz="12" w:space="0" w:color="375623"/>
              <w:right w:val="single" w:sz="4" w:space="0" w:color="auto"/>
            </w:tcBorders>
            <w:vAlign w:val="center"/>
            <w:hideMark/>
          </w:tcPr>
          <w:p w14:paraId="1BB6411F" w14:textId="77777777" w:rsidR="00056E8B" w:rsidRPr="00535E28" w:rsidRDefault="00056E8B" w:rsidP="00354141">
            <w:pPr>
              <w:spacing w:line="360" w:lineRule="auto"/>
              <w:rPr>
                <w:rFonts w:eastAsia="等线"/>
                <w:color w:val="000000"/>
                <w:sz w:val="18"/>
                <w:szCs w:val="18"/>
              </w:rPr>
            </w:pPr>
          </w:p>
        </w:tc>
        <w:tc>
          <w:tcPr>
            <w:tcW w:w="771" w:type="pct"/>
            <w:tcBorders>
              <w:top w:val="single" w:sz="4" w:space="0" w:color="auto"/>
              <w:left w:val="nil"/>
              <w:bottom w:val="single" w:sz="12" w:space="0" w:color="375623"/>
              <w:right w:val="single" w:sz="4" w:space="0" w:color="auto"/>
            </w:tcBorders>
            <w:shd w:val="clear" w:color="000000" w:fill="FFFFFF"/>
            <w:vAlign w:val="center"/>
            <w:hideMark/>
          </w:tcPr>
          <w:p w14:paraId="39ECF5F7" w14:textId="7033ABEE"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Volume, </w:t>
            </w:r>
            <w:r w:rsidRPr="00923E1B">
              <w:rPr>
                <w:rFonts w:eastAsia="等线"/>
                <w:color w:val="000000"/>
                <w:sz w:val="21"/>
                <w:szCs w:val="21"/>
              </w:rPr>
              <w:t>m</w:t>
            </w:r>
            <w:r w:rsidRPr="008A202F">
              <w:rPr>
                <w:rFonts w:eastAsia="等线"/>
                <w:color w:val="000000"/>
                <w:sz w:val="21"/>
                <w:szCs w:val="21"/>
                <w:vertAlign w:val="superscript"/>
              </w:rPr>
              <w:t>3</w:t>
            </w:r>
          </w:p>
        </w:tc>
        <w:tc>
          <w:tcPr>
            <w:tcW w:w="531" w:type="pct"/>
            <w:tcBorders>
              <w:top w:val="single" w:sz="4" w:space="0" w:color="auto"/>
              <w:left w:val="nil"/>
              <w:bottom w:val="single" w:sz="12" w:space="0" w:color="375623"/>
              <w:right w:val="single" w:sz="4" w:space="0" w:color="auto"/>
            </w:tcBorders>
            <w:shd w:val="clear" w:color="000000" w:fill="FFFFFF"/>
            <w:vAlign w:val="center"/>
            <w:hideMark/>
          </w:tcPr>
          <w:p w14:paraId="162444F1" w14:textId="07873471"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13.60 - 17.56</w:t>
            </w:r>
          </w:p>
        </w:tc>
        <w:tc>
          <w:tcPr>
            <w:tcW w:w="490" w:type="pct"/>
            <w:tcBorders>
              <w:top w:val="single" w:sz="4" w:space="0" w:color="auto"/>
              <w:left w:val="nil"/>
              <w:bottom w:val="single" w:sz="12" w:space="0" w:color="375623"/>
              <w:right w:val="single" w:sz="4" w:space="0" w:color="auto"/>
            </w:tcBorders>
            <w:shd w:val="clear" w:color="000000" w:fill="FFFFFF"/>
            <w:vAlign w:val="center"/>
            <w:hideMark/>
          </w:tcPr>
          <w:p w14:paraId="0875A0E7" w14:textId="635145A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16.86</w:t>
            </w:r>
          </w:p>
        </w:tc>
        <w:tc>
          <w:tcPr>
            <w:tcW w:w="406" w:type="pct"/>
            <w:tcBorders>
              <w:top w:val="single" w:sz="4" w:space="0" w:color="auto"/>
              <w:left w:val="nil"/>
              <w:bottom w:val="single" w:sz="12" w:space="0" w:color="375623"/>
              <w:right w:val="single" w:sz="4" w:space="0" w:color="auto"/>
            </w:tcBorders>
            <w:shd w:val="clear" w:color="000000" w:fill="FFFFFF"/>
            <w:vAlign w:val="center"/>
            <w:hideMark/>
          </w:tcPr>
          <w:p w14:paraId="23AA7F1C" w14:textId="72E46549"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0.18 </w:t>
            </w:r>
          </w:p>
        </w:tc>
        <w:tc>
          <w:tcPr>
            <w:tcW w:w="552" w:type="pct"/>
            <w:tcBorders>
              <w:top w:val="single" w:sz="4" w:space="0" w:color="auto"/>
              <w:left w:val="nil"/>
              <w:bottom w:val="single" w:sz="12" w:space="0" w:color="375623"/>
              <w:right w:val="single" w:sz="4" w:space="0" w:color="auto"/>
            </w:tcBorders>
            <w:shd w:val="clear" w:color="000000" w:fill="FFFFFF"/>
            <w:vAlign w:val="center"/>
            <w:hideMark/>
          </w:tcPr>
          <w:p w14:paraId="5EDB09B2" w14:textId="2D793DE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2 </w:t>
            </w:r>
          </w:p>
        </w:tc>
        <w:tc>
          <w:tcPr>
            <w:tcW w:w="599" w:type="pct"/>
            <w:tcBorders>
              <w:top w:val="single" w:sz="4" w:space="0" w:color="auto"/>
              <w:left w:val="nil"/>
              <w:bottom w:val="single" w:sz="12" w:space="0" w:color="375623"/>
              <w:right w:val="single" w:sz="4" w:space="0" w:color="auto"/>
            </w:tcBorders>
            <w:shd w:val="clear" w:color="000000" w:fill="FFFFFF"/>
            <w:vAlign w:val="center"/>
            <w:hideMark/>
          </w:tcPr>
          <w:p w14:paraId="140FD82B" w14:textId="2675CDBB"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16.86 </w:t>
            </w:r>
          </w:p>
        </w:tc>
        <w:tc>
          <w:tcPr>
            <w:tcW w:w="401" w:type="pct"/>
            <w:tcBorders>
              <w:top w:val="single" w:sz="4" w:space="0" w:color="auto"/>
              <w:left w:val="nil"/>
              <w:bottom w:val="single" w:sz="12" w:space="0" w:color="375623"/>
              <w:right w:val="single" w:sz="4" w:space="0" w:color="auto"/>
            </w:tcBorders>
            <w:shd w:val="clear" w:color="000000" w:fill="FFFFFF"/>
            <w:vAlign w:val="center"/>
            <w:hideMark/>
          </w:tcPr>
          <w:p w14:paraId="3EE4AFAE" w14:textId="23290CD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0.18 </w:t>
            </w:r>
          </w:p>
        </w:tc>
        <w:tc>
          <w:tcPr>
            <w:tcW w:w="555" w:type="pct"/>
            <w:tcBorders>
              <w:top w:val="nil"/>
              <w:left w:val="nil"/>
              <w:bottom w:val="single" w:sz="12" w:space="0" w:color="375623"/>
              <w:right w:val="single" w:sz="12" w:space="0" w:color="375623"/>
            </w:tcBorders>
            <w:shd w:val="clear" w:color="000000" w:fill="FFFFFF"/>
            <w:vAlign w:val="center"/>
            <w:hideMark/>
          </w:tcPr>
          <w:p w14:paraId="663479AE" w14:textId="705BE0E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2 </w:t>
            </w:r>
          </w:p>
        </w:tc>
      </w:tr>
    </w:tbl>
    <w:p w14:paraId="5B292926" w14:textId="77777777" w:rsidR="007A7C57" w:rsidRPr="00DF3BDF" w:rsidRDefault="007A7C57" w:rsidP="006633E7">
      <w:pPr>
        <w:spacing w:line="360" w:lineRule="auto"/>
        <w:rPr>
          <w:rFonts w:eastAsiaTheme="minorEastAsia"/>
          <w:i/>
          <w:iCs/>
          <w:sz w:val="21"/>
          <w:szCs w:val="21"/>
        </w:rPr>
      </w:pPr>
      <w:proofErr w:type="spellStart"/>
      <w:r w:rsidRPr="00DF3BDF">
        <w:rPr>
          <w:rFonts w:eastAsiaTheme="minorEastAsia" w:hint="eastAsia"/>
          <w:i/>
          <w:iCs/>
          <w:sz w:val="21"/>
          <w:szCs w:val="21"/>
        </w:rPr>
        <w:t>S</w:t>
      </w:r>
      <w:r w:rsidRPr="00DF3BDF">
        <w:rPr>
          <w:rFonts w:eastAsiaTheme="minorEastAsia"/>
          <w:i/>
          <w:iCs/>
          <w:sz w:val="21"/>
          <w:szCs w:val="21"/>
        </w:rPr>
        <w:t>ource:</w:t>
      </w:r>
      <w:r>
        <w:rPr>
          <w:rFonts w:eastAsiaTheme="minorEastAsia"/>
          <w:i/>
          <w:iCs/>
          <w:sz w:val="21"/>
          <w:szCs w:val="21"/>
        </w:rPr>
        <w:t>Filings</w:t>
      </w:r>
      <w:proofErr w:type="spellEnd"/>
    </w:p>
    <w:p w14:paraId="551C81A7" w14:textId="66E2BD2A"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hen we give different weight to each indicator based on its different impact on the overall performance and competitiveness of the car. For example, though Volume and Exterior and Interior Design influence consumers</w:t>
      </w:r>
      <w:r w:rsidR="004C5751">
        <w:rPr>
          <w:rFonts w:eastAsiaTheme="minorEastAsia"/>
        </w:rPr>
        <w:t>’</w:t>
      </w:r>
      <w:r>
        <w:rPr>
          <w:rFonts w:eastAsiaTheme="minorEastAsia"/>
        </w:rPr>
        <w:t xml:space="preserve"> decisions when buy cars, those Electrification indicators are more important than them. So we give Traditional Metrics lower weights compared to Electrification.</w:t>
      </w:r>
    </w:p>
    <w:p w14:paraId="41A6BE42" w14:textId="6A14562E"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8</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:The weighted average percentile of Lotus among different luxury electric vehicles</w:t>
      </w:r>
    </w:p>
    <w:tbl>
      <w:tblPr>
        <w:tblW w:w="5000" w:type="pct"/>
        <w:tblLook w:val="04A0" w:firstRow="1" w:lastRow="0" w:firstColumn="1" w:lastColumn="0" w:noHBand="0" w:noVBand="1"/>
      </w:tblPr>
      <w:tblGrid>
        <w:gridCol w:w="1771"/>
        <w:gridCol w:w="2925"/>
        <w:gridCol w:w="1232"/>
        <w:gridCol w:w="1531"/>
        <w:gridCol w:w="1537"/>
      </w:tblGrid>
      <w:tr w:rsidR="007A7C57" w:rsidRPr="00923E1B" w14:paraId="3C3F7B6C" w14:textId="77777777" w:rsidTr="00354141">
        <w:trPr>
          <w:trHeight w:val="441"/>
          <w:tblHeader/>
        </w:trPr>
        <w:tc>
          <w:tcPr>
            <w:tcW w:w="2610"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DDB49B"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Parameters</w:t>
            </w:r>
          </w:p>
        </w:tc>
        <w:tc>
          <w:tcPr>
            <w:tcW w:w="685" w:type="pct"/>
            <w:tcBorders>
              <w:top w:val="single" w:sz="12" w:space="0" w:color="375623"/>
              <w:left w:val="nil"/>
              <w:bottom w:val="single" w:sz="4" w:space="0" w:color="auto"/>
              <w:right w:val="single" w:sz="4" w:space="0" w:color="auto"/>
            </w:tcBorders>
            <w:shd w:val="clear" w:color="000000" w:fill="003300"/>
            <w:vAlign w:val="center"/>
            <w:hideMark/>
          </w:tcPr>
          <w:p w14:paraId="386674DA"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Weight</w:t>
            </w:r>
          </w:p>
        </w:tc>
        <w:tc>
          <w:tcPr>
            <w:tcW w:w="851" w:type="pct"/>
            <w:tcBorders>
              <w:top w:val="single" w:sz="12" w:space="0" w:color="375623"/>
              <w:left w:val="nil"/>
              <w:bottom w:val="single" w:sz="4" w:space="0" w:color="auto"/>
              <w:right w:val="single" w:sz="4" w:space="0" w:color="auto"/>
            </w:tcBorders>
            <w:shd w:val="clear" w:color="000000" w:fill="003300"/>
            <w:vAlign w:val="center"/>
            <w:hideMark/>
          </w:tcPr>
          <w:p w14:paraId="4D9DA12B"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Lotus Eletre S</w:t>
            </w:r>
          </w:p>
        </w:tc>
        <w:tc>
          <w:tcPr>
            <w:tcW w:w="854" w:type="pct"/>
            <w:tcBorders>
              <w:top w:val="single" w:sz="12" w:space="0" w:color="375623"/>
              <w:left w:val="nil"/>
              <w:bottom w:val="single" w:sz="4" w:space="0" w:color="auto"/>
              <w:right w:val="single" w:sz="12" w:space="0" w:color="375623"/>
            </w:tcBorders>
            <w:shd w:val="clear" w:color="000000" w:fill="003300"/>
            <w:vAlign w:val="center"/>
            <w:hideMark/>
          </w:tcPr>
          <w:p w14:paraId="333CBD86"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Lotus Eletre R</w:t>
            </w:r>
          </w:p>
        </w:tc>
      </w:tr>
      <w:tr w:rsidR="007A7C57" w:rsidRPr="00923E1B" w14:paraId="21D86A51"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E2EFD9"/>
            <w:vAlign w:val="center"/>
            <w:hideMark/>
          </w:tcPr>
          <w:p w14:paraId="6A6EAB7C"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Price</w:t>
            </w:r>
          </w:p>
        </w:tc>
        <w:tc>
          <w:tcPr>
            <w:tcW w:w="1626" w:type="pct"/>
            <w:tcBorders>
              <w:top w:val="single" w:sz="4" w:space="0" w:color="auto"/>
              <w:left w:val="single" w:sz="4" w:space="0" w:color="auto"/>
              <w:bottom w:val="single" w:sz="4" w:space="0" w:color="auto"/>
              <w:right w:val="single" w:sz="4" w:space="0" w:color="auto"/>
            </w:tcBorders>
            <w:shd w:val="clear" w:color="000000" w:fill="E2EFD9"/>
            <w:vAlign w:val="center"/>
            <w:hideMark/>
          </w:tcPr>
          <w:p w14:paraId="32B5984D" w14:textId="77777777" w:rsidR="007A7C57" w:rsidRPr="00923E1B" w:rsidRDefault="007A7C57" w:rsidP="00354141">
            <w:pPr>
              <w:rPr>
                <w:rFonts w:eastAsia="等线"/>
                <w:color w:val="000000"/>
                <w:sz w:val="21"/>
                <w:szCs w:val="21"/>
              </w:rPr>
            </w:pPr>
            <w:r w:rsidRPr="00923E1B">
              <w:rPr>
                <w:rFonts w:eastAsia="等线"/>
                <w:color w:val="000000"/>
                <w:sz w:val="21"/>
                <w:szCs w:val="21"/>
              </w:rPr>
              <w:t>US Region, US$</w:t>
            </w:r>
          </w:p>
        </w:tc>
        <w:tc>
          <w:tcPr>
            <w:tcW w:w="685" w:type="pct"/>
            <w:tcBorders>
              <w:top w:val="single" w:sz="4" w:space="0" w:color="auto"/>
              <w:left w:val="nil"/>
              <w:bottom w:val="single" w:sz="4" w:space="0" w:color="auto"/>
              <w:right w:val="single" w:sz="4" w:space="0" w:color="auto"/>
            </w:tcBorders>
            <w:shd w:val="clear" w:color="000000" w:fill="E2EFD9"/>
            <w:vAlign w:val="center"/>
            <w:hideMark/>
          </w:tcPr>
          <w:p w14:paraId="7BA09D2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single" w:sz="4" w:space="0" w:color="auto"/>
              <w:left w:val="nil"/>
              <w:bottom w:val="single" w:sz="4" w:space="0" w:color="auto"/>
              <w:right w:val="single" w:sz="4" w:space="0" w:color="auto"/>
            </w:tcBorders>
            <w:shd w:val="clear" w:color="000000" w:fill="E2EFD9"/>
            <w:vAlign w:val="center"/>
            <w:hideMark/>
          </w:tcPr>
          <w:p w14:paraId="5BBA09E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0.58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0B1AE539"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1.00 </w:t>
            </w:r>
          </w:p>
        </w:tc>
      </w:tr>
      <w:tr w:rsidR="007A7C57" w:rsidRPr="00923E1B" w14:paraId="4B7249CC"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FFFFFF"/>
            <w:vAlign w:val="center"/>
            <w:hideMark/>
          </w:tcPr>
          <w:p w14:paraId="06735828"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Driving Performance</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1209A8E3" w14:textId="77777777" w:rsidR="007A7C57" w:rsidRPr="00923E1B" w:rsidRDefault="007A7C57" w:rsidP="00354141">
            <w:pPr>
              <w:rPr>
                <w:rFonts w:eastAsia="等线"/>
                <w:color w:val="000000"/>
                <w:sz w:val="21"/>
                <w:szCs w:val="21"/>
              </w:rPr>
            </w:pPr>
            <w:r w:rsidRPr="00923E1B">
              <w:rPr>
                <w:rFonts w:eastAsia="等线"/>
                <w:color w:val="000000"/>
                <w:sz w:val="21"/>
                <w:szCs w:val="21"/>
              </w:rPr>
              <w:t>Acceleration, 0-100km/h,</w:t>
            </w:r>
            <w:r w:rsidR="008A202F">
              <w:rPr>
                <w:rFonts w:eastAsia="等线"/>
                <w:color w:val="000000"/>
                <w:sz w:val="21"/>
                <w:szCs w:val="21"/>
              </w:rPr>
              <w:t xml:space="preserve"> </w:t>
            </w:r>
            <w:r w:rsidRPr="00923E1B">
              <w:rPr>
                <w:rFonts w:eastAsia="等线"/>
                <w:color w:val="000000"/>
                <w:sz w:val="21"/>
                <w:szCs w:val="21"/>
              </w:rPr>
              <w:t>s</w:t>
            </w:r>
          </w:p>
        </w:tc>
        <w:tc>
          <w:tcPr>
            <w:tcW w:w="685" w:type="pct"/>
            <w:tcBorders>
              <w:top w:val="nil"/>
              <w:left w:val="nil"/>
              <w:bottom w:val="single" w:sz="4" w:space="0" w:color="auto"/>
              <w:right w:val="single" w:sz="4" w:space="0" w:color="auto"/>
            </w:tcBorders>
            <w:shd w:val="clear" w:color="000000" w:fill="FFFFFF"/>
            <w:vAlign w:val="center"/>
            <w:hideMark/>
          </w:tcPr>
          <w:p w14:paraId="17A0C257"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FFFFFF"/>
            <w:vAlign w:val="center"/>
            <w:hideMark/>
          </w:tcPr>
          <w:p w14:paraId="0D4C4E16"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0.62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435C6A99"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0.23 </w:t>
            </w:r>
          </w:p>
        </w:tc>
      </w:tr>
      <w:tr w:rsidR="007A7C57" w:rsidRPr="00923E1B" w14:paraId="7706BEDC"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E2EFD9"/>
            <w:vAlign w:val="center"/>
            <w:hideMark/>
          </w:tcPr>
          <w:p w14:paraId="7A85E542"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Electrification</w:t>
            </w: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DB9001F" w14:textId="77777777" w:rsidR="007A7C57" w:rsidRPr="00923E1B" w:rsidRDefault="007A7C57" w:rsidP="00354141">
            <w:pPr>
              <w:rPr>
                <w:rFonts w:eastAsia="等线"/>
                <w:color w:val="000000"/>
                <w:sz w:val="21"/>
                <w:szCs w:val="21"/>
              </w:rPr>
            </w:pPr>
            <w:r w:rsidRPr="00923E1B">
              <w:rPr>
                <w:rFonts w:eastAsia="等线"/>
                <w:color w:val="000000"/>
                <w:sz w:val="21"/>
                <w:szCs w:val="21"/>
              </w:rPr>
              <w:t>Charging Speed, max. h</w:t>
            </w:r>
          </w:p>
        </w:tc>
        <w:tc>
          <w:tcPr>
            <w:tcW w:w="685" w:type="pct"/>
            <w:tcBorders>
              <w:top w:val="nil"/>
              <w:left w:val="nil"/>
              <w:bottom w:val="single" w:sz="4" w:space="0" w:color="auto"/>
              <w:right w:val="single" w:sz="4" w:space="0" w:color="auto"/>
            </w:tcBorders>
            <w:shd w:val="clear" w:color="000000" w:fill="E2EFD9"/>
            <w:vAlign w:val="center"/>
            <w:hideMark/>
          </w:tcPr>
          <w:p w14:paraId="3D469BE0"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58D6A88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E0C402C"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r>
      <w:tr w:rsidR="007A7C57" w:rsidRPr="00923E1B" w14:paraId="473C44A8"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58D4E6D2"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AA7EB8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Driving </w:t>
            </w:r>
            <w:r>
              <w:rPr>
                <w:rFonts w:eastAsia="等线"/>
                <w:color w:val="000000"/>
                <w:sz w:val="21"/>
                <w:szCs w:val="21"/>
              </w:rPr>
              <w:t>E</w:t>
            </w:r>
            <w:r w:rsidRPr="00923E1B">
              <w:rPr>
                <w:rFonts w:eastAsia="等线"/>
                <w:color w:val="000000"/>
                <w:sz w:val="21"/>
                <w:szCs w:val="21"/>
              </w:rPr>
              <w:t>-range, km</w:t>
            </w:r>
          </w:p>
        </w:tc>
        <w:tc>
          <w:tcPr>
            <w:tcW w:w="685" w:type="pct"/>
            <w:tcBorders>
              <w:top w:val="nil"/>
              <w:left w:val="nil"/>
              <w:bottom w:val="single" w:sz="4" w:space="0" w:color="auto"/>
              <w:right w:val="single" w:sz="4" w:space="0" w:color="auto"/>
            </w:tcBorders>
            <w:shd w:val="clear" w:color="000000" w:fill="E2EFD9"/>
            <w:vAlign w:val="center"/>
            <w:hideMark/>
          </w:tcPr>
          <w:p w14:paraId="17031001"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E2EFD9"/>
            <w:vAlign w:val="center"/>
            <w:hideMark/>
          </w:tcPr>
          <w:p w14:paraId="6B89C350"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0.26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1F16C2C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0.61 </w:t>
            </w:r>
          </w:p>
        </w:tc>
      </w:tr>
      <w:tr w:rsidR="007A7C57" w:rsidRPr="00923E1B" w14:paraId="2082006A"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E22C97B"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47985577" w14:textId="77777777" w:rsidR="007A7C57" w:rsidRPr="00923E1B" w:rsidRDefault="007A7C57" w:rsidP="00354141">
            <w:pPr>
              <w:rPr>
                <w:rFonts w:eastAsia="等线"/>
                <w:color w:val="000000"/>
                <w:sz w:val="21"/>
                <w:szCs w:val="21"/>
              </w:rPr>
            </w:pPr>
            <w:r w:rsidRPr="00923E1B">
              <w:rPr>
                <w:rFonts w:eastAsia="等线"/>
                <w:color w:val="000000"/>
                <w:sz w:val="21"/>
                <w:szCs w:val="21"/>
              </w:rPr>
              <w:t>Power Consumption, kWh/100km</w:t>
            </w:r>
          </w:p>
        </w:tc>
        <w:tc>
          <w:tcPr>
            <w:tcW w:w="685" w:type="pct"/>
            <w:tcBorders>
              <w:top w:val="nil"/>
              <w:left w:val="nil"/>
              <w:bottom w:val="single" w:sz="4" w:space="0" w:color="auto"/>
              <w:right w:val="single" w:sz="4" w:space="0" w:color="auto"/>
            </w:tcBorders>
            <w:shd w:val="clear" w:color="000000" w:fill="E2EFD9"/>
            <w:vAlign w:val="center"/>
            <w:hideMark/>
          </w:tcPr>
          <w:p w14:paraId="3A1391B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1BCA115E"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0.67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2090E9A"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1.00 </w:t>
            </w:r>
          </w:p>
        </w:tc>
      </w:tr>
      <w:tr w:rsidR="007A7C57" w:rsidRPr="00923E1B" w14:paraId="7C6006EA"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FFFFFF"/>
            <w:vAlign w:val="center"/>
            <w:hideMark/>
          </w:tcPr>
          <w:p w14:paraId="3656AD83"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Traditional Metrics</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364B4D9C" w14:textId="77777777" w:rsidR="007A7C57" w:rsidRPr="00923E1B" w:rsidRDefault="007A7C57" w:rsidP="00354141">
            <w:pPr>
              <w:rPr>
                <w:rFonts w:eastAsia="等线"/>
                <w:color w:val="000000"/>
                <w:sz w:val="21"/>
                <w:szCs w:val="21"/>
              </w:rPr>
            </w:pPr>
            <w:r w:rsidRPr="00923E1B">
              <w:rPr>
                <w:rFonts w:eastAsia="等线"/>
                <w:color w:val="000000"/>
                <w:sz w:val="21"/>
                <w:szCs w:val="21"/>
              </w:rPr>
              <w:t>Exterior Design</w:t>
            </w:r>
          </w:p>
        </w:tc>
        <w:tc>
          <w:tcPr>
            <w:tcW w:w="685" w:type="pct"/>
            <w:tcBorders>
              <w:top w:val="nil"/>
              <w:left w:val="nil"/>
              <w:bottom w:val="single" w:sz="4" w:space="0" w:color="auto"/>
              <w:right w:val="single" w:sz="4" w:space="0" w:color="auto"/>
            </w:tcBorders>
            <w:shd w:val="clear" w:color="000000" w:fill="FFFFFF"/>
            <w:vAlign w:val="center"/>
            <w:hideMark/>
          </w:tcPr>
          <w:p w14:paraId="01ED3D6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05596932"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0.11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52254F4C"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0.11 </w:t>
            </w:r>
          </w:p>
        </w:tc>
      </w:tr>
      <w:tr w:rsidR="007A7C57" w:rsidRPr="00923E1B" w14:paraId="5357DF71"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0AF63AA5"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2334745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Interior </w:t>
            </w:r>
            <w:r>
              <w:rPr>
                <w:rFonts w:eastAsia="等线"/>
                <w:color w:val="000000"/>
                <w:sz w:val="21"/>
                <w:szCs w:val="21"/>
              </w:rPr>
              <w:t>D</w:t>
            </w:r>
            <w:r w:rsidRPr="00923E1B">
              <w:rPr>
                <w:rFonts w:eastAsia="等线"/>
                <w:color w:val="000000"/>
                <w:sz w:val="21"/>
                <w:szCs w:val="21"/>
              </w:rPr>
              <w:t xml:space="preserve">esign and </w:t>
            </w:r>
            <w:r>
              <w:rPr>
                <w:rFonts w:eastAsia="等线"/>
                <w:color w:val="000000"/>
                <w:sz w:val="21"/>
                <w:szCs w:val="21"/>
              </w:rPr>
              <w:t>C</w:t>
            </w:r>
            <w:r w:rsidRPr="00923E1B">
              <w:rPr>
                <w:rFonts w:eastAsia="等线"/>
                <w:color w:val="000000"/>
                <w:sz w:val="21"/>
                <w:szCs w:val="21"/>
              </w:rPr>
              <w:t>omfort</w:t>
            </w:r>
          </w:p>
        </w:tc>
        <w:tc>
          <w:tcPr>
            <w:tcW w:w="685" w:type="pct"/>
            <w:tcBorders>
              <w:top w:val="nil"/>
              <w:left w:val="nil"/>
              <w:bottom w:val="single" w:sz="4" w:space="0" w:color="auto"/>
              <w:right w:val="single" w:sz="4" w:space="0" w:color="auto"/>
            </w:tcBorders>
            <w:shd w:val="clear" w:color="000000" w:fill="FFFFFF"/>
            <w:vAlign w:val="center"/>
            <w:hideMark/>
          </w:tcPr>
          <w:p w14:paraId="2E5F90A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233E5F12"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2AD1F2A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r>
      <w:tr w:rsidR="007A7C57" w:rsidRPr="00923E1B" w14:paraId="2042FA05"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D23D0E8"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nil"/>
              <w:right w:val="single" w:sz="4" w:space="0" w:color="auto"/>
            </w:tcBorders>
            <w:shd w:val="clear" w:color="000000" w:fill="FFFFFF"/>
            <w:vAlign w:val="center"/>
            <w:hideMark/>
          </w:tcPr>
          <w:p w14:paraId="121252D7" w14:textId="77777777" w:rsidR="007A7C57" w:rsidRPr="00923E1B" w:rsidRDefault="007A7C57" w:rsidP="00354141">
            <w:pPr>
              <w:rPr>
                <w:rFonts w:eastAsia="等线"/>
                <w:color w:val="000000"/>
                <w:sz w:val="21"/>
                <w:szCs w:val="21"/>
              </w:rPr>
            </w:pPr>
            <w:r w:rsidRPr="00923E1B">
              <w:rPr>
                <w:rFonts w:eastAsia="等线"/>
                <w:color w:val="000000"/>
                <w:sz w:val="21"/>
                <w:szCs w:val="21"/>
              </w:rPr>
              <w:t>Volume, m</w:t>
            </w:r>
            <w:r w:rsidR="008A202F" w:rsidRPr="008A202F">
              <w:rPr>
                <w:rFonts w:eastAsia="等线"/>
                <w:color w:val="000000"/>
                <w:sz w:val="21"/>
                <w:szCs w:val="21"/>
                <w:vertAlign w:val="superscript"/>
              </w:rPr>
              <w:t>3</w:t>
            </w:r>
          </w:p>
        </w:tc>
        <w:tc>
          <w:tcPr>
            <w:tcW w:w="685" w:type="pct"/>
            <w:tcBorders>
              <w:top w:val="nil"/>
              <w:left w:val="nil"/>
              <w:bottom w:val="nil"/>
              <w:right w:val="single" w:sz="4" w:space="0" w:color="auto"/>
            </w:tcBorders>
            <w:shd w:val="clear" w:color="000000" w:fill="FFFFFF"/>
            <w:vAlign w:val="center"/>
            <w:hideMark/>
          </w:tcPr>
          <w:p w14:paraId="6400ADA3"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nil"/>
              <w:right w:val="single" w:sz="4" w:space="0" w:color="auto"/>
            </w:tcBorders>
            <w:shd w:val="clear" w:color="000000" w:fill="FFFFFF"/>
            <w:vAlign w:val="center"/>
            <w:hideMark/>
          </w:tcPr>
          <w:p w14:paraId="09123483"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0.18 </w:t>
            </w:r>
          </w:p>
        </w:tc>
        <w:tc>
          <w:tcPr>
            <w:tcW w:w="854" w:type="pct"/>
            <w:tcBorders>
              <w:top w:val="nil"/>
              <w:left w:val="single" w:sz="4" w:space="0" w:color="auto"/>
              <w:bottom w:val="nil"/>
              <w:right w:val="single" w:sz="12" w:space="0" w:color="375623"/>
            </w:tcBorders>
            <w:shd w:val="clear" w:color="000000" w:fill="FFFFFF"/>
            <w:vAlign w:val="center"/>
            <w:hideMark/>
          </w:tcPr>
          <w:p w14:paraId="1A75477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0.18 </w:t>
            </w:r>
          </w:p>
        </w:tc>
      </w:tr>
      <w:tr w:rsidR="007A7C57" w:rsidRPr="00923E1B" w14:paraId="590A73C7" w14:textId="77777777" w:rsidTr="00354141">
        <w:trPr>
          <w:trHeight w:val="441"/>
          <w:tblHeader/>
        </w:trPr>
        <w:tc>
          <w:tcPr>
            <w:tcW w:w="3295" w:type="pct"/>
            <w:gridSpan w:val="3"/>
            <w:tcBorders>
              <w:top w:val="single" w:sz="12" w:space="0" w:color="375623"/>
              <w:left w:val="single" w:sz="12" w:space="0" w:color="375623"/>
              <w:bottom w:val="single" w:sz="12" w:space="0" w:color="375623"/>
              <w:right w:val="single" w:sz="4" w:space="0" w:color="auto"/>
            </w:tcBorders>
            <w:shd w:val="clear" w:color="000000" w:fill="E2EFD9"/>
            <w:vAlign w:val="center"/>
            <w:hideMark/>
          </w:tcPr>
          <w:p w14:paraId="447E533B"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Final Percentile</w:t>
            </w:r>
          </w:p>
        </w:tc>
        <w:tc>
          <w:tcPr>
            <w:tcW w:w="851" w:type="pct"/>
            <w:tcBorders>
              <w:top w:val="single" w:sz="12" w:space="0" w:color="375623"/>
              <w:left w:val="nil"/>
              <w:bottom w:val="single" w:sz="12" w:space="0" w:color="375623"/>
              <w:right w:val="single" w:sz="4" w:space="0" w:color="auto"/>
            </w:tcBorders>
            <w:shd w:val="clear" w:color="000000" w:fill="E2EFD9"/>
            <w:vAlign w:val="center"/>
            <w:hideMark/>
          </w:tcPr>
          <w:p w14:paraId="3D4BC7DD"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 xml:space="preserve">0.37 </w:t>
            </w:r>
          </w:p>
        </w:tc>
        <w:tc>
          <w:tcPr>
            <w:tcW w:w="854" w:type="pct"/>
            <w:tcBorders>
              <w:top w:val="single" w:sz="12" w:space="0" w:color="375623"/>
              <w:left w:val="nil"/>
              <w:bottom w:val="single" w:sz="12" w:space="0" w:color="375623"/>
              <w:right w:val="single" w:sz="12" w:space="0" w:color="375623"/>
            </w:tcBorders>
            <w:shd w:val="clear" w:color="000000" w:fill="E2EFD9"/>
            <w:vAlign w:val="center"/>
            <w:hideMark/>
          </w:tcPr>
          <w:p w14:paraId="1F3F436D"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 xml:space="preserve">0.43 </w:t>
            </w:r>
          </w:p>
        </w:tc>
      </w:tr>
    </w:tbl>
    <w:p w14:paraId="01088891" w14:textId="77777777" w:rsidR="007A7C57" w:rsidRPr="00F6380E" w:rsidRDefault="007A7C57" w:rsidP="007A7C57">
      <w:pPr>
        <w:spacing w:line="360" w:lineRule="auto"/>
        <w:rPr>
          <w:rFonts w:eastAsiaTheme="minorEastAsia"/>
          <w:i/>
          <w:iCs/>
          <w:sz w:val="21"/>
          <w:szCs w:val="21"/>
        </w:rPr>
      </w:pPr>
      <w:r w:rsidRPr="00F6380E">
        <w:rPr>
          <w:rFonts w:eastAsiaTheme="minorEastAsia" w:hint="eastAsia"/>
          <w:i/>
          <w:iCs/>
          <w:sz w:val="21"/>
          <w:szCs w:val="21"/>
        </w:rPr>
        <w:t>S</w:t>
      </w:r>
      <w:r w:rsidRPr="00F6380E">
        <w:rPr>
          <w:rFonts w:eastAsiaTheme="minorEastAsia"/>
          <w:i/>
          <w:iCs/>
          <w:sz w:val="21"/>
          <w:szCs w:val="21"/>
        </w:rPr>
        <w:t>ource: Filings</w:t>
      </w:r>
    </w:p>
    <w:p w14:paraId="3F6BCC09" w14:textId="77777777" w:rsidR="007A7C57" w:rsidRDefault="007A7C57" w:rsidP="006633E7">
      <w:pPr>
        <w:spacing w:line="360" w:lineRule="auto"/>
        <w:jc w:val="both"/>
        <w:rPr>
          <w:rFonts w:eastAsiaTheme="minorEastAsia"/>
        </w:rPr>
      </w:pPr>
      <w:r>
        <w:rPr>
          <w:rFonts w:eastAsiaTheme="minorEastAsia" w:hint="eastAsia"/>
        </w:rPr>
        <w:t>T</w:t>
      </w:r>
      <w:r>
        <w:rPr>
          <w:rFonts w:eastAsiaTheme="minorEastAsia"/>
        </w:rPr>
        <w:t>he Final Percentiles for Lotus Eletre S and Lotus Eletre R are 0.37 and 0.43, which mean that the models of Lotus are competitive compared to those existing and excellent competitors in luxury electric vehicles market.</w:t>
      </w:r>
    </w:p>
    <w:p w14:paraId="257F594D" w14:textId="77777777" w:rsidR="007A7C57" w:rsidRDefault="007A7C57" w:rsidP="007A7C57">
      <w:pPr>
        <w:pStyle w:val="IBSG4"/>
        <w:spacing w:before="0" w:after="0" w:line="360" w:lineRule="auto"/>
      </w:pPr>
      <w:bookmarkStart w:id="17" w:name="_Toc131092066"/>
      <w:r>
        <w:rPr>
          <w:rFonts w:hint="eastAsia"/>
        </w:rPr>
        <w:t>2</w:t>
      </w:r>
      <w:r>
        <w:t>.2.2 Sales analysis</w:t>
      </w:r>
      <w:bookmarkEnd w:id="17"/>
    </w:p>
    <w:p w14:paraId="2191B0B9" w14:textId="7AFB10C4" w:rsidR="007A7C57" w:rsidRPr="0039437E" w:rsidRDefault="007A7C57" w:rsidP="00AC4BA9">
      <w:pPr>
        <w:spacing w:line="360" w:lineRule="auto"/>
        <w:jc w:val="both"/>
        <w:rPr>
          <w:i/>
          <w:iCs/>
          <w:sz w:val="21"/>
          <w:szCs w:val="21"/>
        </w:rPr>
      </w:pPr>
      <w:r>
        <w:rPr>
          <w:rFonts w:eastAsiaTheme="minorEastAsia"/>
        </w:rPr>
        <w:t>The number of direct sales stores and dealerships will affect the convenience of consumers to access and buy cars, which is positively related to the sales volume of the brand. Besides, the distribution of stores and dealerships also reflects corporate</w:t>
      </w:r>
      <w:r w:rsidR="004C5751">
        <w:rPr>
          <w:rFonts w:eastAsiaTheme="minorEastAsia"/>
        </w:rPr>
        <w:t>’</w:t>
      </w:r>
      <w:r>
        <w:rPr>
          <w:rFonts w:eastAsiaTheme="minorEastAsia"/>
        </w:rPr>
        <w:t>s different priority on each country/region. It is reasonable that the brand should perform better in country/region of higher priority as it devotes more resource and efforts to that country/region.</w:t>
      </w:r>
    </w:p>
    <w:p w14:paraId="6D356333" w14:textId="293B1427"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9</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The number of direct sales stores and dealerships of different brands</w:t>
      </w:r>
    </w:p>
    <w:tbl>
      <w:tblPr>
        <w:tblW w:w="5000" w:type="pct"/>
        <w:tblLook w:val="04A0" w:firstRow="1" w:lastRow="0" w:firstColumn="1" w:lastColumn="0" w:noHBand="0" w:noVBand="1"/>
      </w:tblPr>
      <w:tblGrid>
        <w:gridCol w:w="2225"/>
        <w:gridCol w:w="959"/>
        <w:gridCol w:w="961"/>
        <w:gridCol w:w="964"/>
        <w:gridCol w:w="963"/>
        <w:gridCol w:w="964"/>
        <w:gridCol w:w="963"/>
        <w:gridCol w:w="997"/>
      </w:tblGrid>
      <w:tr w:rsidR="007A7C57" w:rsidRPr="00807DA6" w14:paraId="4F4B8F0C" w14:textId="77777777" w:rsidTr="00354141">
        <w:trPr>
          <w:trHeight w:val="612"/>
          <w:tblHeader/>
        </w:trPr>
        <w:tc>
          <w:tcPr>
            <w:tcW w:w="1237" w:type="pct"/>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2B8BFF"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Country/Region</w:t>
            </w:r>
          </w:p>
        </w:tc>
        <w:tc>
          <w:tcPr>
            <w:tcW w:w="1067" w:type="pct"/>
            <w:gridSpan w:val="2"/>
            <w:tcBorders>
              <w:top w:val="single" w:sz="12" w:space="0" w:color="375623"/>
              <w:left w:val="nil"/>
              <w:bottom w:val="single" w:sz="4" w:space="0" w:color="auto"/>
              <w:right w:val="single" w:sz="4" w:space="0" w:color="auto"/>
            </w:tcBorders>
            <w:shd w:val="clear" w:color="000000" w:fill="003300"/>
            <w:vAlign w:val="center"/>
            <w:hideMark/>
          </w:tcPr>
          <w:p w14:paraId="05A681D8"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Lotus</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5FCFE487"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BMW</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457EFD90"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Tesla</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33D25415"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 xml:space="preserve">Lucid </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26F06A25"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Benz</w:t>
            </w:r>
          </w:p>
        </w:tc>
        <w:tc>
          <w:tcPr>
            <w:tcW w:w="554" w:type="pct"/>
            <w:tcBorders>
              <w:top w:val="single" w:sz="12" w:space="0" w:color="375623"/>
              <w:left w:val="nil"/>
              <w:bottom w:val="single" w:sz="4" w:space="0" w:color="auto"/>
              <w:right w:val="single" w:sz="12" w:space="0" w:color="375623"/>
            </w:tcBorders>
            <w:shd w:val="clear" w:color="000000" w:fill="003300"/>
            <w:vAlign w:val="center"/>
            <w:hideMark/>
          </w:tcPr>
          <w:p w14:paraId="7024CFFA"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Porsche</w:t>
            </w:r>
          </w:p>
        </w:tc>
      </w:tr>
      <w:tr w:rsidR="007A7C57" w:rsidRPr="00807DA6" w14:paraId="270B4442"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20BBA87C"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North America</w:t>
            </w:r>
          </w:p>
        </w:tc>
        <w:tc>
          <w:tcPr>
            <w:tcW w:w="53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3B70D1"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4" w:type="pct"/>
            <w:tcBorders>
              <w:top w:val="single" w:sz="4" w:space="0" w:color="auto"/>
              <w:left w:val="nil"/>
              <w:bottom w:val="single" w:sz="4" w:space="0" w:color="auto"/>
              <w:right w:val="single" w:sz="4" w:space="0" w:color="auto"/>
            </w:tcBorders>
            <w:shd w:val="clear" w:color="000000" w:fill="FFFFFF"/>
            <w:vAlign w:val="center"/>
            <w:hideMark/>
          </w:tcPr>
          <w:p w14:paraId="3563DE9D"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50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535FFAF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494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242B859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237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34B18E22"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32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1AA68DB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318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29847E8"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171 </w:t>
            </w:r>
          </w:p>
        </w:tc>
      </w:tr>
      <w:tr w:rsidR="007A7C57" w:rsidRPr="00807DA6" w14:paraId="6112562C"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E2EFD9"/>
            <w:vAlign w:val="center"/>
            <w:hideMark/>
          </w:tcPr>
          <w:p w14:paraId="76465B90"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UK</w:t>
            </w:r>
          </w:p>
        </w:tc>
        <w:tc>
          <w:tcPr>
            <w:tcW w:w="533" w:type="pct"/>
            <w:tcBorders>
              <w:top w:val="nil"/>
              <w:left w:val="single" w:sz="4" w:space="0" w:color="auto"/>
              <w:bottom w:val="single" w:sz="4" w:space="0" w:color="auto"/>
              <w:right w:val="single" w:sz="4" w:space="0" w:color="auto"/>
            </w:tcBorders>
            <w:shd w:val="clear" w:color="000000" w:fill="E2EFD9"/>
            <w:vAlign w:val="center"/>
            <w:hideMark/>
          </w:tcPr>
          <w:p w14:paraId="04338E04"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 </w:t>
            </w:r>
          </w:p>
        </w:tc>
        <w:tc>
          <w:tcPr>
            <w:tcW w:w="534" w:type="pct"/>
            <w:tcBorders>
              <w:top w:val="nil"/>
              <w:left w:val="nil"/>
              <w:bottom w:val="single" w:sz="4" w:space="0" w:color="auto"/>
              <w:right w:val="single" w:sz="4" w:space="0" w:color="auto"/>
            </w:tcBorders>
            <w:shd w:val="clear" w:color="000000" w:fill="E2EFD9"/>
            <w:vAlign w:val="center"/>
            <w:hideMark/>
          </w:tcPr>
          <w:p w14:paraId="48DBD5BE"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35 </w:t>
            </w:r>
          </w:p>
        </w:tc>
        <w:tc>
          <w:tcPr>
            <w:tcW w:w="536" w:type="pct"/>
            <w:tcBorders>
              <w:top w:val="nil"/>
              <w:left w:val="nil"/>
              <w:bottom w:val="single" w:sz="4" w:space="0" w:color="auto"/>
              <w:right w:val="single" w:sz="4" w:space="0" w:color="auto"/>
            </w:tcBorders>
            <w:shd w:val="clear" w:color="000000" w:fill="E2EFD9"/>
            <w:vAlign w:val="center"/>
            <w:hideMark/>
          </w:tcPr>
          <w:p w14:paraId="34A3ACE5"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123 </w:t>
            </w:r>
          </w:p>
        </w:tc>
        <w:tc>
          <w:tcPr>
            <w:tcW w:w="535" w:type="pct"/>
            <w:tcBorders>
              <w:top w:val="nil"/>
              <w:left w:val="nil"/>
              <w:bottom w:val="single" w:sz="4" w:space="0" w:color="auto"/>
              <w:right w:val="single" w:sz="4" w:space="0" w:color="auto"/>
            </w:tcBorders>
            <w:shd w:val="clear" w:color="000000" w:fill="E2EFD9"/>
            <w:vAlign w:val="center"/>
            <w:hideMark/>
          </w:tcPr>
          <w:p w14:paraId="062CA2F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6" w:type="pct"/>
            <w:tcBorders>
              <w:top w:val="nil"/>
              <w:left w:val="nil"/>
              <w:bottom w:val="single" w:sz="4" w:space="0" w:color="auto"/>
              <w:right w:val="single" w:sz="4" w:space="0" w:color="auto"/>
            </w:tcBorders>
            <w:shd w:val="clear" w:color="000000" w:fill="E2EFD9"/>
            <w:vAlign w:val="center"/>
            <w:hideMark/>
          </w:tcPr>
          <w:p w14:paraId="7975768F"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0 </w:t>
            </w:r>
          </w:p>
        </w:tc>
        <w:tc>
          <w:tcPr>
            <w:tcW w:w="535" w:type="pct"/>
            <w:tcBorders>
              <w:top w:val="nil"/>
              <w:left w:val="nil"/>
              <w:bottom w:val="single" w:sz="4" w:space="0" w:color="auto"/>
              <w:right w:val="single" w:sz="4" w:space="0" w:color="auto"/>
            </w:tcBorders>
            <w:shd w:val="clear" w:color="000000" w:fill="E2EFD9"/>
            <w:vAlign w:val="center"/>
            <w:hideMark/>
          </w:tcPr>
          <w:p w14:paraId="2A5244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163 </w:t>
            </w:r>
          </w:p>
        </w:tc>
        <w:tc>
          <w:tcPr>
            <w:tcW w:w="554" w:type="pct"/>
            <w:tcBorders>
              <w:top w:val="nil"/>
              <w:left w:val="single" w:sz="4" w:space="0" w:color="auto"/>
              <w:bottom w:val="single" w:sz="4" w:space="0" w:color="auto"/>
              <w:right w:val="single" w:sz="12" w:space="0" w:color="375623"/>
            </w:tcBorders>
            <w:shd w:val="clear" w:color="000000" w:fill="E2EFD9"/>
            <w:vAlign w:val="center"/>
            <w:hideMark/>
          </w:tcPr>
          <w:p w14:paraId="3109D3E2"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50 </w:t>
            </w:r>
          </w:p>
        </w:tc>
      </w:tr>
      <w:tr w:rsidR="007A7C57" w:rsidRPr="00807DA6" w14:paraId="0B1C54BB"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1780C45B"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EU</w:t>
            </w:r>
          </w:p>
        </w:tc>
        <w:tc>
          <w:tcPr>
            <w:tcW w:w="533" w:type="pct"/>
            <w:tcBorders>
              <w:top w:val="nil"/>
              <w:left w:val="single" w:sz="4" w:space="0" w:color="auto"/>
              <w:bottom w:val="single" w:sz="4" w:space="0" w:color="auto"/>
              <w:right w:val="single" w:sz="4" w:space="0" w:color="auto"/>
            </w:tcBorders>
            <w:shd w:val="clear" w:color="000000" w:fill="FFFFFF"/>
            <w:vAlign w:val="center"/>
            <w:hideMark/>
          </w:tcPr>
          <w:p w14:paraId="41F99FE4"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39 </w:t>
            </w:r>
          </w:p>
        </w:tc>
        <w:tc>
          <w:tcPr>
            <w:tcW w:w="534" w:type="pct"/>
            <w:tcBorders>
              <w:top w:val="nil"/>
              <w:left w:val="nil"/>
              <w:bottom w:val="single" w:sz="4" w:space="0" w:color="auto"/>
              <w:right w:val="single" w:sz="4" w:space="0" w:color="auto"/>
            </w:tcBorders>
            <w:shd w:val="clear" w:color="000000" w:fill="FFFFFF"/>
            <w:vAlign w:val="center"/>
            <w:hideMark/>
          </w:tcPr>
          <w:p w14:paraId="2077B696"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60 </w:t>
            </w:r>
          </w:p>
        </w:tc>
        <w:tc>
          <w:tcPr>
            <w:tcW w:w="536" w:type="pct"/>
            <w:tcBorders>
              <w:top w:val="nil"/>
              <w:left w:val="nil"/>
              <w:bottom w:val="single" w:sz="4" w:space="0" w:color="auto"/>
              <w:right w:val="single" w:sz="4" w:space="0" w:color="auto"/>
            </w:tcBorders>
            <w:shd w:val="clear" w:color="000000" w:fill="FFFFFF"/>
            <w:vAlign w:val="center"/>
            <w:hideMark/>
          </w:tcPr>
          <w:p w14:paraId="2BA45A48"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1547 </w:t>
            </w:r>
          </w:p>
        </w:tc>
        <w:tc>
          <w:tcPr>
            <w:tcW w:w="535" w:type="pct"/>
            <w:tcBorders>
              <w:top w:val="nil"/>
              <w:left w:val="nil"/>
              <w:bottom w:val="single" w:sz="4" w:space="0" w:color="auto"/>
              <w:right w:val="single" w:sz="4" w:space="0" w:color="auto"/>
            </w:tcBorders>
            <w:shd w:val="clear" w:color="000000" w:fill="FFFFFF"/>
            <w:vAlign w:val="center"/>
            <w:hideMark/>
          </w:tcPr>
          <w:p w14:paraId="5B2842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161 </w:t>
            </w:r>
          </w:p>
        </w:tc>
        <w:tc>
          <w:tcPr>
            <w:tcW w:w="536" w:type="pct"/>
            <w:tcBorders>
              <w:top w:val="nil"/>
              <w:left w:val="nil"/>
              <w:bottom w:val="single" w:sz="4" w:space="0" w:color="auto"/>
              <w:right w:val="single" w:sz="4" w:space="0" w:color="auto"/>
            </w:tcBorders>
            <w:shd w:val="clear" w:color="000000" w:fill="FFFFFF"/>
            <w:vAlign w:val="center"/>
            <w:hideMark/>
          </w:tcPr>
          <w:p w14:paraId="327B4BB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 </w:t>
            </w:r>
          </w:p>
        </w:tc>
        <w:tc>
          <w:tcPr>
            <w:tcW w:w="535" w:type="pct"/>
            <w:tcBorders>
              <w:top w:val="nil"/>
              <w:left w:val="nil"/>
              <w:bottom w:val="single" w:sz="4" w:space="0" w:color="auto"/>
              <w:right w:val="single" w:sz="4" w:space="0" w:color="auto"/>
            </w:tcBorders>
            <w:shd w:val="clear" w:color="000000" w:fill="FFFFFF"/>
            <w:vAlign w:val="center"/>
            <w:hideMark/>
          </w:tcPr>
          <w:p w14:paraId="3F144E2C"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1584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907CBA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302 </w:t>
            </w:r>
          </w:p>
        </w:tc>
      </w:tr>
      <w:tr w:rsidR="007A7C57" w:rsidRPr="00807DA6" w14:paraId="3D0444B1" w14:textId="77777777" w:rsidTr="00354141">
        <w:trPr>
          <w:trHeight w:val="612"/>
          <w:tblHeader/>
        </w:trPr>
        <w:tc>
          <w:tcPr>
            <w:tcW w:w="1237" w:type="pct"/>
            <w:tcBorders>
              <w:top w:val="nil"/>
              <w:left w:val="single" w:sz="12" w:space="0" w:color="375623"/>
              <w:bottom w:val="single" w:sz="12" w:space="0" w:color="375623"/>
              <w:right w:val="single" w:sz="4" w:space="0" w:color="auto"/>
            </w:tcBorders>
            <w:shd w:val="clear" w:color="000000" w:fill="E2EFD9"/>
            <w:vAlign w:val="center"/>
            <w:hideMark/>
          </w:tcPr>
          <w:p w14:paraId="58EB50F7"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China</w:t>
            </w:r>
          </w:p>
        </w:tc>
        <w:tc>
          <w:tcPr>
            <w:tcW w:w="533" w:type="pct"/>
            <w:tcBorders>
              <w:top w:val="single" w:sz="4" w:space="0" w:color="auto"/>
              <w:left w:val="nil"/>
              <w:bottom w:val="single" w:sz="12" w:space="0" w:color="375623"/>
              <w:right w:val="single" w:sz="4" w:space="0" w:color="auto"/>
            </w:tcBorders>
            <w:shd w:val="clear" w:color="000000" w:fill="E2EFD9"/>
            <w:vAlign w:val="center"/>
            <w:hideMark/>
          </w:tcPr>
          <w:p w14:paraId="568DF5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4" w:type="pct"/>
            <w:tcBorders>
              <w:top w:val="single" w:sz="4" w:space="0" w:color="auto"/>
              <w:left w:val="nil"/>
              <w:bottom w:val="single" w:sz="12" w:space="0" w:color="375623"/>
              <w:right w:val="single" w:sz="4" w:space="0" w:color="auto"/>
            </w:tcBorders>
            <w:shd w:val="clear" w:color="000000" w:fill="E2EFD9"/>
            <w:vAlign w:val="center"/>
            <w:hideMark/>
          </w:tcPr>
          <w:p w14:paraId="1EFF3EC8"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130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41183B93"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632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59B243BA"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265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26DD21CB"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0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0C663FD1"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769 </w:t>
            </w:r>
          </w:p>
        </w:tc>
        <w:tc>
          <w:tcPr>
            <w:tcW w:w="554" w:type="pct"/>
            <w:tcBorders>
              <w:top w:val="nil"/>
              <w:left w:val="nil"/>
              <w:bottom w:val="single" w:sz="12" w:space="0" w:color="375623"/>
              <w:right w:val="single" w:sz="12" w:space="0" w:color="375623"/>
            </w:tcBorders>
            <w:shd w:val="clear" w:color="000000" w:fill="E2EFD9"/>
            <w:vAlign w:val="center"/>
            <w:hideMark/>
          </w:tcPr>
          <w:p w14:paraId="49AAEAF3"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138 </w:t>
            </w:r>
          </w:p>
        </w:tc>
      </w:tr>
    </w:tbl>
    <w:p w14:paraId="67CC2106" w14:textId="77777777" w:rsidR="007A7C57" w:rsidRPr="00752CF2" w:rsidRDefault="007A7C57" w:rsidP="007A7C57">
      <w:pPr>
        <w:spacing w:line="360" w:lineRule="auto"/>
        <w:rPr>
          <w:rFonts w:eastAsiaTheme="minorEastAsia"/>
          <w:i/>
          <w:iCs/>
          <w:sz w:val="21"/>
          <w:szCs w:val="21"/>
        </w:rPr>
      </w:pPr>
      <w:r w:rsidRPr="00752CF2">
        <w:rPr>
          <w:rFonts w:eastAsiaTheme="minorEastAsia" w:hint="eastAsia"/>
          <w:i/>
          <w:iCs/>
          <w:sz w:val="21"/>
          <w:szCs w:val="21"/>
        </w:rPr>
        <w:lastRenderedPageBreak/>
        <w:t>S</w:t>
      </w:r>
      <w:r w:rsidRPr="00752CF2">
        <w:rPr>
          <w:rFonts w:eastAsiaTheme="minorEastAsia"/>
          <w:i/>
          <w:iCs/>
          <w:sz w:val="21"/>
          <w:szCs w:val="21"/>
        </w:rPr>
        <w:t>ource:</w:t>
      </w:r>
      <w:r>
        <w:rPr>
          <w:rFonts w:eastAsiaTheme="minorEastAsia"/>
          <w:i/>
          <w:iCs/>
          <w:sz w:val="21"/>
          <w:szCs w:val="21"/>
        </w:rPr>
        <w:t xml:space="preserve"> Tesla, </w:t>
      </w:r>
      <w:proofErr w:type="spellStart"/>
      <w:r>
        <w:rPr>
          <w:rFonts w:eastAsiaTheme="minorEastAsia"/>
          <w:i/>
          <w:iCs/>
          <w:sz w:val="21"/>
          <w:szCs w:val="21"/>
        </w:rPr>
        <w:t>ScrapeHero</w:t>
      </w:r>
      <w:proofErr w:type="spellEnd"/>
      <w:r>
        <w:rPr>
          <w:rFonts w:eastAsiaTheme="minorEastAsia"/>
          <w:i/>
          <w:iCs/>
          <w:sz w:val="21"/>
          <w:szCs w:val="21"/>
        </w:rPr>
        <w:t xml:space="preserve">, </w:t>
      </w:r>
      <w:proofErr w:type="spellStart"/>
      <w:r>
        <w:rPr>
          <w:rFonts w:eastAsiaTheme="minorEastAsia"/>
          <w:i/>
          <w:iCs/>
          <w:sz w:val="21"/>
          <w:szCs w:val="21"/>
        </w:rPr>
        <w:t>Datanify</w:t>
      </w:r>
      <w:proofErr w:type="spellEnd"/>
      <w:r>
        <w:rPr>
          <w:rFonts w:eastAsiaTheme="minorEastAsia"/>
          <w:i/>
          <w:iCs/>
          <w:sz w:val="21"/>
          <w:szCs w:val="21"/>
        </w:rPr>
        <w:t>, Automotive News Europe</w:t>
      </w:r>
    </w:p>
    <w:p w14:paraId="1D1BE482" w14:textId="2FDEF29C" w:rsidR="007A7C57" w:rsidRDefault="007A7C57" w:rsidP="006633E7">
      <w:pPr>
        <w:spacing w:line="360" w:lineRule="auto"/>
        <w:jc w:val="both"/>
        <w:rPr>
          <w:rFonts w:eastAsiaTheme="minorEastAsia"/>
        </w:rPr>
      </w:pPr>
      <w:r>
        <w:rPr>
          <w:rFonts w:eastAsiaTheme="minorEastAsia"/>
        </w:rPr>
        <w:t>Because Lotus is a UK-based sports car brand, the number of Lotus</w:t>
      </w:r>
      <w:r w:rsidR="004C5751">
        <w:rPr>
          <w:rFonts w:eastAsiaTheme="minorEastAsia"/>
        </w:rPr>
        <w:t>’</w:t>
      </w:r>
      <w:r>
        <w:rPr>
          <w:rFonts w:eastAsiaTheme="minorEastAsia"/>
        </w:rPr>
        <w:t>s existing stores in China is not significant. Lotus plans to rapidly expand its business and expects to have 130 stores in China by 2025. Compared to those historic brands like BMW and Benz, the number of Lotus</w:t>
      </w:r>
      <w:r w:rsidR="004C5751">
        <w:rPr>
          <w:rFonts w:eastAsiaTheme="minorEastAsia"/>
        </w:rPr>
        <w:t>’</w:t>
      </w:r>
      <w:r>
        <w:rPr>
          <w:rFonts w:eastAsiaTheme="minorEastAsia"/>
        </w:rPr>
        <w:t xml:space="preserve">s stores is still lagged far behind even after the expansion. But the gap may mainly because the models of BMW and Benz cover both luxury vehicles and regular vehicles. When compared to Tesla and Porsche, the </w:t>
      </w:r>
      <w:r w:rsidR="00CC7303">
        <w:rPr>
          <w:rFonts w:eastAsiaTheme="minorEastAsia"/>
        </w:rPr>
        <w:t>progress</w:t>
      </w:r>
      <w:r>
        <w:rPr>
          <w:rFonts w:eastAsiaTheme="minorEastAsia"/>
        </w:rPr>
        <w:t xml:space="preserve"> of Lotus</w:t>
      </w:r>
      <w:r w:rsidR="004C5751">
        <w:rPr>
          <w:rFonts w:eastAsiaTheme="minorEastAsia"/>
        </w:rPr>
        <w:t>’</w:t>
      </w:r>
      <w:r>
        <w:rPr>
          <w:rFonts w:eastAsiaTheme="minorEastAsia"/>
        </w:rPr>
        <w:t>s expansion is still considerable.</w:t>
      </w:r>
    </w:p>
    <w:p w14:paraId="521A1655" w14:textId="77777777" w:rsidR="007A7C57" w:rsidRPr="006633E7" w:rsidRDefault="007A7C57" w:rsidP="004F0B04">
      <w:pPr>
        <w:pStyle w:val="Heading2"/>
        <w:rPr>
          <w:b/>
        </w:rPr>
      </w:pPr>
      <w:bookmarkStart w:id="18" w:name="_Toc131092067"/>
      <w:r w:rsidRPr="006633E7">
        <w:rPr>
          <w:rFonts w:hint="eastAsia"/>
        </w:rPr>
        <w:t>2</w:t>
      </w:r>
      <w:r w:rsidRPr="006633E7">
        <w:t>.3 Revenue Forecast</w:t>
      </w:r>
      <w:bookmarkEnd w:id="18"/>
    </w:p>
    <w:p w14:paraId="4DD7A32E" w14:textId="77777777" w:rsidR="007A7C57" w:rsidRDefault="007A7C57" w:rsidP="006633E7">
      <w:pPr>
        <w:spacing w:line="360" w:lineRule="auto"/>
        <w:jc w:val="both"/>
        <w:rPr>
          <w:rFonts w:eastAsiaTheme="minorEastAsia"/>
        </w:rPr>
      </w:pPr>
      <w:r>
        <w:rPr>
          <w:rFonts w:eastAsiaTheme="minorEastAsia"/>
        </w:rPr>
        <w:t>Since Lotus devotes different efforts to different countries/regions, we need to give different market share assumptions for each country/region.</w:t>
      </w:r>
    </w:p>
    <w:p w14:paraId="649BEF8E" w14:textId="24226023" w:rsidR="007A7C57" w:rsidRDefault="007A7C57" w:rsidP="006633E7">
      <w:pPr>
        <w:spacing w:line="360" w:lineRule="auto"/>
        <w:jc w:val="both"/>
        <w:rPr>
          <w:rFonts w:eastAsiaTheme="minorEastAsia"/>
        </w:rPr>
      </w:pPr>
      <w:r>
        <w:rPr>
          <w:rFonts w:eastAsiaTheme="minorEastAsia" w:hint="eastAsia"/>
        </w:rPr>
        <w:t>Based</w:t>
      </w:r>
      <w:r>
        <w:rPr>
          <w:rFonts w:eastAsiaTheme="minorEastAsia"/>
        </w:rPr>
        <w:t xml:space="preserve"> on the number of Lotus</w:t>
      </w:r>
      <w:r w:rsidR="004C5751">
        <w:rPr>
          <w:rFonts w:eastAsiaTheme="minorEastAsia"/>
        </w:rPr>
        <w:t>’</w:t>
      </w:r>
      <w:r>
        <w:rPr>
          <w:rFonts w:eastAsiaTheme="minorEastAsia"/>
        </w:rPr>
        <w:t>s direct sales stores and dealerships in different regions and Lotus</w:t>
      </w:r>
      <w:r w:rsidR="004C5751">
        <w:rPr>
          <w:rFonts w:eastAsiaTheme="minorEastAsia"/>
        </w:rPr>
        <w:t>’</w:t>
      </w:r>
      <w:r>
        <w:rPr>
          <w:rFonts w:eastAsiaTheme="minorEastAsia"/>
        </w:rPr>
        <w:t>s technology advantages compared to other brands, we give the assumption of Lotus</w:t>
      </w:r>
      <w:r w:rsidR="004C5751">
        <w:rPr>
          <w:rFonts w:eastAsiaTheme="minorEastAsia"/>
        </w:rPr>
        <w:t>’</w:t>
      </w:r>
      <w:r>
        <w:rPr>
          <w:rFonts w:eastAsiaTheme="minorEastAsia"/>
        </w:rPr>
        <w:t>s market shares in different regions as follow.</w:t>
      </w:r>
    </w:p>
    <w:p w14:paraId="4D41FE3D" w14:textId="5A80F628"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10</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Assumption of Lotus</w:t>
      </w:r>
      <w:r w:rsidR="004C5751">
        <w:rPr>
          <w:rFonts w:ascii="Times New Roman" w:hAnsi="Times New Roman" w:cs="Times New Roman"/>
          <w:i/>
          <w:iCs/>
          <w:sz w:val="21"/>
          <w:szCs w:val="21"/>
        </w:rPr>
        <w:t>’</w:t>
      </w:r>
      <w:r w:rsidRPr="006633E7">
        <w:rPr>
          <w:rFonts w:ascii="Times New Roman" w:hAnsi="Times New Roman" w:cs="Times New Roman"/>
          <w:i/>
          <w:iCs/>
          <w:sz w:val="21"/>
          <w:szCs w:val="21"/>
        </w:rPr>
        <w:t>s market shares in different regions</w:t>
      </w:r>
    </w:p>
    <w:tbl>
      <w:tblPr>
        <w:tblW w:w="5000" w:type="pct"/>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4" w:space="0" w:color="auto"/>
          <w:insideV w:val="single" w:sz="4" w:space="0" w:color="auto"/>
        </w:tblBorders>
        <w:tblLook w:val="04A0" w:firstRow="1" w:lastRow="0" w:firstColumn="1" w:lastColumn="0" w:noHBand="0" w:noVBand="1"/>
      </w:tblPr>
      <w:tblGrid>
        <w:gridCol w:w="2022"/>
        <w:gridCol w:w="2204"/>
        <w:gridCol w:w="2204"/>
        <w:gridCol w:w="2566"/>
      </w:tblGrid>
      <w:tr w:rsidR="007A7C57" w:rsidRPr="00D218E4" w14:paraId="2E5586A9" w14:textId="77777777" w:rsidTr="006633E7">
        <w:trPr>
          <w:trHeight w:val="300"/>
        </w:trPr>
        <w:tc>
          <w:tcPr>
            <w:tcW w:w="1124" w:type="pct"/>
            <w:shd w:val="clear" w:color="000000" w:fill="003300"/>
            <w:vAlign w:val="center"/>
            <w:hideMark/>
          </w:tcPr>
          <w:p w14:paraId="77C35A53"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Market Share</w:t>
            </w:r>
          </w:p>
        </w:tc>
        <w:tc>
          <w:tcPr>
            <w:tcW w:w="1225" w:type="pct"/>
            <w:shd w:val="clear" w:color="000000" w:fill="003300"/>
            <w:vAlign w:val="center"/>
            <w:hideMark/>
          </w:tcPr>
          <w:p w14:paraId="1C6D1F23"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2023</w:t>
            </w:r>
          </w:p>
        </w:tc>
        <w:tc>
          <w:tcPr>
            <w:tcW w:w="1225" w:type="pct"/>
            <w:shd w:val="clear" w:color="000000" w:fill="003300"/>
            <w:vAlign w:val="center"/>
            <w:hideMark/>
          </w:tcPr>
          <w:p w14:paraId="2150344B"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2024</w:t>
            </w:r>
          </w:p>
        </w:tc>
        <w:tc>
          <w:tcPr>
            <w:tcW w:w="1426" w:type="pct"/>
            <w:shd w:val="clear" w:color="000000" w:fill="003300"/>
            <w:vAlign w:val="center"/>
            <w:hideMark/>
          </w:tcPr>
          <w:p w14:paraId="1CF2EC07"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2025</w:t>
            </w:r>
          </w:p>
        </w:tc>
      </w:tr>
      <w:tr w:rsidR="007A7C57" w:rsidRPr="00D218E4" w14:paraId="42B28E59" w14:textId="77777777" w:rsidTr="006633E7">
        <w:trPr>
          <w:trHeight w:val="300"/>
        </w:trPr>
        <w:tc>
          <w:tcPr>
            <w:tcW w:w="1124" w:type="pct"/>
            <w:shd w:val="clear" w:color="auto" w:fill="auto"/>
            <w:vAlign w:val="center"/>
            <w:hideMark/>
          </w:tcPr>
          <w:p w14:paraId="221BCB20" w14:textId="77777777" w:rsidR="007A7C57" w:rsidRPr="006633E7" w:rsidRDefault="007A7C57" w:rsidP="00354141">
            <w:pPr>
              <w:jc w:val="center"/>
              <w:rPr>
                <w:rFonts w:eastAsia="等线"/>
                <w:sz w:val="21"/>
                <w:szCs w:val="21"/>
              </w:rPr>
            </w:pPr>
            <w:r w:rsidRPr="006633E7">
              <w:rPr>
                <w:rFonts w:eastAsia="等线"/>
                <w:sz w:val="21"/>
                <w:szCs w:val="21"/>
              </w:rPr>
              <w:t>US</w:t>
            </w:r>
          </w:p>
        </w:tc>
        <w:tc>
          <w:tcPr>
            <w:tcW w:w="1225" w:type="pct"/>
            <w:shd w:val="clear" w:color="000000" w:fill="FFFFFF"/>
            <w:vAlign w:val="center"/>
            <w:hideMark/>
          </w:tcPr>
          <w:p w14:paraId="1F4C5A47"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4.1%</w:t>
            </w:r>
          </w:p>
        </w:tc>
        <w:tc>
          <w:tcPr>
            <w:tcW w:w="1225" w:type="pct"/>
            <w:shd w:val="clear" w:color="000000" w:fill="FFFFFF"/>
            <w:vAlign w:val="center"/>
            <w:hideMark/>
          </w:tcPr>
          <w:p w14:paraId="4F300C7D"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5.4%</w:t>
            </w:r>
          </w:p>
        </w:tc>
        <w:tc>
          <w:tcPr>
            <w:tcW w:w="1426" w:type="pct"/>
            <w:shd w:val="clear" w:color="000000" w:fill="FFFFFF"/>
            <w:vAlign w:val="center"/>
            <w:hideMark/>
          </w:tcPr>
          <w:p w14:paraId="015C082E"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7.0%</w:t>
            </w:r>
          </w:p>
        </w:tc>
      </w:tr>
      <w:tr w:rsidR="007A7C57" w:rsidRPr="00D218E4" w14:paraId="6F80F599" w14:textId="77777777" w:rsidTr="006633E7">
        <w:trPr>
          <w:trHeight w:val="300"/>
        </w:trPr>
        <w:tc>
          <w:tcPr>
            <w:tcW w:w="1124" w:type="pct"/>
            <w:shd w:val="clear" w:color="auto" w:fill="E2EFD9" w:themeFill="accent6" w:themeFillTint="33"/>
            <w:vAlign w:val="center"/>
            <w:hideMark/>
          </w:tcPr>
          <w:p w14:paraId="570BCAAB" w14:textId="77777777" w:rsidR="007A7C57" w:rsidRPr="006633E7" w:rsidRDefault="007A7C57" w:rsidP="00354141">
            <w:pPr>
              <w:jc w:val="center"/>
              <w:rPr>
                <w:rFonts w:eastAsia="等线"/>
                <w:sz w:val="21"/>
                <w:szCs w:val="21"/>
              </w:rPr>
            </w:pPr>
            <w:r w:rsidRPr="006633E7">
              <w:rPr>
                <w:rFonts w:eastAsia="等线"/>
                <w:sz w:val="21"/>
                <w:szCs w:val="21"/>
              </w:rPr>
              <w:t>UK</w:t>
            </w:r>
          </w:p>
        </w:tc>
        <w:tc>
          <w:tcPr>
            <w:tcW w:w="1225" w:type="pct"/>
            <w:shd w:val="clear" w:color="000000" w:fill="E2EFD9"/>
            <w:vAlign w:val="center"/>
            <w:hideMark/>
          </w:tcPr>
          <w:p w14:paraId="7A6ADB5C"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7.1%</w:t>
            </w:r>
          </w:p>
        </w:tc>
        <w:tc>
          <w:tcPr>
            <w:tcW w:w="1225" w:type="pct"/>
            <w:shd w:val="clear" w:color="000000" w:fill="E2EFD9"/>
            <w:vAlign w:val="center"/>
            <w:hideMark/>
          </w:tcPr>
          <w:p w14:paraId="706E3F12"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9.2%</w:t>
            </w:r>
          </w:p>
        </w:tc>
        <w:tc>
          <w:tcPr>
            <w:tcW w:w="1426" w:type="pct"/>
            <w:shd w:val="clear" w:color="000000" w:fill="E2EFD9"/>
            <w:vAlign w:val="center"/>
            <w:hideMark/>
          </w:tcPr>
          <w:p w14:paraId="5076900C"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12.0%</w:t>
            </w:r>
          </w:p>
        </w:tc>
      </w:tr>
      <w:tr w:rsidR="007A7C57" w:rsidRPr="00D218E4" w14:paraId="599DDF72" w14:textId="77777777" w:rsidTr="006633E7">
        <w:trPr>
          <w:trHeight w:val="300"/>
        </w:trPr>
        <w:tc>
          <w:tcPr>
            <w:tcW w:w="1124" w:type="pct"/>
            <w:shd w:val="clear" w:color="auto" w:fill="auto"/>
            <w:vAlign w:val="center"/>
            <w:hideMark/>
          </w:tcPr>
          <w:p w14:paraId="415AD53C" w14:textId="77777777" w:rsidR="007A7C57" w:rsidRPr="006633E7" w:rsidRDefault="007A7C57" w:rsidP="00354141">
            <w:pPr>
              <w:jc w:val="center"/>
              <w:rPr>
                <w:rFonts w:eastAsia="等线"/>
                <w:sz w:val="21"/>
                <w:szCs w:val="21"/>
              </w:rPr>
            </w:pPr>
            <w:r w:rsidRPr="006633E7">
              <w:rPr>
                <w:rFonts w:eastAsia="等线"/>
                <w:sz w:val="21"/>
                <w:szCs w:val="21"/>
              </w:rPr>
              <w:t>EU</w:t>
            </w:r>
          </w:p>
        </w:tc>
        <w:tc>
          <w:tcPr>
            <w:tcW w:w="1225" w:type="pct"/>
            <w:shd w:val="clear" w:color="000000" w:fill="FFFFFF"/>
            <w:vAlign w:val="center"/>
            <w:hideMark/>
          </w:tcPr>
          <w:p w14:paraId="54B332F1"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5.9%</w:t>
            </w:r>
          </w:p>
        </w:tc>
        <w:tc>
          <w:tcPr>
            <w:tcW w:w="1225" w:type="pct"/>
            <w:shd w:val="clear" w:color="000000" w:fill="FFFFFF"/>
            <w:vAlign w:val="center"/>
            <w:hideMark/>
          </w:tcPr>
          <w:p w14:paraId="79B620B6"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7.7%</w:t>
            </w:r>
          </w:p>
        </w:tc>
        <w:tc>
          <w:tcPr>
            <w:tcW w:w="1426" w:type="pct"/>
            <w:shd w:val="clear" w:color="000000" w:fill="FFFFFF"/>
            <w:vAlign w:val="center"/>
            <w:hideMark/>
          </w:tcPr>
          <w:p w14:paraId="5B11EC2A"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10.0%</w:t>
            </w:r>
          </w:p>
        </w:tc>
      </w:tr>
      <w:tr w:rsidR="007A7C57" w:rsidRPr="00D218E4" w14:paraId="6507F535" w14:textId="77777777" w:rsidTr="006633E7">
        <w:trPr>
          <w:trHeight w:val="300"/>
        </w:trPr>
        <w:tc>
          <w:tcPr>
            <w:tcW w:w="1124" w:type="pct"/>
            <w:shd w:val="clear" w:color="auto" w:fill="E2EFD9" w:themeFill="accent6" w:themeFillTint="33"/>
            <w:vAlign w:val="center"/>
            <w:hideMark/>
          </w:tcPr>
          <w:p w14:paraId="1892109A" w14:textId="77777777" w:rsidR="007A7C57" w:rsidRPr="006633E7" w:rsidRDefault="007A7C57" w:rsidP="00354141">
            <w:pPr>
              <w:jc w:val="center"/>
              <w:rPr>
                <w:rFonts w:eastAsia="等线"/>
                <w:sz w:val="21"/>
                <w:szCs w:val="21"/>
              </w:rPr>
            </w:pPr>
            <w:r w:rsidRPr="006633E7">
              <w:rPr>
                <w:rFonts w:eastAsia="等线"/>
                <w:sz w:val="21"/>
                <w:szCs w:val="21"/>
              </w:rPr>
              <w:t>China</w:t>
            </w:r>
          </w:p>
        </w:tc>
        <w:tc>
          <w:tcPr>
            <w:tcW w:w="1225" w:type="pct"/>
            <w:shd w:val="clear" w:color="000000" w:fill="E2EFD9"/>
            <w:vAlign w:val="center"/>
            <w:hideMark/>
          </w:tcPr>
          <w:p w14:paraId="3693A4E9"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8.9%</w:t>
            </w:r>
          </w:p>
        </w:tc>
        <w:tc>
          <w:tcPr>
            <w:tcW w:w="1225" w:type="pct"/>
            <w:shd w:val="clear" w:color="000000" w:fill="E2EFD9"/>
            <w:vAlign w:val="center"/>
            <w:hideMark/>
          </w:tcPr>
          <w:p w14:paraId="592A44A0"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11.5%</w:t>
            </w:r>
          </w:p>
        </w:tc>
        <w:tc>
          <w:tcPr>
            <w:tcW w:w="1426" w:type="pct"/>
            <w:shd w:val="clear" w:color="000000" w:fill="E2EFD9"/>
            <w:vAlign w:val="center"/>
            <w:hideMark/>
          </w:tcPr>
          <w:p w14:paraId="4597A0FD"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15.0%</w:t>
            </w:r>
          </w:p>
        </w:tc>
      </w:tr>
      <w:tr w:rsidR="007A7C57" w:rsidRPr="00D218E4" w14:paraId="7F0A86BC" w14:textId="77777777" w:rsidTr="006633E7">
        <w:trPr>
          <w:trHeight w:val="290"/>
        </w:trPr>
        <w:tc>
          <w:tcPr>
            <w:tcW w:w="1124" w:type="pct"/>
            <w:shd w:val="clear" w:color="auto" w:fill="auto"/>
            <w:vAlign w:val="center"/>
            <w:hideMark/>
          </w:tcPr>
          <w:p w14:paraId="7D56D049" w14:textId="77777777" w:rsidR="007A7C57" w:rsidRPr="006633E7" w:rsidRDefault="007A7C57" w:rsidP="00354141">
            <w:pPr>
              <w:jc w:val="center"/>
              <w:rPr>
                <w:rFonts w:eastAsia="等线"/>
                <w:sz w:val="21"/>
                <w:szCs w:val="21"/>
              </w:rPr>
            </w:pPr>
            <w:r w:rsidRPr="006633E7">
              <w:rPr>
                <w:rFonts w:eastAsia="等线"/>
                <w:sz w:val="21"/>
                <w:szCs w:val="21"/>
              </w:rPr>
              <w:t>ROW</w:t>
            </w:r>
          </w:p>
        </w:tc>
        <w:tc>
          <w:tcPr>
            <w:tcW w:w="1225" w:type="pct"/>
            <w:shd w:val="clear" w:color="000000" w:fill="FFFFFF"/>
            <w:vAlign w:val="center"/>
            <w:hideMark/>
          </w:tcPr>
          <w:p w14:paraId="06817F27"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2.4%</w:t>
            </w:r>
          </w:p>
        </w:tc>
        <w:tc>
          <w:tcPr>
            <w:tcW w:w="1225" w:type="pct"/>
            <w:shd w:val="clear" w:color="000000" w:fill="FFFFFF"/>
            <w:vAlign w:val="center"/>
            <w:hideMark/>
          </w:tcPr>
          <w:p w14:paraId="30F7ADBF"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3.1%</w:t>
            </w:r>
          </w:p>
        </w:tc>
        <w:tc>
          <w:tcPr>
            <w:tcW w:w="1426" w:type="pct"/>
            <w:shd w:val="clear" w:color="000000" w:fill="FFFFFF"/>
            <w:vAlign w:val="center"/>
            <w:hideMark/>
          </w:tcPr>
          <w:p w14:paraId="28D1432B"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4.0%</w:t>
            </w:r>
          </w:p>
        </w:tc>
      </w:tr>
    </w:tbl>
    <w:p w14:paraId="51DFCA64" w14:textId="77777777" w:rsidR="007A7C57" w:rsidRPr="00D218E4" w:rsidRDefault="007A7C57" w:rsidP="007A7C57">
      <w:pPr>
        <w:spacing w:line="360" w:lineRule="auto"/>
        <w:rPr>
          <w:rFonts w:eastAsiaTheme="minorEastAsia"/>
          <w:i/>
          <w:iCs/>
          <w:sz w:val="21"/>
          <w:szCs w:val="21"/>
        </w:rPr>
      </w:pPr>
      <w:r w:rsidRPr="00D218E4">
        <w:rPr>
          <w:rFonts w:eastAsiaTheme="minorEastAsia"/>
          <w:i/>
          <w:iCs/>
          <w:sz w:val="21"/>
          <w:szCs w:val="21"/>
        </w:rPr>
        <w:t>Source: Filings</w:t>
      </w:r>
    </w:p>
    <w:p w14:paraId="11642DFB" w14:textId="3F009AB4" w:rsidR="007A7C57" w:rsidRPr="00A0031C" w:rsidRDefault="007A7C57" w:rsidP="006633E7">
      <w:pPr>
        <w:spacing w:line="360" w:lineRule="auto"/>
        <w:jc w:val="both"/>
        <w:rPr>
          <w:rFonts w:eastAsiaTheme="minorEastAsia"/>
        </w:rPr>
      </w:pPr>
      <w:r>
        <w:rPr>
          <w:rFonts w:eastAsiaTheme="minorEastAsia" w:hint="eastAsia"/>
        </w:rPr>
        <w:t>C</w:t>
      </w:r>
      <w:r>
        <w:rPr>
          <w:rFonts w:eastAsiaTheme="minorEastAsia"/>
        </w:rPr>
        <w:t>ombined the predicted market shares and the predicted market size together, Lotus</w:t>
      </w:r>
      <w:r w:rsidR="004C5751">
        <w:rPr>
          <w:rFonts w:eastAsiaTheme="minorEastAsia"/>
        </w:rPr>
        <w:t>’</w:t>
      </w:r>
      <w:r>
        <w:rPr>
          <w:rFonts w:eastAsiaTheme="minorEastAsia"/>
        </w:rPr>
        <w:t xml:space="preserve">s expected </w:t>
      </w:r>
      <w:r w:rsidR="004C5751">
        <w:rPr>
          <w:rFonts w:eastAsiaTheme="minorEastAsia"/>
        </w:rPr>
        <w:t>r</w:t>
      </w:r>
      <w:r>
        <w:rPr>
          <w:rFonts w:eastAsiaTheme="minorEastAsia"/>
        </w:rPr>
        <w:t xml:space="preserve">evenue will be </w:t>
      </w:r>
      <w:r w:rsidR="00FF06C1" w:rsidRPr="00A93A26">
        <w:rPr>
          <w:rFonts w:eastAsiaTheme="minorEastAsia"/>
        </w:rPr>
        <w:t>1,639,099,606</w:t>
      </w:r>
      <w:r w:rsidRPr="00A93A26">
        <w:rPr>
          <w:rFonts w:eastAsiaTheme="minorEastAsia"/>
        </w:rPr>
        <w:t>/</w:t>
      </w:r>
      <w:r w:rsidR="00FF06C1" w:rsidRPr="00A93A26">
        <w:rPr>
          <w:rFonts w:eastAsiaTheme="minorEastAsia"/>
        </w:rPr>
        <w:t>3,069,412,187</w:t>
      </w:r>
      <w:r w:rsidRPr="00A93A26">
        <w:rPr>
          <w:rFonts w:eastAsiaTheme="minorEastAsia"/>
        </w:rPr>
        <w:t>/</w:t>
      </w:r>
      <w:r w:rsidR="00FF06C1" w:rsidRPr="00A93A26">
        <w:rPr>
          <w:rFonts w:eastAsiaTheme="minorEastAsia"/>
        </w:rPr>
        <w:t>5,785,051,465</w:t>
      </w:r>
      <w:r w:rsidRPr="00A0031C">
        <w:rPr>
          <w:rFonts w:eastAsiaTheme="minorEastAsia"/>
        </w:rPr>
        <w:t xml:space="preserve"> </w:t>
      </w:r>
      <w:r w:rsidR="00A93A26">
        <w:rPr>
          <w:rFonts w:eastAsiaTheme="minorEastAsia"/>
        </w:rPr>
        <w:t xml:space="preserve">USD </w:t>
      </w:r>
      <w:r>
        <w:rPr>
          <w:rFonts w:eastAsiaTheme="minorEastAsia"/>
        </w:rPr>
        <w:t>in 2023/2024/2025.</w:t>
      </w:r>
    </w:p>
    <w:p w14:paraId="4B44ACE2" w14:textId="77777777" w:rsidR="00995CC4" w:rsidRDefault="00C028FA" w:rsidP="004F0B04">
      <w:pPr>
        <w:pStyle w:val="Heading1"/>
      </w:pPr>
      <w:bookmarkStart w:id="19" w:name="_Toc131092068"/>
      <w:r>
        <w:t>3</w:t>
      </w:r>
      <w:r w:rsidR="000211E8" w:rsidRPr="000C72F5">
        <w:t xml:space="preserve">. </w:t>
      </w:r>
      <w:r w:rsidR="00252C52">
        <w:t>Valuation</w:t>
      </w:r>
      <w:bookmarkEnd w:id="19"/>
    </w:p>
    <w:p w14:paraId="24A92482" w14:textId="77777777" w:rsidR="00995CC4" w:rsidRDefault="00C028FA" w:rsidP="004F0B04">
      <w:pPr>
        <w:pStyle w:val="Heading2"/>
        <w:rPr>
          <w:b/>
        </w:rPr>
      </w:pPr>
      <w:bookmarkStart w:id="20" w:name="_Toc131092069"/>
      <w:r>
        <w:t>3</w:t>
      </w:r>
      <w:r w:rsidR="000211E8" w:rsidRPr="000C72F5">
        <w:t xml:space="preserve">.1 </w:t>
      </w:r>
      <w:r>
        <w:t>Selecting the Multiple</w:t>
      </w:r>
      <w:bookmarkEnd w:id="20"/>
    </w:p>
    <w:p w14:paraId="07EA50DE" w14:textId="48750A8B" w:rsidR="00C028FA" w:rsidRPr="002D08A0" w:rsidRDefault="002D08A0" w:rsidP="002C01CA">
      <w:pPr>
        <w:spacing w:line="360" w:lineRule="auto"/>
        <w:jc w:val="both"/>
        <w:rPr>
          <w:rFonts w:eastAsiaTheme="minorEastAsia"/>
        </w:rPr>
      </w:pPr>
      <w:r>
        <w:rPr>
          <w:rFonts w:eastAsiaTheme="minorEastAsia" w:hint="eastAsia"/>
        </w:rPr>
        <w:t>In</w:t>
      </w:r>
      <w:r>
        <w:rPr>
          <w:rFonts w:eastAsiaTheme="minorEastAsia"/>
        </w:rPr>
        <w:t xml:space="preserve"> the EV industry, the market approach of valuation usually choose</w:t>
      </w:r>
      <w:r w:rsidR="00F01977">
        <w:rPr>
          <w:rFonts w:eastAsiaTheme="minorEastAsia"/>
        </w:rPr>
        <w:t>s</w:t>
      </w:r>
      <w:r>
        <w:rPr>
          <w:rFonts w:eastAsiaTheme="minorEastAsia"/>
        </w:rPr>
        <w:t xml:space="preserve"> </w:t>
      </w:r>
      <w:r w:rsidR="004C5751">
        <w:rPr>
          <w:rFonts w:eastAsiaTheme="minorEastAsia"/>
        </w:rPr>
        <w:t>r</w:t>
      </w:r>
      <w:r>
        <w:rPr>
          <w:rFonts w:eastAsiaTheme="minorEastAsia"/>
        </w:rPr>
        <w:t>evenue multiple as most companies are not yet profiting due to the universal low margin in the industry. The acquisition of Lotus also appl</w:t>
      </w:r>
      <w:r w:rsidR="00F01977">
        <w:rPr>
          <w:rFonts w:eastAsiaTheme="minorEastAsia"/>
        </w:rPr>
        <w:t xml:space="preserve">ies </w:t>
      </w:r>
      <w:r w:rsidR="004C5751">
        <w:rPr>
          <w:rFonts w:eastAsiaTheme="minorEastAsia"/>
        </w:rPr>
        <w:t>r</w:t>
      </w:r>
      <w:r w:rsidR="00F01977">
        <w:rPr>
          <w:rFonts w:eastAsiaTheme="minorEastAsia"/>
        </w:rPr>
        <w:t>evenue multiple as the valuation methodology and</w:t>
      </w:r>
      <w:r>
        <w:rPr>
          <w:rFonts w:eastAsiaTheme="minorEastAsia"/>
        </w:rPr>
        <w:t xml:space="preserve"> 0.9x 2024E revenue or 0.6x 2025E revenue to the deal, implying </w:t>
      </w:r>
      <w:r w:rsidR="00F01977">
        <w:rPr>
          <w:rFonts w:eastAsiaTheme="minorEastAsia"/>
        </w:rPr>
        <w:t xml:space="preserve">an </w:t>
      </w:r>
      <w:r>
        <w:rPr>
          <w:rFonts w:eastAsiaTheme="minorEastAsia"/>
        </w:rPr>
        <w:t>EV of US$ 5,447 million.</w:t>
      </w:r>
    </w:p>
    <w:p w14:paraId="432D0C9F" w14:textId="77777777" w:rsidR="00C028FA" w:rsidRDefault="00C028FA" w:rsidP="004F0B04">
      <w:pPr>
        <w:pStyle w:val="Heading2"/>
        <w:rPr>
          <w:b/>
        </w:rPr>
      </w:pPr>
      <w:bookmarkStart w:id="21" w:name="_Toc131092070"/>
      <w:r>
        <w:lastRenderedPageBreak/>
        <w:t>3</w:t>
      </w:r>
      <w:r w:rsidRPr="000C72F5">
        <w:t>.</w:t>
      </w:r>
      <w:r>
        <w:t>2</w:t>
      </w:r>
      <w:r w:rsidRPr="000C72F5">
        <w:t xml:space="preserve"> </w:t>
      </w:r>
      <w:proofErr w:type="spellStart"/>
      <w:r>
        <w:t>Comparables</w:t>
      </w:r>
      <w:proofErr w:type="spellEnd"/>
      <w:r>
        <w:t xml:space="preserve"> and Target Range</w:t>
      </w:r>
      <w:bookmarkEnd w:id="21"/>
    </w:p>
    <w:p w14:paraId="3249FD8A" w14:textId="77777777" w:rsidR="00CF14DA" w:rsidRDefault="00CF14DA" w:rsidP="002C01CA">
      <w:pPr>
        <w:spacing w:line="360" w:lineRule="auto"/>
        <w:jc w:val="both"/>
        <w:rPr>
          <w:rFonts w:eastAsiaTheme="minorEastAsia"/>
        </w:rPr>
      </w:pPr>
      <w:r>
        <w:rPr>
          <w:rFonts w:eastAsiaTheme="minorEastAsia" w:hint="eastAsia"/>
        </w:rPr>
        <w:t>We</w:t>
      </w:r>
      <w:r>
        <w:rPr>
          <w:rFonts w:eastAsiaTheme="minorEastAsia"/>
        </w:rPr>
        <w:t xml:space="preserve"> put the comparable companies into </w:t>
      </w:r>
      <w:r w:rsidR="00F01977">
        <w:rPr>
          <w:rFonts w:eastAsiaTheme="minorEastAsia"/>
        </w:rPr>
        <w:t>two</w:t>
      </w:r>
      <w:r>
        <w:rPr>
          <w:rFonts w:eastAsiaTheme="minorEastAsia"/>
        </w:rPr>
        <w:t xml:space="preserve"> groups to weigh their comparability. As a pure</w:t>
      </w:r>
      <w:r w:rsidR="00F01977">
        <w:rPr>
          <w:rFonts w:eastAsiaTheme="minorEastAsia"/>
        </w:rPr>
        <w:t>-</w:t>
      </w:r>
      <w:r>
        <w:rPr>
          <w:rFonts w:eastAsiaTheme="minorEastAsia"/>
        </w:rPr>
        <w:t xml:space="preserve">play EV company, Lotus is more comparable to listed EV manufacturers. </w:t>
      </w:r>
    </w:p>
    <w:p w14:paraId="5B905F70" w14:textId="20703C24" w:rsidR="00CF14DA" w:rsidRPr="0039408A" w:rsidRDefault="00CF14DA" w:rsidP="005F75D1">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11</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Comparable Companies</w:t>
      </w:r>
    </w:p>
    <w:tbl>
      <w:tblPr>
        <w:tblStyle w:val="IBSG1"/>
        <w:tblpPr w:leftFromText="180" w:rightFromText="180" w:vertAnchor="text" w:horzAnchor="margin" w:tblpY="2"/>
        <w:tblW w:w="5000" w:type="pct"/>
        <w:tblBorders>
          <w:top w:val="single" w:sz="12" w:space="0" w:color="003300"/>
          <w:left w:val="single" w:sz="12" w:space="0" w:color="003300"/>
          <w:bottom w:val="single" w:sz="12" w:space="0" w:color="003300"/>
          <w:right w:val="single" w:sz="12" w:space="0" w:color="003300"/>
        </w:tblBorders>
        <w:tblLook w:val="04A0" w:firstRow="1" w:lastRow="0" w:firstColumn="1" w:lastColumn="0" w:noHBand="0" w:noVBand="1"/>
      </w:tblPr>
      <w:tblGrid>
        <w:gridCol w:w="2275"/>
        <w:gridCol w:w="4449"/>
        <w:gridCol w:w="2272"/>
      </w:tblGrid>
      <w:tr w:rsidR="00CF14DA" w:rsidRPr="0039408A" w14:paraId="634FDCA3"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noWrap/>
            <w:vAlign w:val="center"/>
          </w:tcPr>
          <w:p w14:paraId="4CAA3064" w14:textId="77777777" w:rsidR="00CF14DA" w:rsidRPr="0039408A" w:rsidRDefault="00CF14DA" w:rsidP="00FA19B1">
            <w:pPr>
              <w:spacing w:line="360" w:lineRule="auto"/>
              <w:jc w:val="center"/>
              <w:rPr>
                <w:rFonts w:eastAsiaTheme="minorEastAsia"/>
                <w:b w:val="0"/>
                <w:bCs/>
                <w:szCs w:val="21"/>
              </w:rPr>
            </w:pPr>
            <w:r w:rsidRPr="0039408A">
              <w:rPr>
                <w:rFonts w:eastAsiaTheme="minorEastAsia"/>
                <w:color w:val="auto"/>
                <w:sz w:val="21"/>
                <w:szCs w:val="21"/>
              </w:rPr>
              <w:t>Stock Ticker</w:t>
            </w:r>
          </w:p>
        </w:tc>
        <w:tc>
          <w:tcPr>
            <w:tcW w:w="2473" w:type="pct"/>
            <w:vAlign w:val="center"/>
          </w:tcPr>
          <w:p w14:paraId="380F4AF7" w14:textId="77777777" w:rsidR="00CF14DA" w:rsidRPr="0039408A" w:rsidRDefault="00CF14DA" w:rsidP="00FA19B1">
            <w:pPr>
              <w:spacing w:line="360" w:lineRule="auto"/>
              <w:jc w:val="center"/>
              <w:rPr>
                <w:rFonts w:eastAsiaTheme="minorEastAsia"/>
                <w:b w:val="0"/>
                <w:bCs/>
                <w:szCs w:val="21"/>
              </w:rPr>
            </w:pPr>
            <w:r w:rsidRPr="0039408A">
              <w:rPr>
                <w:color w:val="auto"/>
                <w:sz w:val="21"/>
                <w:szCs w:val="21"/>
              </w:rPr>
              <w:t>Company Name</w:t>
            </w:r>
          </w:p>
        </w:tc>
        <w:tc>
          <w:tcPr>
            <w:tcW w:w="1263" w:type="pct"/>
            <w:vAlign w:val="center"/>
          </w:tcPr>
          <w:p w14:paraId="3DBBA904" w14:textId="77777777" w:rsidR="00CF14DA" w:rsidRPr="0039408A" w:rsidRDefault="00CF14DA" w:rsidP="00FA19B1">
            <w:pPr>
              <w:spacing w:line="360" w:lineRule="auto"/>
              <w:jc w:val="center"/>
              <w:rPr>
                <w:rFonts w:eastAsiaTheme="minorEastAsia"/>
                <w:bCs/>
                <w:szCs w:val="21"/>
              </w:rPr>
            </w:pPr>
            <w:r w:rsidRPr="0039408A">
              <w:rPr>
                <w:color w:val="auto"/>
                <w:sz w:val="21"/>
                <w:szCs w:val="21"/>
              </w:rPr>
              <w:t xml:space="preserve">EV/Revenue </w:t>
            </w:r>
          </w:p>
        </w:tc>
      </w:tr>
      <w:tr w:rsidR="00CF14DA" w:rsidRPr="0039408A" w14:paraId="151DBC6C"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09D03F6C" w14:textId="77777777" w:rsidR="00CF14DA" w:rsidRPr="0039408A" w:rsidRDefault="00CF14DA" w:rsidP="00FA19B1">
            <w:pPr>
              <w:jc w:val="center"/>
              <w:rPr>
                <w:rFonts w:eastAsiaTheme="minorEastAsia"/>
                <w:color w:val="auto"/>
                <w:szCs w:val="21"/>
              </w:rPr>
            </w:pPr>
            <w:bookmarkStart w:id="22" w:name="_Hlk124942098"/>
            <w:r w:rsidRPr="0039408A">
              <w:rPr>
                <w:color w:val="auto"/>
                <w:sz w:val="21"/>
                <w:szCs w:val="21"/>
              </w:rPr>
              <w:t>Pure Play EV Manufacturers</w:t>
            </w:r>
          </w:p>
        </w:tc>
      </w:tr>
      <w:tr w:rsidR="00CF14DA" w:rsidRPr="0039408A" w14:paraId="4406A087"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30D238D4"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2473" w:type="pct"/>
            <w:shd w:val="clear" w:color="auto" w:fill="auto"/>
            <w:noWrap/>
            <w:vAlign w:val="center"/>
            <w:hideMark/>
          </w:tcPr>
          <w:p w14:paraId="0BDADC55"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1263" w:type="pct"/>
            <w:shd w:val="clear" w:color="auto" w:fill="auto"/>
            <w:noWrap/>
            <w:vAlign w:val="center"/>
            <w:hideMark/>
          </w:tcPr>
          <w:p w14:paraId="66436F03" w14:textId="77777777" w:rsidR="00CF14DA" w:rsidRPr="0039408A" w:rsidRDefault="00CF14DA" w:rsidP="00FA19B1">
            <w:pPr>
              <w:jc w:val="right"/>
              <w:rPr>
                <w:b w:val="0"/>
                <w:bCs/>
                <w:color w:val="000000"/>
                <w:szCs w:val="21"/>
              </w:rPr>
            </w:pPr>
            <w:r w:rsidRPr="0039408A">
              <w:rPr>
                <w:b w:val="0"/>
                <w:bCs/>
                <w:color w:val="000000"/>
                <w:sz w:val="21"/>
                <w:szCs w:val="21"/>
              </w:rPr>
              <w:t>2.52</w:t>
            </w:r>
          </w:p>
        </w:tc>
      </w:tr>
      <w:tr w:rsidR="00CF14DA" w:rsidRPr="0039408A" w14:paraId="4DDC5CF4"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4D493E19" w14:textId="77777777" w:rsidR="00CF14DA" w:rsidRPr="0039408A" w:rsidRDefault="00CF14DA" w:rsidP="00FA19B1">
            <w:pPr>
              <w:jc w:val="both"/>
              <w:rPr>
                <w:b w:val="0"/>
                <w:bCs/>
                <w:color w:val="000000"/>
                <w:szCs w:val="21"/>
              </w:rPr>
            </w:pPr>
            <w:r w:rsidRPr="0039408A">
              <w:rPr>
                <w:b w:val="0"/>
                <w:bCs/>
                <w:color w:val="000000"/>
                <w:sz w:val="21"/>
                <w:szCs w:val="21"/>
              </w:rPr>
              <w:t>TSLA.OQ</w:t>
            </w:r>
          </w:p>
        </w:tc>
        <w:tc>
          <w:tcPr>
            <w:tcW w:w="2473" w:type="pct"/>
            <w:shd w:val="clear" w:color="auto" w:fill="auto"/>
            <w:noWrap/>
            <w:vAlign w:val="center"/>
            <w:hideMark/>
          </w:tcPr>
          <w:p w14:paraId="0DE023DF" w14:textId="77777777" w:rsidR="00CF14DA" w:rsidRPr="0039408A" w:rsidRDefault="00CF14DA" w:rsidP="00FA19B1">
            <w:pPr>
              <w:jc w:val="both"/>
              <w:rPr>
                <w:b w:val="0"/>
                <w:bCs/>
                <w:color w:val="000000"/>
                <w:szCs w:val="21"/>
              </w:rPr>
            </w:pPr>
            <w:r w:rsidRPr="0039408A">
              <w:rPr>
                <w:b w:val="0"/>
                <w:bCs/>
                <w:color w:val="000000"/>
                <w:sz w:val="21"/>
                <w:szCs w:val="21"/>
              </w:rPr>
              <w:t>Tesla</w:t>
            </w:r>
          </w:p>
        </w:tc>
        <w:tc>
          <w:tcPr>
            <w:tcW w:w="1263" w:type="pct"/>
            <w:shd w:val="clear" w:color="auto" w:fill="auto"/>
            <w:noWrap/>
            <w:vAlign w:val="center"/>
          </w:tcPr>
          <w:p w14:paraId="6ACCCCDE" w14:textId="77777777" w:rsidR="00CF14DA" w:rsidRPr="0039408A" w:rsidRDefault="00CF14DA" w:rsidP="00FA19B1">
            <w:pPr>
              <w:jc w:val="right"/>
              <w:rPr>
                <w:b w:val="0"/>
                <w:bCs/>
                <w:color w:val="000000"/>
                <w:szCs w:val="21"/>
              </w:rPr>
            </w:pPr>
            <w:r w:rsidRPr="0039408A">
              <w:rPr>
                <w:b w:val="0"/>
                <w:bCs/>
                <w:color w:val="000000"/>
                <w:sz w:val="21"/>
                <w:szCs w:val="21"/>
              </w:rPr>
              <w:t>7.49</w:t>
            </w:r>
          </w:p>
        </w:tc>
      </w:tr>
      <w:tr w:rsidR="00CF14DA" w:rsidRPr="0039408A" w14:paraId="7F17A7B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hideMark/>
          </w:tcPr>
          <w:p w14:paraId="19E6E3AB" w14:textId="77777777" w:rsidR="00CF14DA" w:rsidRPr="0039408A" w:rsidRDefault="00CF14DA" w:rsidP="00FA19B1">
            <w:pPr>
              <w:jc w:val="both"/>
              <w:rPr>
                <w:b w:val="0"/>
                <w:bCs/>
                <w:color w:val="000000"/>
                <w:szCs w:val="21"/>
              </w:rPr>
            </w:pPr>
            <w:r w:rsidRPr="0039408A">
              <w:rPr>
                <w:b w:val="0"/>
                <w:bCs/>
                <w:color w:val="000000"/>
                <w:sz w:val="21"/>
                <w:szCs w:val="21"/>
              </w:rPr>
              <w:t>XPEV.N</w:t>
            </w:r>
          </w:p>
        </w:tc>
        <w:tc>
          <w:tcPr>
            <w:tcW w:w="2473" w:type="pct"/>
            <w:shd w:val="clear" w:color="auto" w:fill="auto"/>
            <w:noWrap/>
            <w:vAlign w:val="center"/>
            <w:hideMark/>
          </w:tcPr>
          <w:p w14:paraId="49B8E798" w14:textId="77777777" w:rsidR="00CF14DA" w:rsidRPr="0039408A" w:rsidRDefault="00CF14DA" w:rsidP="00FA19B1">
            <w:pPr>
              <w:jc w:val="both"/>
              <w:rPr>
                <w:b w:val="0"/>
                <w:bCs/>
                <w:color w:val="000000"/>
                <w:szCs w:val="21"/>
              </w:rPr>
            </w:pPr>
            <w:r w:rsidRPr="0039408A">
              <w:rPr>
                <w:b w:val="0"/>
                <w:bCs/>
                <w:color w:val="000000"/>
                <w:sz w:val="21"/>
                <w:szCs w:val="21"/>
              </w:rPr>
              <w:t>Xpeng</w:t>
            </w:r>
          </w:p>
        </w:tc>
        <w:tc>
          <w:tcPr>
            <w:tcW w:w="1263" w:type="pct"/>
            <w:shd w:val="clear" w:color="auto" w:fill="auto"/>
            <w:noWrap/>
            <w:vAlign w:val="center"/>
          </w:tcPr>
          <w:p w14:paraId="55998F34" w14:textId="77777777" w:rsidR="00CF14DA" w:rsidRPr="0039408A" w:rsidRDefault="00CF14DA" w:rsidP="00FA19B1">
            <w:pPr>
              <w:jc w:val="right"/>
              <w:rPr>
                <w:b w:val="0"/>
                <w:bCs/>
                <w:color w:val="000000"/>
                <w:szCs w:val="21"/>
              </w:rPr>
            </w:pPr>
            <w:r w:rsidRPr="0039408A">
              <w:rPr>
                <w:b w:val="0"/>
                <w:bCs/>
                <w:color w:val="000000"/>
                <w:sz w:val="21"/>
                <w:szCs w:val="21"/>
              </w:rPr>
              <w:t>2.40</w:t>
            </w:r>
          </w:p>
        </w:tc>
      </w:tr>
      <w:tr w:rsidR="00CF14DA" w:rsidRPr="0039408A" w14:paraId="2F9D06DB"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4988F70F" w14:textId="77777777" w:rsidR="00CF14DA" w:rsidRPr="0039408A" w:rsidRDefault="00CF14DA" w:rsidP="00FA19B1">
            <w:pPr>
              <w:jc w:val="both"/>
              <w:rPr>
                <w:b w:val="0"/>
                <w:bCs/>
                <w:color w:val="000000"/>
                <w:szCs w:val="21"/>
              </w:rPr>
            </w:pPr>
            <w:r w:rsidRPr="0039408A">
              <w:rPr>
                <w:b w:val="0"/>
                <w:bCs/>
                <w:color w:val="000000"/>
                <w:sz w:val="21"/>
                <w:szCs w:val="21"/>
              </w:rPr>
              <w:t>LI.OQ</w:t>
            </w:r>
          </w:p>
        </w:tc>
        <w:tc>
          <w:tcPr>
            <w:tcW w:w="2473" w:type="pct"/>
            <w:shd w:val="clear" w:color="auto" w:fill="auto"/>
            <w:noWrap/>
            <w:vAlign w:val="center"/>
          </w:tcPr>
          <w:p w14:paraId="267AD87C" w14:textId="77777777" w:rsidR="00CF14DA" w:rsidRPr="0039408A" w:rsidRDefault="00CF14DA" w:rsidP="00FA19B1">
            <w:pPr>
              <w:jc w:val="both"/>
              <w:rPr>
                <w:b w:val="0"/>
                <w:bCs/>
                <w:color w:val="000000"/>
                <w:szCs w:val="21"/>
              </w:rPr>
            </w:pPr>
            <w:r w:rsidRPr="0039408A">
              <w:rPr>
                <w:b w:val="0"/>
                <w:bCs/>
                <w:color w:val="000000"/>
                <w:sz w:val="21"/>
                <w:szCs w:val="21"/>
              </w:rPr>
              <w:t>Li Auto</w:t>
            </w:r>
          </w:p>
        </w:tc>
        <w:tc>
          <w:tcPr>
            <w:tcW w:w="1263" w:type="pct"/>
            <w:shd w:val="clear" w:color="auto" w:fill="auto"/>
            <w:noWrap/>
            <w:vAlign w:val="center"/>
          </w:tcPr>
          <w:p w14:paraId="51CFE550" w14:textId="77777777" w:rsidR="00CF14DA" w:rsidRPr="0039408A" w:rsidRDefault="00CF14DA" w:rsidP="00FA19B1">
            <w:pPr>
              <w:jc w:val="right"/>
              <w:rPr>
                <w:b w:val="0"/>
                <w:bCs/>
                <w:color w:val="000000"/>
                <w:szCs w:val="21"/>
              </w:rPr>
            </w:pPr>
            <w:r w:rsidRPr="0039408A">
              <w:rPr>
                <w:b w:val="0"/>
                <w:bCs/>
                <w:color w:val="000000"/>
                <w:sz w:val="21"/>
                <w:szCs w:val="21"/>
              </w:rPr>
              <w:t>4.10</w:t>
            </w:r>
          </w:p>
        </w:tc>
      </w:tr>
      <w:tr w:rsidR="00CF14DA" w:rsidRPr="0039408A" w14:paraId="6949EC1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61CBC67" w14:textId="77777777" w:rsidR="00CF14DA" w:rsidRPr="0039408A" w:rsidRDefault="00CF14DA" w:rsidP="00FA19B1">
            <w:pPr>
              <w:jc w:val="both"/>
              <w:rPr>
                <w:b w:val="0"/>
                <w:bCs/>
                <w:color w:val="000000"/>
                <w:szCs w:val="21"/>
              </w:rPr>
            </w:pPr>
            <w:r w:rsidRPr="0039408A">
              <w:rPr>
                <w:b w:val="0"/>
                <w:bCs/>
                <w:color w:val="000000"/>
                <w:sz w:val="21"/>
                <w:szCs w:val="21"/>
              </w:rPr>
              <w:t>9863.HK</w:t>
            </w:r>
          </w:p>
        </w:tc>
        <w:tc>
          <w:tcPr>
            <w:tcW w:w="2473" w:type="pct"/>
            <w:shd w:val="clear" w:color="auto" w:fill="auto"/>
            <w:noWrap/>
            <w:vAlign w:val="center"/>
          </w:tcPr>
          <w:p w14:paraId="077481C8" w14:textId="77777777" w:rsidR="00CF14DA" w:rsidRPr="0039408A" w:rsidRDefault="00CF14DA" w:rsidP="00FA19B1">
            <w:pPr>
              <w:jc w:val="both"/>
              <w:rPr>
                <w:b w:val="0"/>
                <w:bCs/>
                <w:color w:val="000000"/>
                <w:szCs w:val="21"/>
                <w:lang w:eastAsia="zh-TW"/>
              </w:rPr>
            </w:pPr>
            <w:r w:rsidRPr="0039408A">
              <w:rPr>
                <w:b w:val="0"/>
                <w:bCs/>
                <w:color w:val="000000"/>
                <w:sz w:val="21"/>
                <w:szCs w:val="21"/>
                <w:lang w:eastAsia="zh-TW"/>
              </w:rPr>
              <w:t>Zhejiang Leapmotor</w:t>
            </w:r>
          </w:p>
        </w:tc>
        <w:tc>
          <w:tcPr>
            <w:tcW w:w="1263" w:type="pct"/>
            <w:shd w:val="clear" w:color="auto" w:fill="auto"/>
            <w:noWrap/>
            <w:vAlign w:val="center"/>
          </w:tcPr>
          <w:p w14:paraId="1BA37847" w14:textId="77777777" w:rsidR="00CF14DA" w:rsidRPr="0039408A" w:rsidRDefault="00CF14DA" w:rsidP="00FA19B1">
            <w:pPr>
              <w:jc w:val="right"/>
              <w:rPr>
                <w:b w:val="0"/>
                <w:bCs/>
                <w:color w:val="000000"/>
                <w:szCs w:val="21"/>
              </w:rPr>
            </w:pPr>
            <w:r w:rsidRPr="0039408A">
              <w:rPr>
                <w:b w:val="0"/>
                <w:bCs/>
                <w:color w:val="000000"/>
                <w:sz w:val="21"/>
                <w:szCs w:val="21"/>
              </w:rPr>
              <w:t>4.24</w:t>
            </w:r>
          </w:p>
        </w:tc>
      </w:tr>
      <w:tr w:rsidR="00CF14DA" w:rsidRPr="0039408A" w14:paraId="41B21388"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53F4412B" w14:textId="77777777" w:rsidR="00CF14DA" w:rsidRPr="0039408A" w:rsidRDefault="00CF14DA" w:rsidP="00FA19B1">
            <w:pPr>
              <w:jc w:val="both"/>
              <w:rPr>
                <w:b w:val="0"/>
                <w:bCs/>
                <w:color w:val="000000"/>
                <w:szCs w:val="21"/>
              </w:rPr>
            </w:pPr>
            <w:r w:rsidRPr="0039408A">
              <w:rPr>
                <w:b w:val="0"/>
                <w:bCs/>
                <w:color w:val="000000"/>
                <w:sz w:val="21"/>
                <w:szCs w:val="21"/>
              </w:rPr>
              <w:t>1211.HK</w:t>
            </w:r>
          </w:p>
        </w:tc>
        <w:tc>
          <w:tcPr>
            <w:tcW w:w="2473" w:type="pct"/>
            <w:shd w:val="clear" w:color="auto" w:fill="auto"/>
            <w:noWrap/>
            <w:vAlign w:val="center"/>
          </w:tcPr>
          <w:p w14:paraId="5C74FBA4"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BYD</w:t>
            </w:r>
          </w:p>
        </w:tc>
        <w:tc>
          <w:tcPr>
            <w:tcW w:w="1263" w:type="pct"/>
            <w:shd w:val="clear" w:color="auto" w:fill="auto"/>
            <w:noWrap/>
            <w:vAlign w:val="center"/>
          </w:tcPr>
          <w:p w14:paraId="0EE6A76F" w14:textId="77777777" w:rsidR="00CF14DA" w:rsidRPr="0039408A" w:rsidRDefault="00CF14DA" w:rsidP="00FA19B1">
            <w:pPr>
              <w:jc w:val="right"/>
              <w:rPr>
                <w:b w:val="0"/>
                <w:bCs/>
                <w:color w:val="000000"/>
                <w:szCs w:val="21"/>
              </w:rPr>
            </w:pPr>
            <w:r w:rsidRPr="0039408A">
              <w:rPr>
                <w:b w:val="0"/>
                <w:bCs/>
                <w:color w:val="000000"/>
                <w:sz w:val="21"/>
                <w:szCs w:val="21"/>
              </w:rPr>
              <w:t>2.13</w:t>
            </w:r>
          </w:p>
        </w:tc>
      </w:tr>
      <w:tr w:rsidR="00CF14DA" w:rsidRPr="0039408A" w14:paraId="122BC35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67A429D0" w14:textId="77777777" w:rsidR="00CF14DA" w:rsidRPr="0039408A" w:rsidRDefault="00CF14DA" w:rsidP="00FA19B1">
            <w:pPr>
              <w:jc w:val="both"/>
              <w:rPr>
                <w:b w:val="0"/>
                <w:bCs/>
                <w:color w:val="000000"/>
                <w:szCs w:val="21"/>
              </w:rPr>
            </w:pPr>
            <w:r w:rsidRPr="0039408A">
              <w:rPr>
                <w:b w:val="0"/>
                <w:bCs/>
                <w:color w:val="000000"/>
                <w:sz w:val="21"/>
                <w:szCs w:val="21"/>
              </w:rPr>
              <w:t>600733.SH</w:t>
            </w:r>
          </w:p>
        </w:tc>
        <w:tc>
          <w:tcPr>
            <w:tcW w:w="2473" w:type="pct"/>
            <w:shd w:val="clear" w:color="auto" w:fill="auto"/>
            <w:noWrap/>
            <w:vAlign w:val="center"/>
          </w:tcPr>
          <w:p w14:paraId="1FE4EF80" w14:textId="77777777" w:rsidR="00CF14DA" w:rsidRPr="0039408A" w:rsidRDefault="00CF14DA" w:rsidP="00FA19B1">
            <w:pPr>
              <w:jc w:val="both"/>
              <w:rPr>
                <w:rFonts w:eastAsiaTheme="minorEastAsia"/>
                <w:b w:val="0"/>
                <w:bCs/>
                <w:color w:val="000000"/>
                <w:szCs w:val="21"/>
              </w:rPr>
            </w:pPr>
            <w:r w:rsidRPr="0039408A">
              <w:rPr>
                <w:rFonts w:eastAsiaTheme="minorEastAsia" w:hint="eastAsia"/>
                <w:b w:val="0"/>
                <w:bCs/>
                <w:color w:val="000000"/>
                <w:sz w:val="21"/>
                <w:szCs w:val="21"/>
              </w:rPr>
              <w:t>B</w:t>
            </w:r>
            <w:r w:rsidRPr="0039408A">
              <w:rPr>
                <w:rFonts w:eastAsiaTheme="minorEastAsia"/>
                <w:b w:val="0"/>
                <w:bCs/>
                <w:color w:val="000000"/>
                <w:sz w:val="21"/>
                <w:szCs w:val="21"/>
              </w:rPr>
              <w:t>JEV</w:t>
            </w:r>
          </w:p>
        </w:tc>
        <w:tc>
          <w:tcPr>
            <w:tcW w:w="1263" w:type="pct"/>
            <w:shd w:val="clear" w:color="auto" w:fill="auto"/>
            <w:noWrap/>
            <w:vAlign w:val="center"/>
          </w:tcPr>
          <w:p w14:paraId="2CC4BA4C" w14:textId="77777777" w:rsidR="00CF14DA" w:rsidRPr="0039408A" w:rsidRDefault="00CF14DA" w:rsidP="00FA19B1">
            <w:pPr>
              <w:jc w:val="right"/>
              <w:rPr>
                <w:b w:val="0"/>
                <w:bCs/>
                <w:color w:val="000000"/>
                <w:szCs w:val="21"/>
              </w:rPr>
            </w:pPr>
            <w:r w:rsidRPr="0039408A">
              <w:rPr>
                <w:b w:val="0"/>
                <w:bCs/>
                <w:color w:val="000000"/>
                <w:sz w:val="21"/>
                <w:szCs w:val="21"/>
              </w:rPr>
              <w:t>5.06</w:t>
            </w:r>
          </w:p>
        </w:tc>
      </w:tr>
      <w:tr w:rsidR="00CF14DA" w:rsidRPr="0039408A" w14:paraId="2FA052E1"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33F09567" w14:textId="77777777" w:rsidR="00CF14DA" w:rsidRPr="0039408A" w:rsidRDefault="00CF14DA" w:rsidP="00FA19B1">
            <w:pPr>
              <w:jc w:val="center"/>
              <w:rPr>
                <w:rFonts w:eastAsiaTheme="minorEastAsia"/>
                <w:color w:val="auto"/>
                <w:szCs w:val="21"/>
              </w:rPr>
            </w:pPr>
            <w:r w:rsidRPr="0039408A">
              <w:rPr>
                <w:color w:val="auto"/>
                <w:sz w:val="21"/>
                <w:szCs w:val="21"/>
              </w:rPr>
              <w:t>Traditional Mixed Auto Manufacturers</w:t>
            </w:r>
          </w:p>
        </w:tc>
      </w:tr>
      <w:tr w:rsidR="00CF14DA" w:rsidRPr="0039408A" w14:paraId="12452175"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4986000" w14:textId="77777777" w:rsidR="00CF14DA" w:rsidRPr="0039408A" w:rsidRDefault="00CF14DA" w:rsidP="00FA19B1">
            <w:pPr>
              <w:jc w:val="both"/>
              <w:rPr>
                <w:b w:val="0"/>
                <w:bCs/>
                <w:color w:val="000000"/>
                <w:szCs w:val="21"/>
              </w:rPr>
            </w:pPr>
            <w:r w:rsidRPr="0039408A">
              <w:rPr>
                <w:b w:val="0"/>
                <w:bCs/>
                <w:color w:val="000000"/>
                <w:sz w:val="21"/>
                <w:szCs w:val="21"/>
              </w:rPr>
              <w:t>0175.HK</w:t>
            </w:r>
          </w:p>
        </w:tc>
        <w:tc>
          <w:tcPr>
            <w:tcW w:w="2473" w:type="pct"/>
            <w:shd w:val="clear" w:color="auto" w:fill="auto"/>
            <w:noWrap/>
            <w:vAlign w:val="center"/>
          </w:tcPr>
          <w:p w14:paraId="54A7A6CE"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Geely</w:t>
            </w:r>
          </w:p>
        </w:tc>
        <w:tc>
          <w:tcPr>
            <w:tcW w:w="1263" w:type="pct"/>
            <w:shd w:val="clear" w:color="auto" w:fill="auto"/>
            <w:noWrap/>
            <w:vAlign w:val="center"/>
          </w:tcPr>
          <w:p w14:paraId="3EB71FA0" w14:textId="77777777" w:rsidR="00CF14DA" w:rsidRPr="0039408A" w:rsidRDefault="00CF14DA" w:rsidP="00FA19B1">
            <w:pPr>
              <w:jc w:val="right"/>
              <w:rPr>
                <w:b w:val="0"/>
                <w:bCs/>
                <w:color w:val="000000"/>
                <w:szCs w:val="21"/>
              </w:rPr>
            </w:pPr>
            <w:r w:rsidRPr="0039408A">
              <w:rPr>
                <w:b w:val="0"/>
                <w:bCs/>
                <w:color w:val="000000"/>
                <w:sz w:val="21"/>
                <w:szCs w:val="21"/>
              </w:rPr>
              <w:t>0.93</w:t>
            </w:r>
          </w:p>
        </w:tc>
      </w:tr>
      <w:tr w:rsidR="00CF14DA" w:rsidRPr="0039408A" w14:paraId="794F428C"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0121414D" w14:textId="77777777" w:rsidR="00CF14DA" w:rsidRPr="0039408A" w:rsidRDefault="00CF14DA" w:rsidP="00FA19B1">
            <w:pPr>
              <w:jc w:val="both"/>
              <w:rPr>
                <w:b w:val="0"/>
                <w:bCs/>
                <w:color w:val="000000"/>
                <w:szCs w:val="21"/>
              </w:rPr>
            </w:pPr>
            <w:r w:rsidRPr="0039408A">
              <w:rPr>
                <w:b w:val="0"/>
                <w:bCs/>
                <w:color w:val="000000"/>
                <w:sz w:val="21"/>
                <w:szCs w:val="21"/>
              </w:rPr>
              <w:t>2333.HK</w:t>
            </w:r>
          </w:p>
        </w:tc>
        <w:tc>
          <w:tcPr>
            <w:tcW w:w="2473" w:type="pct"/>
            <w:shd w:val="clear" w:color="auto" w:fill="auto"/>
            <w:noWrap/>
            <w:vAlign w:val="center"/>
          </w:tcPr>
          <w:p w14:paraId="73D2D87F"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Great Wall Motor</w:t>
            </w:r>
          </w:p>
        </w:tc>
        <w:tc>
          <w:tcPr>
            <w:tcW w:w="1263" w:type="pct"/>
            <w:shd w:val="clear" w:color="auto" w:fill="auto"/>
            <w:noWrap/>
            <w:vAlign w:val="center"/>
          </w:tcPr>
          <w:p w14:paraId="7AC882CF" w14:textId="77777777" w:rsidR="00CF14DA" w:rsidRPr="0039408A" w:rsidRDefault="00CF14DA" w:rsidP="00FA19B1">
            <w:pPr>
              <w:jc w:val="right"/>
              <w:rPr>
                <w:b w:val="0"/>
                <w:bCs/>
                <w:color w:val="000000"/>
                <w:szCs w:val="21"/>
              </w:rPr>
            </w:pPr>
            <w:r w:rsidRPr="0039408A">
              <w:rPr>
                <w:b w:val="0"/>
                <w:bCs/>
                <w:color w:val="000000"/>
                <w:sz w:val="21"/>
                <w:szCs w:val="21"/>
              </w:rPr>
              <w:t>1.82</w:t>
            </w:r>
          </w:p>
        </w:tc>
      </w:tr>
      <w:tr w:rsidR="00CF14DA" w:rsidRPr="0039408A" w14:paraId="5CE27253"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0B8DEBB" w14:textId="77777777" w:rsidR="00CF14DA" w:rsidRPr="0039408A" w:rsidRDefault="00CF14DA" w:rsidP="00FA19B1">
            <w:pPr>
              <w:jc w:val="both"/>
              <w:rPr>
                <w:b w:val="0"/>
                <w:bCs/>
                <w:color w:val="000000"/>
                <w:szCs w:val="21"/>
              </w:rPr>
            </w:pPr>
            <w:r w:rsidRPr="0039408A">
              <w:rPr>
                <w:b w:val="0"/>
                <w:bCs/>
                <w:color w:val="000000"/>
                <w:sz w:val="21"/>
                <w:szCs w:val="21"/>
              </w:rPr>
              <w:t>2238.HK</w:t>
            </w:r>
          </w:p>
        </w:tc>
        <w:tc>
          <w:tcPr>
            <w:tcW w:w="2473" w:type="pct"/>
            <w:shd w:val="clear" w:color="auto" w:fill="auto"/>
            <w:noWrap/>
            <w:vAlign w:val="center"/>
          </w:tcPr>
          <w:p w14:paraId="7F459F18"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 xml:space="preserve">Guangzhou Automobile Group </w:t>
            </w:r>
          </w:p>
        </w:tc>
        <w:tc>
          <w:tcPr>
            <w:tcW w:w="1263" w:type="pct"/>
            <w:shd w:val="clear" w:color="auto" w:fill="auto"/>
            <w:noWrap/>
            <w:vAlign w:val="center"/>
          </w:tcPr>
          <w:p w14:paraId="2CF562F7" w14:textId="77777777" w:rsidR="00CF14DA" w:rsidRPr="0039408A" w:rsidRDefault="00CF14DA" w:rsidP="00FA19B1">
            <w:pPr>
              <w:jc w:val="right"/>
              <w:rPr>
                <w:b w:val="0"/>
                <w:bCs/>
                <w:color w:val="000000"/>
                <w:szCs w:val="21"/>
              </w:rPr>
            </w:pPr>
            <w:r w:rsidRPr="0039408A">
              <w:rPr>
                <w:b w:val="0"/>
                <w:bCs/>
                <w:color w:val="000000"/>
                <w:sz w:val="21"/>
                <w:szCs w:val="21"/>
              </w:rPr>
              <w:t>1.20</w:t>
            </w:r>
          </w:p>
        </w:tc>
      </w:tr>
      <w:tr w:rsidR="00CF14DA" w:rsidRPr="0039408A" w14:paraId="2E9BA6E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648B6C3" w14:textId="77777777" w:rsidR="00CF14DA" w:rsidRPr="0039408A" w:rsidRDefault="00CF14DA" w:rsidP="00FA19B1">
            <w:pPr>
              <w:jc w:val="both"/>
              <w:rPr>
                <w:b w:val="0"/>
                <w:bCs/>
                <w:color w:val="000000"/>
                <w:szCs w:val="21"/>
              </w:rPr>
            </w:pPr>
            <w:r w:rsidRPr="0039408A">
              <w:rPr>
                <w:b w:val="0"/>
                <w:bCs/>
                <w:color w:val="000000"/>
                <w:sz w:val="21"/>
                <w:szCs w:val="21"/>
              </w:rPr>
              <w:t>600104.SH</w:t>
            </w:r>
          </w:p>
        </w:tc>
        <w:tc>
          <w:tcPr>
            <w:tcW w:w="2473" w:type="pct"/>
            <w:shd w:val="clear" w:color="auto" w:fill="auto"/>
            <w:noWrap/>
            <w:vAlign w:val="center"/>
          </w:tcPr>
          <w:p w14:paraId="5E984429"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SAIC Motor</w:t>
            </w:r>
          </w:p>
        </w:tc>
        <w:tc>
          <w:tcPr>
            <w:tcW w:w="1263" w:type="pct"/>
            <w:shd w:val="clear" w:color="auto" w:fill="auto"/>
            <w:noWrap/>
            <w:vAlign w:val="center"/>
          </w:tcPr>
          <w:p w14:paraId="127BB356" w14:textId="77777777" w:rsidR="00CF14DA" w:rsidRPr="0039408A" w:rsidRDefault="00CF14DA" w:rsidP="00FA19B1">
            <w:pPr>
              <w:jc w:val="right"/>
              <w:rPr>
                <w:b w:val="0"/>
                <w:bCs/>
                <w:color w:val="000000"/>
                <w:szCs w:val="21"/>
              </w:rPr>
            </w:pPr>
            <w:r w:rsidRPr="0039408A">
              <w:rPr>
                <w:b w:val="0"/>
                <w:bCs/>
                <w:color w:val="000000"/>
                <w:sz w:val="21"/>
                <w:szCs w:val="21"/>
              </w:rPr>
              <w:t>0.41</w:t>
            </w:r>
          </w:p>
        </w:tc>
      </w:tr>
      <w:tr w:rsidR="00CF14DA" w:rsidRPr="0039408A" w14:paraId="4C1C944D"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245FFD9C" w14:textId="77777777" w:rsidR="00CF14DA" w:rsidRPr="0039408A" w:rsidRDefault="00CF14DA" w:rsidP="00FA19B1">
            <w:pPr>
              <w:jc w:val="both"/>
              <w:rPr>
                <w:b w:val="0"/>
                <w:bCs/>
                <w:color w:val="000000"/>
                <w:szCs w:val="21"/>
              </w:rPr>
            </w:pPr>
            <w:r w:rsidRPr="0039408A">
              <w:rPr>
                <w:b w:val="0"/>
                <w:bCs/>
                <w:color w:val="000000"/>
                <w:sz w:val="21"/>
                <w:szCs w:val="21"/>
              </w:rPr>
              <w:t>1958.HK</w:t>
            </w:r>
          </w:p>
        </w:tc>
        <w:tc>
          <w:tcPr>
            <w:tcW w:w="2473" w:type="pct"/>
            <w:shd w:val="clear" w:color="auto" w:fill="auto"/>
            <w:noWrap/>
            <w:vAlign w:val="center"/>
          </w:tcPr>
          <w:p w14:paraId="11911AE6" w14:textId="77777777" w:rsidR="00CF14DA" w:rsidRPr="0039408A" w:rsidRDefault="00CF14DA" w:rsidP="00FA19B1">
            <w:pPr>
              <w:jc w:val="both"/>
              <w:rPr>
                <w:rFonts w:eastAsiaTheme="minorEastAsia"/>
                <w:b w:val="0"/>
                <w:bCs/>
                <w:color w:val="000000"/>
                <w:szCs w:val="21"/>
              </w:rPr>
            </w:pPr>
            <w:r w:rsidRPr="0039408A">
              <w:rPr>
                <w:rFonts w:eastAsiaTheme="minorEastAsia"/>
                <w:b w:val="0"/>
                <w:bCs/>
                <w:color w:val="000000"/>
                <w:sz w:val="21"/>
                <w:szCs w:val="21"/>
              </w:rPr>
              <w:t>BAIC Motor</w:t>
            </w:r>
          </w:p>
        </w:tc>
        <w:tc>
          <w:tcPr>
            <w:tcW w:w="1263" w:type="pct"/>
            <w:shd w:val="clear" w:color="auto" w:fill="auto"/>
            <w:noWrap/>
            <w:vAlign w:val="center"/>
          </w:tcPr>
          <w:p w14:paraId="06C19923" w14:textId="77777777" w:rsidR="00CF14DA" w:rsidRPr="0039408A" w:rsidRDefault="00CF14DA" w:rsidP="00FA19B1">
            <w:pPr>
              <w:jc w:val="right"/>
              <w:rPr>
                <w:b w:val="0"/>
                <w:bCs/>
                <w:color w:val="000000"/>
                <w:szCs w:val="21"/>
              </w:rPr>
            </w:pPr>
            <w:r w:rsidRPr="0039408A">
              <w:rPr>
                <w:b w:val="0"/>
                <w:bCs/>
                <w:color w:val="000000"/>
                <w:sz w:val="21"/>
                <w:szCs w:val="21"/>
              </w:rPr>
              <w:t>0.18</w:t>
            </w:r>
          </w:p>
        </w:tc>
      </w:tr>
    </w:tbl>
    <w:bookmarkEnd w:id="22"/>
    <w:p w14:paraId="7F723DD6" w14:textId="77777777" w:rsidR="0039408A" w:rsidRDefault="0039408A" w:rsidP="0039408A">
      <w:pPr>
        <w:spacing w:line="360" w:lineRule="auto"/>
        <w:rPr>
          <w:rFonts w:eastAsiaTheme="minorEastAsia"/>
        </w:rPr>
      </w:pPr>
      <w:r w:rsidRPr="00B63E07">
        <w:rPr>
          <w:i/>
          <w:iCs/>
          <w:sz w:val="21"/>
          <w:szCs w:val="21"/>
        </w:rPr>
        <w:t>Source</w:t>
      </w:r>
      <w:r w:rsidR="008A202F">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Wind</w:t>
      </w:r>
    </w:p>
    <w:p w14:paraId="5CBB4236" w14:textId="77777777" w:rsidR="00C028FA" w:rsidRDefault="0039408A" w:rsidP="002C01CA">
      <w:pPr>
        <w:spacing w:line="360" w:lineRule="auto"/>
        <w:jc w:val="both"/>
        <w:rPr>
          <w:rFonts w:eastAsiaTheme="minorEastAsia"/>
        </w:rPr>
      </w:pPr>
      <w:r>
        <w:rPr>
          <w:rFonts w:eastAsiaTheme="minorEastAsia"/>
        </w:rPr>
        <w:t>We believe</w:t>
      </w:r>
      <w:r w:rsidR="00CF14DA">
        <w:rPr>
          <w:rFonts w:eastAsiaTheme="minorEastAsia"/>
        </w:rPr>
        <w:t xml:space="preserve"> Chinese mixed auto manufacture</w:t>
      </w:r>
      <w:r w:rsidR="00F01977">
        <w:rPr>
          <w:rFonts w:eastAsiaTheme="minorEastAsia"/>
        </w:rPr>
        <w:t>r</w:t>
      </w:r>
      <w:r w:rsidR="00CF14DA">
        <w:rPr>
          <w:rFonts w:eastAsiaTheme="minorEastAsia"/>
        </w:rPr>
        <w:t>s, e.g., Lotus parent company Geely, can help determin</w:t>
      </w:r>
      <w:r w:rsidR="00F01977">
        <w:rPr>
          <w:rFonts w:eastAsiaTheme="minorEastAsia"/>
        </w:rPr>
        <w:t>e</w:t>
      </w:r>
      <w:r w:rsidR="00CF14DA">
        <w:rPr>
          <w:rFonts w:eastAsiaTheme="minorEastAsia"/>
        </w:rPr>
        <w:t xml:space="preserve"> the </w:t>
      </w:r>
      <w:r w:rsidR="00F01977">
        <w:rPr>
          <w:rFonts w:eastAsiaTheme="minorEastAsia"/>
        </w:rPr>
        <w:t>proper</w:t>
      </w:r>
      <w:r w:rsidR="00CF14DA">
        <w:rPr>
          <w:rFonts w:eastAsiaTheme="minorEastAsia"/>
        </w:rPr>
        <w:t xml:space="preserve"> valuation of Lotus with a lower weight.</w:t>
      </w:r>
    </w:p>
    <w:p w14:paraId="16E7FB0B" w14:textId="0CC0023B" w:rsidR="0039408A" w:rsidRPr="0039408A" w:rsidRDefault="0039408A" w:rsidP="0039408A">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12</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xml:space="preserve">: Weight of Groups of </w:t>
      </w:r>
      <w:proofErr w:type="spellStart"/>
      <w:r w:rsidRPr="0039408A">
        <w:rPr>
          <w:rFonts w:ascii="Times New Roman" w:hAnsi="Times New Roman" w:cs="Times New Roman"/>
          <w:i/>
          <w:iCs/>
          <w:sz w:val="21"/>
          <w:szCs w:val="21"/>
        </w:rPr>
        <w:t>Comparables</w:t>
      </w:r>
      <w:proofErr w:type="spellEnd"/>
    </w:p>
    <w:tbl>
      <w:tblPr>
        <w:tblStyle w:val="IBSG1"/>
        <w:tblW w:w="5000" w:type="pct"/>
        <w:tblLook w:val="04A0" w:firstRow="1" w:lastRow="0" w:firstColumn="1" w:lastColumn="0" w:noHBand="0" w:noVBand="1"/>
      </w:tblPr>
      <w:tblGrid>
        <w:gridCol w:w="3000"/>
        <w:gridCol w:w="2999"/>
        <w:gridCol w:w="2997"/>
      </w:tblGrid>
      <w:tr w:rsidR="0039408A" w:rsidRPr="0039408A" w14:paraId="273698F8" w14:textId="77777777" w:rsidTr="0039408A">
        <w:trPr>
          <w:cnfStyle w:val="100000000000" w:firstRow="1" w:lastRow="0" w:firstColumn="0" w:lastColumn="0" w:oddVBand="0" w:evenVBand="0" w:oddHBand="0" w:evenHBand="0" w:firstRowFirstColumn="0" w:firstRowLastColumn="0" w:lastRowFirstColumn="0" w:lastRowLastColumn="0"/>
          <w:trHeight w:val="264"/>
        </w:trPr>
        <w:tc>
          <w:tcPr>
            <w:tcW w:w="1667" w:type="pct"/>
            <w:noWrap/>
            <w:hideMark/>
          </w:tcPr>
          <w:p w14:paraId="5C969E46" w14:textId="77777777" w:rsidR="0039408A" w:rsidRPr="0039408A" w:rsidRDefault="0039408A" w:rsidP="0039408A">
            <w:pPr>
              <w:rPr>
                <w:rFonts w:eastAsia="宋体"/>
                <w:szCs w:val="21"/>
              </w:rPr>
            </w:pPr>
          </w:p>
        </w:tc>
        <w:tc>
          <w:tcPr>
            <w:tcW w:w="1667" w:type="pct"/>
            <w:noWrap/>
            <w:hideMark/>
          </w:tcPr>
          <w:p w14:paraId="1942D5FF" w14:textId="77777777" w:rsidR="0039408A" w:rsidRPr="0039408A" w:rsidRDefault="0039408A" w:rsidP="0039408A">
            <w:pPr>
              <w:jc w:val="center"/>
              <w:rPr>
                <w:rFonts w:eastAsia="宋体"/>
                <w:bCs/>
                <w:szCs w:val="21"/>
              </w:rPr>
            </w:pPr>
            <w:r w:rsidRPr="0039408A">
              <w:rPr>
                <w:rFonts w:eastAsia="宋体"/>
                <w:bCs/>
                <w:sz w:val="21"/>
                <w:szCs w:val="21"/>
              </w:rPr>
              <w:t>Multiple Mean</w:t>
            </w:r>
          </w:p>
        </w:tc>
        <w:tc>
          <w:tcPr>
            <w:tcW w:w="1666" w:type="pct"/>
            <w:noWrap/>
            <w:hideMark/>
          </w:tcPr>
          <w:p w14:paraId="34186710" w14:textId="77777777" w:rsidR="0039408A" w:rsidRPr="0039408A" w:rsidRDefault="0039408A" w:rsidP="0039408A">
            <w:pPr>
              <w:jc w:val="center"/>
              <w:rPr>
                <w:rFonts w:eastAsia="宋体"/>
                <w:bCs/>
                <w:szCs w:val="21"/>
              </w:rPr>
            </w:pPr>
            <w:r w:rsidRPr="0039408A">
              <w:rPr>
                <w:rFonts w:eastAsia="宋体"/>
                <w:bCs/>
                <w:sz w:val="21"/>
                <w:szCs w:val="21"/>
              </w:rPr>
              <w:t>Weight</w:t>
            </w:r>
          </w:p>
        </w:tc>
      </w:tr>
      <w:tr w:rsidR="0039408A" w:rsidRPr="0039408A" w14:paraId="56BB26D3" w14:textId="77777777" w:rsidTr="0039408A">
        <w:trPr>
          <w:cnfStyle w:val="000000100000" w:firstRow="0" w:lastRow="0" w:firstColumn="0" w:lastColumn="0" w:oddVBand="0" w:evenVBand="0" w:oddHBand="1" w:evenHBand="0" w:firstRowFirstColumn="0" w:firstRowLastColumn="0" w:lastRowFirstColumn="0" w:lastRowLastColumn="0"/>
          <w:trHeight w:val="264"/>
        </w:trPr>
        <w:tc>
          <w:tcPr>
            <w:tcW w:w="1667" w:type="pct"/>
            <w:noWrap/>
            <w:hideMark/>
          </w:tcPr>
          <w:p w14:paraId="749738DC" w14:textId="77777777" w:rsidR="0039408A" w:rsidRPr="0039408A" w:rsidRDefault="0039408A" w:rsidP="0039408A">
            <w:pPr>
              <w:rPr>
                <w:rFonts w:eastAsia="宋体"/>
                <w:color w:val="000000"/>
                <w:szCs w:val="21"/>
              </w:rPr>
            </w:pPr>
            <w:r w:rsidRPr="0039408A">
              <w:rPr>
                <w:rFonts w:eastAsia="宋体"/>
                <w:color w:val="000000"/>
                <w:sz w:val="21"/>
                <w:szCs w:val="21"/>
              </w:rPr>
              <w:t>Pure Play</w:t>
            </w:r>
          </w:p>
        </w:tc>
        <w:tc>
          <w:tcPr>
            <w:tcW w:w="1667" w:type="pct"/>
            <w:noWrap/>
            <w:hideMark/>
          </w:tcPr>
          <w:p w14:paraId="686D36CC" w14:textId="77777777" w:rsidR="0039408A" w:rsidRPr="0039408A" w:rsidRDefault="0039408A" w:rsidP="0039408A">
            <w:pPr>
              <w:jc w:val="right"/>
              <w:rPr>
                <w:rFonts w:eastAsia="宋体"/>
                <w:color w:val="000000"/>
                <w:szCs w:val="21"/>
              </w:rPr>
            </w:pPr>
            <w:r w:rsidRPr="0039408A">
              <w:rPr>
                <w:rFonts w:eastAsia="宋体"/>
                <w:color w:val="000000"/>
                <w:sz w:val="21"/>
                <w:szCs w:val="21"/>
              </w:rPr>
              <w:t>3.99</w:t>
            </w:r>
          </w:p>
        </w:tc>
        <w:tc>
          <w:tcPr>
            <w:tcW w:w="1666" w:type="pct"/>
            <w:noWrap/>
            <w:hideMark/>
          </w:tcPr>
          <w:p w14:paraId="40DC1916" w14:textId="77777777" w:rsidR="0039408A" w:rsidRPr="0039408A" w:rsidRDefault="0039408A" w:rsidP="0039408A">
            <w:pPr>
              <w:jc w:val="right"/>
              <w:rPr>
                <w:rFonts w:eastAsia="宋体"/>
                <w:color w:val="000000"/>
                <w:szCs w:val="21"/>
              </w:rPr>
            </w:pPr>
            <w:r w:rsidRPr="0039408A">
              <w:rPr>
                <w:rFonts w:eastAsia="宋体"/>
                <w:color w:val="000000"/>
                <w:sz w:val="21"/>
                <w:szCs w:val="21"/>
              </w:rPr>
              <w:t>70%</w:t>
            </w:r>
          </w:p>
        </w:tc>
      </w:tr>
      <w:tr w:rsidR="0039408A" w:rsidRPr="0039408A" w14:paraId="173A6A13" w14:textId="77777777" w:rsidTr="0039408A">
        <w:trPr>
          <w:cnfStyle w:val="000000010000" w:firstRow="0" w:lastRow="0" w:firstColumn="0" w:lastColumn="0" w:oddVBand="0" w:evenVBand="0" w:oddHBand="0" w:evenHBand="1" w:firstRowFirstColumn="0" w:firstRowLastColumn="0" w:lastRowFirstColumn="0" w:lastRowLastColumn="0"/>
          <w:trHeight w:val="264"/>
        </w:trPr>
        <w:tc>
          <w:tcPr>
            <w:tcW w:w="1667" w:type="pct"/>
            <w:noWrap/>
            <w:hideMark/>
          </w:tcPr>
          <w:p w14:paraId="64CD5194" w14:textId="77777777" w:rsidR="0039408A" w:rsidRPr="0039408A" w:rsidRDefault="0039408A" w:rsidP="0039408A">
            <w:pPr>
              <w:rPr>
                <w:rFonts w:eastAsia="宋体"/>
                <w:color w:val="000000"/>
                <w:szCs w:val="21"/>
              </w:rPr>
            </w:pPr>
            <w:r w:rsidRPr="0039408A">
              <w:rPr>
                <w:rFonts w:eastAsia="宋体"/>
                <w:color w:val="000000"/>
                <w:sz w:val="21"/>
                <w:szCs w:val="21"/>
              </w:rPr>
              <w:t>Traditional</w:t>
            </w:r>
          </w:p>
        </w:tc>
        <w:tc>
          <w:tcPr>
            <w:tcW w:w="1667" w:type="pct"/>
            <w:noWrap/>
            <w:hideMark/>
          </w:tcPr>
          <w:p w14:paraId="33BF8E4E" w14:textId="77777777" w:rsidR="0039408A" w:rsidRPr="0039408A" w:rsidRDefault="0039408A" w:rsidP="0039408A">
            <w:pPr>
              <w:jc w:val="right"/>
              <w:rPr>
                <w:rFonts w:eastAsia="宋体"/>
                <w:color w:val="000000"/>
                <w:szCs w:val="21"/>
              </w:rPr>
            </w:pPr>
            <w:r w:rsidRPr="0039408A">
              <w:rPr>
                <w:rFonts w:eastAsia="宋体"/>
                <w:color w:val="000000"/>
                <w:sz w:val="21"/>
                <w:szCs w:val="21"/>
              </w:rPr>
              <w:t>0.91</w:t>
            </w:r>
          </w:p>
        </w:tc>
        <w:tc>
          <w:tcPr>
            <w:tcW w:w="1666" w:type="pct"/>
            <w:noWrap/>
            <w:hideMark/>
          </w:tcPr>
          <w:p w14:paraId="56C3239F" w14:textId="77777777" w:rsidR="0039408A" w:rsidRPr="0039408A" w:rsidRDefault="0039408A" w:rsidP="0039408A">
            <w:pPr>
              <w:jc w:val="right"/>
              <w:rPr>
                <w:rFonts w:eastAsia="宋体"/>
                <w:color w:val="000000"/>
                <w:szCs w:val="21"/>
              </w:rPr>
            </w:pPr>
            <w:r w:rsidRPr="0039408A">
              <w:rPr>
                <w:rFonts w:eastAsia="宋体"/>
                <w:color w:val="000000"/>
                <w:sz w:val="21"/>
                <w:szCs w:val="21"/>
              </w:rPr>
              <w:t>30%</w:t>
            </w:r>
          </w:p>
        </w:tc>
      </w:tr>
    </w:tbl>
    <w:p w14:paraId="3704102D" w14:textId="77777777" w:rsidR="0039408A" w:rsidRDefault="0039408A" w:rsidP="0039408A">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IBSG Research</w:t>
      </w:r>
    </w:p>
    <w:p w14:paraId="31ED6DCF" w14:textId="2ECE33D8" w:rsidR="0039408A" w:rsidRDefault="0039408A" w:rsidP="002C01CA">
      <w:pPr>
        <w:spacing w:line="360" w:lineRule="auto"/>
        <w:jc w:val="both"/>
        <w:rPr>
          <w:rFonts w:eastAsiaTheme="minorEastAsia"/>
        </w:rPr>
      </w:pPr>
      <w:r>
        <w:rPr>
          <w:rFonts w:eastAsiaTheme="minorEastAsia"/>
        </w:rPr>
        <w:t xml:space="preserve">The comparable company indicates a </w:t>
      </w:r>
      <w:r w:rsidR="0035535B">
        <w:rPr>
          <w:rFonts w:eastAsiaTheme="minorEastAsia"/>
        </w:rPr>
        <w:t>3x 2022 revenue multiple based on the weight assigned above.</w:t>
      </w:r>
      <w:r w:rsidR="00B40593">
        <w:rPr>
          <w:rFonts w:eastAsiaTheme="minorEastAsia"/>
        </w:rPr>
        <w:t xml:space="preserve"> This is equivalent to </w:t>
      </w:r>
      <w:r w:rsidR="00F01977">
        <w:rPr>
          <w:rFonts w:eastAsiaTheme="minorEastAsia"/>
        </w:rPr>
        <w:t xml:space="preserve">a </w:t>
      </w:r>
      <w:r w:rsidR="00B40593">
        <w:rPr>
          <w:rFonts w:eastAsiaTheme="minorEastAsia"/>
        </w:rPr>
        <w:t>forward multiple of 0.83x</w:t>
      </w:r>
      <w:r w:rsidR="00B40593" w:rsidRPr="002C01CA">
        <w:rPr>
          <w:rFonts w:eastAsiaTheme="minorEastAsia"/>
        </w:rPr>
        <w:footnoteReference w:id="1"/>
      </w:r>
      <w:r w:rsidR="00B40593">
        <w:rPr>
          <w:rFonts w:eastAsiaTheme="minorEastAsia"/>
        </w:rPr>
        <w:t xml:space="preserve"> 2024E revenue and 0.61x</w:t>
      </w:r>
      <w:r w:rsidR="00B40593" w:rsidRPr="002C01CA">
        <w:rPr>
          <w:rFonts w:eastAsiaTheme="minorEastAsia"/>
        </w:rPr>
        <w:footnoteReference w:id="2"/>
      </w:r>
      <w:r w:rsidR="00B40593">
        <w:rPr>
          <w:rFonts w:eastAsiaTheme="minorEastAsia"/>
        </w:rPr>
        <w:t xml:space="preserve"> 2025E revenue</w:t>
      </w:r>
      <w:r w:rsidR="00791724">
        <w:rPr>
          <w:rFonts w:eastAsiaTheme="minorEastAsia"/>
        </w:rPr>
        <w:t>, which is close to the acquisition</w:t>
      </w:r>
      <w:r w:rsidR="004C5751">
        <w:rPr>
          <w:rFonts w:eastAsiaTheme="minorEastAsia"/>
        </w:rPr>
        <w:t>’</w:t>
      </w:r>
      <w:r w:rsidR="00791724">
        <w:rPr>
          <w:rFonts w:eastAsiaTheme="minorEastAsia"/>
        </w:rPr>
        <w:t>s valuation multiple of 0.9x 2024E revenue or 0.6x 2025E revenue.</w:t>
      </w:r>
    </w:p>
    <w:p w14:paraId="7C9A6168" w14:textId="77777777" w:rsidR="00791724" w:rsidRPr="00791724"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herefore, we believe 0.6x 2025E revenue multiple is most proper for </w:t>
      </w:r>
      <w:proofErr w:type="spellStart"/>
      <w:r>
        <w:rPr>
          <w:rFonts w:eastAsiaTheme="minorEastAsia"/>
        </w:rPr>
        <w:t>valuating</w:t>
      </w:r>
      <w:proofErr w:type="spellEnd"/>
      <w:r>
        <w:rPr>
          <w:rFonts w:eastAsiaTheme="minorEastAsia"/>
        </w:rPr>
        <w:t xml:space="preserve"> the company.</w:t>
      </w:r>
    </w:p>
    <w:p w14:paraId="4997D05C" w14:textId="49F50426" w:rsidR="00C028FA" w:rsidRPr="004F0B04" w:rsidRDefault="00C028FA" w:rsidP="004F0B04">
      <w:pPr>
        <w:pStyle w:val="Heading1"/>
      </w:pPr>
      <w:bookmarkStart w:id="23" w:name="_Toc131092071"/>
      <w:r w:rsidRPr="004F0B04">
        <w:lastRenderedPageBreak/>
        <w:t>4. De-</w:t>
      </w:r>
      <w:proofErr w:type="spellStart"/>
      <w:r w:rsidRPr="004F0B04">
        <w:t>S</w:t>
      </w:r>
      <w:bookmarkEnd w:id="23"/>
      <w:r w:rsidR="00CC7303">
        <w:rPr>
          <w:rFonts w:hint="eastAsia"/>
        </w:rPr>
        <w:t>pac</w:t>
      </w:r>
      <w:proofErr w:type="spellEnd"/>
    </w:p>
    <w:p w14:paraId="602143BE" w14:textId="77777777" w:rsidR="00C028FA" w:rsidRPr="004F0B04" w:rsidRDefault="00C028FA" w:rsidP="004F0B04">
      <w:pPr>
        <w:pStyle w:val="Heading2"/>
      </w:pPr>
      <w:bookmarkStart w:id="24" w:name="_Toc131092072"/>
      <w:r w:rsidRPr="004F0B04">
        <w:t>4.1 Cash and Valuation Metrics</w:t>
      </w:r>
      <w:bookmarkEnd w:id="24"/>
    </w:p>
    <w:p w14:paraId="7730C68F" w14:textId="35BCD567" w:rsidR="00C028FA"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 2021 IPO of LCAA exercised full </w:t>
      </w:r>
      <w:proofErr w:type="spellStart"/>
      <w:r>
        <w:rPr>
          <w:rFonts w:eastAsiaTheme="minorEastAsia"/>
        </w:rPr>
        <w:t>greenshoes</w:t>
      </w:r>
      <w:proofErr w:type="spellEnd"/>
      <w:r>
        <w:rPr>
          <w:rFonts w:eastAsiaTheme="minorEastAsia"/>
        </w:rPr>
        <w:t>. Assum</w:t>
      </w:r>
      <w:r w:rsidR="00F01977">
        <w:rPr>
          <w:rFonts w:eastAsiaTheme="minorEastAsia"/>
        </w:rPr>
        <w:t>ing</w:t>
      </w:r>
      <w:r>
        <w:rPr>
          <w:rFonts w:eastAsiaTheme="minorEastAsia"/>
        </w:rPr>
        <w:t xml:space="preserve"> </w:t>
      </w:r>
      <w:r w:rsidR="002C01CA">
        <w:rPr>
          <w:rFonts w:eastAsiaTheme="minorEastAsia"/>
        </w:rPr>
        <w:t>no redemption by LCAA</w:t>
      </w:r>
      <w:r w:rsidR="004C5751">
        <w:rPr>
          <w:rFonts w:eastAsiaTheme="minorEastAsia"/>
        </w:rPr>
        <w:t>’</w:t>
      </w:r>
      <w:r w:rsidR="002C01CA">
        <w:rPr>
          <w:rFonts w:eastAsiaTheme="minorEastAsia"/>
        </w:rPr>
        <w:t xml:space="preserve">s </w:t>
      </w:r>
      <w:r w:rsidR="00F01977">
        <w:rPr>
          <w:rFonts w:eastAsiaTheme="minorEastAsia"/>
        </w:rPr>
        <w:t>shareholders</w:t>
      </w:r>
      <w:r w:rsidR="002C01CA">
        <w:rPr>
          <w:rFonts w:eastAsiaTheme="minorEastAsia"/>
        </w:rPr>
        <w:t>, the</w:t>
      </w:r>
      <w:r w:rsidR="00F01977">
        <w:rPr>
          <w:rFonts w:eastAsiaTheme="minorEastAsia"/>
        </w:rPr>
        <w:t xml:space="preserve"> trust has $288 million cash</w:t>
      </w:r>
      <w:r w:rsidR="002C01CA">
        <w:rPr>
          <w:rFonts w:eastAsiaTheme="minorEastAsia"/>
        </w:rPr>
        <w:t xml:space="preserve">. </w:t>
      </w:r>
      <w:proofErr w:type="spellStart"/>
      <w:r w:rsidR="002C01CA">
        <w:rPr>
          <w:rFonts w:eastAsiaTheme="minorEastAsia"/>
        </w:rPr>
        <w:t>Jingkai</w:t>
      </w:r>
      <w:proofErr w:type="spellEnd"/>
      <w:r w:rsidR="002C01CA">
        <w:rPr>
          <w:rFonts w:eastAsiaTheme="minorEastAsia"/>
        </w:rPr>
        <w:t xml:space="preserve"> Fund, a government fund of Wuhan city</w:t>
      </w:r>
      <w:r w:rsidR="00F01977">
        <w:rPr>
          <w:rFonts w:eastAsiaTheme="minorEastAsia"/>
        </w:rPr>
        <w:t>,</w:t>
      </w:r>
      <w:r w:rsidR="002C01CA">
        <w:rPr>
          <w:rFonts w:eastAsiaTheme="minorEastAsia"/>
        </w:rPr>
        <w:t xml:space="preserve"> China, is expected to exercise equity conversion of its convertible bond, providing an additional source of cash.</w:t>
      </w:r>
      <w:r w:rsidR="00D25FE8">
        <w:rPr>
          <w:rFonts w:eastAsiaTheme="minorEastAsia"/>
        </w:rPr>
        <w:t xml:space="preserve"> Lotus also </w:t>
      </w:r>
      <w:r w:rsidR="00F01977">
        <w:rPr>
          <w:rFonts w:eastAsiaTheme="minorEastAsia"/>
        </w:rPr>
        <w:t>hopes</w:t>
      </w:r>
      <w:r w:rsidR="00D25FE8">
        <w:rPr>
          <w:rFonts w:eastAsiaTheme="minorEastAsia"/>
        </w:rPr>
        <w:t xml:space="preserve"> to raise $100 million of 3</w:t>
      </w:r>
      <w:r w:rsidR="00D25FE8" w:rsidRPr="00D25FE8">
        <w:rPr>
          <w:rFonts w:eastAsiaTheme="minorEastAsia"/>
          <w:vertAlign w:val="superscript"/>
        </w:rPr>
        <w:t>rd</w:t>
      </w:r>
      <w:r w:rsidR="00D25FE8">
        <w:rPr>
          <w:rFonts w:eastAsiaTheme="minorEastAsia"/>
        </w:rPr>
        <w:t xml:space="preserve"> party investment </w:t>
      </w:r>
      <w:r w:rsidR="00F01977">
        <w:rPr>
          <w:rFonts w:eastAsiaTheme="minorEastAsia"/>
        </w:rPr>
        <w:t>before</w:t>
      </w:r>
      <w:r w:rsidR="00D25FE8">
        <w:rPr>
          <w:rFonts w:eastAsiaTheme="minorEastAsia"/>
        </w:rPr>
        <w:t xml:space="preserve"> the closing.</w:t>
      </w:r>
      <w:r w:rsidR="002C01CA">
        <w:rPr>
          <w:rFonts w:eastAsiaTheme="minorEastAsia"/>
        </w:rPr>
        <w:t xml:space="preserve"> Before the PIPE, the cash balance of </w:t>
      </w:r>
      <w:r w:rsidR="00F01977">
        <w:rPr>
          <w:rFonts w:eastAsiaTheme="minorEastAsia"/>
        </w:rPr>
        <w:t xml:space="preserve">the </w:t>
      </w:r>
      <w:r w:rsidR="002C01CA">
        <w:rPr>
          <w:rFonts w:eastAsiaTheme="minorEastAsia"/>
        </w:rPr>
        <w:t>merged en</w:t>
      </w:r>
      <w:r w:rsidR="00F01977">
        <w:rPr>
          <w:rFonts w:eastAsiaTheme="minorEastAsia"/>
        </w:rPr>
        <w:t>tit</w:t>
      </w:r>
      <w:r w:rsidR="002C01CA">
        <w:rPr>
          <w:rFonts w:eastAsiaTheme="minorEastAsia"/>
        </w:rPr>
        <w:t>y is calculated as follows.</w:t>
      </w:r>
    </w:p>
    <w:p w14:paraId="253E436D" w14:textId="432DD6A1" w:rsidR="00D25FE8" w:rsidRPr="00D25FE8" w:rsidRDefault="00D25FE8" w:rsidP="00D25FE8">
      <w:pPr>
        <w:pStyle w:val="Caption"/>
        <w:keepNext/>
        <w:spacing w:line="360" w:lineRule="auto"/>
        <w:jc w:val="center"/>
        <w:rPr>
          <w:rFonts w:ascii="Times New Roman" w:hAnsi="Times New Roman" w:cs="Times New Roman"/>
          <w:i/>
          <w:iCs/>
          <w:sz w:val="21"/>
          <w:szCs w:val="21"/>
        </w:rPr>
      </w:pPr>
      <w:r w:rsidRPr="00D25FE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13</w:t>
      </w:r>
      <w:r w:rsidR="00D06E84">
        <w:rPr>
          <w:rFonts w:ascii="Times New Roman" w:hAnsi="Times New Roman" w:cs="Times New Roman"/>
          <w:i/>
          <w:iCs/>
          <w:sz w:val="21"/>
          <w:szCs w:val="21"/>
        </w:rPr>
        <w:fldChar w:fldCharType="end"/>
      </w:r>
      <w:r w:rsidRPr="00D25FE8">
        <w:rPr>
          <w:rFonts w:ascii="Times New Roman" w:hAnsi="Times New Roman" w:cs="Times New Roman"/>
          <w:i/>
          <w:iCs/>
          <w:sz w:val="21"/>
          <w:szCs w:val="21"/>
        </w:rPr>
        <w:t>: Cash Source</w:t>
      </w:r>
    </w:p>
    <w:tbl>
      <w:tblPr>
        <w:tblStyle w:val="IBSG1"/>
        <w:tblW w:w="5220" w:type="dxa"/>
        <w:jc w:val="center"/>
        <w:tblLook w:val="04A0" w:firstRow="1" w:lastRow="0" w:firstColumn="1" w:lastColumn="0" w:noHBand="0" w:noVBand="1"/>
      </w:tblPr>
      <w:tblGrid>
        <w:gridCol w:w="4280"/>
        <w:gridCol w:w="940"/>
      </w:tblGrid>
      <w:tr w:rsidR="002C01CA" w:rsidRPr="002C01CA" w14:paraId="3E6F8757" w14:textId="77777777" w:rsidTr="002C01CA">
        <w:trPr>
          <w:cnfStyle w:val="100000000000" w:firstRow="1" w:lastRow="0" w:firstColumn="0" w:lastColumn="0" w:oddVBand="0" w:evenVBand="0" w:oddHBand="0" w:evenHBand="0" w:firstRowFirstColumn="0" w:firstRowLastColumn="0" w:lastRowFirstColumn="0" w:lastRowLastColumn="0"/>
          <w:trHeight w:val="180"/>
          <w:jc w:val="center"/>
        </w:trPr>
        <w:tc>
          <w:tcPr>
            <w:tcW w:w="4280" w:type="dxa"/>
            <w:noWrap/>
            <w:hideMark/>
          </w:tcPr>
          <w:p w14:paraId="60AD8097" w14:textId="77777777" w:rsidR="002C01CA" w:rsidRPr="002C01CA" w:rsidRDefault="002C01CA" w:rsidP="002C01CA">
            <w:pPr>
              <w:rPr>
                <w:rFonts w:eastAsia="等线"/>
                <w:bCs/>
                <w:szCs w:val="21"/>
              </w:rPr>
            </w:pPr>
            <w:r w:rsidRPr="002C01CA">
              <w:rPr>
                <w:rFonts w:eastAsia="等线"/>
                <w:bCs/>
                <w:sz w:val="21"/>
                <w:szCs w:val="21"/>
              </w:rPr>
              <w:t>Cash sources ($m)</w:t>
            </w:r>
          </w:p>
        </w:tc>
        <w:tc>
          <w:tcPr>
            <w:tcW w:w="940" w:type="dxa"/>
            <w:noWrap/>
            <w:hideMark/>
          </w:tcPr>
          <w:p w14:paraId="7B2B1272" w14:textId="77777777" w:rsidR="002C01CA" w:rsidRPr="002C01CA" w:rsidRDefault="002C01CA" w:rsidP="002C01CA">
            <w:pPr>
              <w:rPr>
                <w:rFonts w:eastAsia="等线"/>
                <w:bCs/>
                <w:szCs w:val="21"/>
              </w:rPr>
            </w:pPr>
          </w:p>
        </w:tc>
      </w:tr>
      <w:tr w:rsidR="002C01CA" w:rsidRPr="002C01CA" w14:paraId="7BF9B1E1"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57A7EC0C" w14:textId="77777777" w:rsidR="002C01CA" w:rsidRPr="002C01CA" w:rsidRDefault="002C01CA" w:rsidP="002C01CA">
            <w:pPr>
              <w:rPr>
                <w:rFonts w:eastAsia="等线"/>
                <w:color w:val="000000"/>
                <w:szCs w:val="21"/>
              </w:rPr>
            </w:pPr>
            <w:r w:rsidRPr="002C01CA">
              <w:rPr>
                <w:rFonts w:eastAsia="等线"/>
                <w:color w:val="000000"/>
                <w:sz w:val="21"/>
                <w:szCs w:val="21"/>
              </w:rPr>
              <w:t>Cash in trust</w:t>
            </w:r>
          </w:p>
        </w:tc>
        <w:tc>
          <w:tcPr>
            <w:tcW w:w="940" w:type="dxa"/>
            <w:noWrap/>
            <w:hideMark/>
          </w:tcPr>
          <w:p w14:paraId="60176139" w14:textId="77777777" w:rsidR="002C01CA" w:rsidRPr="002C01CA" w:rsidRDefault="002C01CA" w:rsidP="002C01CA">
            <w:pPr>
              <w:jc w:val="right"/>
              <w:rPr>
                <w:rFonts w:eastAsia="等线"/>
                <w:color w:val="000000"/>
                <w:szCs w:val="21"/>
              </w:rPr>
            </w:pPr>
            <w:r w:rsidRPr="002C01CA">
              <w:rPr>
                <w:rFonts w:eastAsia="等线"/>
                <w:color w:val="000000"/>
                <w:sz w:val="21"/>
                <w:szCs w:val="21"/>
              </w:rPr>
              <w:t>288</w:t>
            </w:r>
          </w:p>
        </w:tc>
      </w:tr>
      <w:tr w:rsidR="002C01CA" w:rsidRPr="002C01CA" w14:paraId="4DA30F89"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3529ED57" w14:textId="77777777" w:rsidR="002C01CA" w:rsidRPr="002C01CA" w:rsidRDefault="002C01CA" w:rsidP="002C01CA">
            <w:pPr>
              <w:rPr>
                <w:rFonts w:eastAsia="等线"/>
                <w:color w:val="000000"/>
                <w:szCs w:val="21"/>
              </w:rPr>
            </w:pPr>
            <w:r w:rsidRPr="002C01CA">
              <w:rPr>
                <w:rFonts w:eastAsia="等线"/>
                <w:color w:val="000000"/>
                <w:sz w:val="21"/>
                <w:szCs w:val="21"/>
              </w:rPr>
              <w:t>3rd Party Investment*</w:t>
            </w:r>
          </w:p>
        </w:tc>
        <w:tc>
          <w:tcPr>
            <w:tcW w:w="940" w:type="dxa"/>
            <w:noWrap/>
            <w:hideMark/>
          </w:tcPr>
          <w:p w14:paraId="2482EBF6" w14:textId="77777777" w:rsidR="002C01CA" w:rsidRPr="002C01CA" w:rsidRDefault="002C01CA" w:rsidP="002C01CA">
            <w:pPr>
              <w:jc w:val="right"/>
              <w:rPr>
                <w:rFonts w:eastAsia="等线"/>
                <w:color w:val="000000"/>
                <w:szCs w:val="21"/>
              </w:rPr>
            </w:pPr>
            <w:r w:rsidRPr="002C01CA">
              <w:rPr>
                <w:rFonts w:eastAsia="等线"/>
                <w:color w:val="000000"/>
                <w:sz w:val="21"/>
                <w:szCs w:val="21"/>
              </w:rPr>
              <w:t>100</w:t>
            </w:r>
          </w:p>
        </w:tc>
      </w:tr>
      <w:tr w:rsidR="002C01CA" w:rsidRPr="002C01CA" w14:paraId="67DD3096"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397EC71" w14:textId="77777777" w:rsidR="002C01CA" w:rsidRPr="002C01CA" w:rsidRDefault="002C01CA" w:rsidP="002C01CA">
            <w:pPr>
              <w:rPr>
                <w:rFonts w:eastAsia="等线"/>
                <w:color w:val="000000"/>
                <w:szCs w:val="21"/>
              </w:rPr>
            </w:pPr>
            <w:r w:rsidRPr="002C01CA">
              <w:rPr>
                <w:rFonts w:eastAsia="等线"/>
                <w:color w:val="000000"/>
                <w:sz w:val="21"/>
                <w:szCs w:val="21"/>
              </w:rPr>
              <w:t>Existing Target cash</w:t>
            </w:r>
          </w:p>
        </w:tc>
        <w:tc>
          <w:tcPr>
            <w:tcW w:w="940" w:type="dxa"/>
            <w:noWrap/>
            <w:hideMark/>
          </w:tcPr>
          <w:p w14:paraId="76564D37" w14:textId="77777777" w:rsidR="002C01CA" w:rsidRPr="002C01CA" w:rsidRDefault="002C01CA" w:rsidP="002C01CA">
            <w:pPr>
              <w:jc w:val="right"/>
              <w:rPr>
                <w:rFonts w:eastAsia="等线"/>
                <w:color w:val="000000"/>
                <w:szCs w:val="21"/>
              </w:rPr>
            </w:pPr>
            <w:r w:rsidRPr="002C01CA">
              <w:rPr>
                <w:rFonts w:eastAsia="等线"/>
                <w:color w:val="000000"/>
                <w:sz w:val="21"/>
                <w:szCs w:val="21"/>
              </w:rPr>
              <w:t>715</w:t>
            </w:r>
          </w:p>
        </w:tc>
      </w:tr>
      <w:tr w:rsidR="002C01CA" w:rsidRPr="002C01CA" w14:paraId="2C63DF91"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2B9DE334" w14:textId="77777777" w:rsidR="002C01CA" w:rsidRPr="002C01CA" w:rsidRDefault="002C01CA" w:rsidP="002C01CA">
            <w:pPr>
              <w:rPr>
                <w:rFonts w:eastAsia="等线"/>
                <w:color w:val="000000"/>
                <w:szCs w:val="21"/>
              </w:rPr>
            </w:pPr>
            <w:r w:rsidRPr="002C01CA">
              <w:rPr>
                <w:rFonts w:eastAsia="等线"/>
                <w:color w:val="000000"/>
                <w:sz w:val="21"/>
                <w:szCs w:val="21"/>
              </w:rPr>
              <w:t>Transaction costs</w:t>
            </w:r>
          </w:p>
        </w:tc>
        <w:tc>
          <w:tcPr>
            <w:tcW w:w="940" w:type="dxa"/>
            <w:noWrap/>
            <w:hideMark/>
          </w:tcPr>
          <w:p w14:paraId="63220D44" w14:textId="77777777" w:rsidR="002C01CA" w:rsidRPr="002C01CA" w:rsidRDefault="00BC1296" w:rsidP="002C01CA">
            <w:pPr>
              <w:jc w:val="right"/>
              <w:rPr>
                <w:rFonts w:eastAsia="等线"/>
                <w:color w:val="000000"/>
                <w:szCs w:val="21"/>
              </w:rPr>
            </w:pPr>
            <w:r>
              <w:rPr>
                <w:rFonts w:eastAsia="等线" w:hint="eastAsia"/>
                <w:color w:val="000000"/>
                <w:sz w:val="21"/>
                <w:szCs w:val="21"/>
              </w:rPr>
              <w:t>(</w:t>
            </w:r>
            <w:r w:rsidR="002C01CA" w:rsidRPr="002C01CA">
              <w:rPr>
                <w:rFonts w:eastAsia="等线"/>
                <w:color w:val="000000"/>
                <w:sz w:val="21"/>
                <w:szCs w:val="21"/>
              </w:rPr>
              <w:t>53</w:t>
            </w:r>
            <w:r>
              <w:rPr>
                <w:rFonts w:eastAsia="等线"/>
                <w:color w:val="000000"/>
                <w:sz w:val="21"/>
                <w:szCs w:val="21"/>
              </w:rPr>
              <w:t>)</w:t>
            </w:r>
          </w:p>
        </w:tc>
      </w:tr>
      <w:tr w:rsidR="002C01CA" w:rsidRPr="002C01CA" w14:paraId="25F2D127"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E848CCE" w14:textId="77777777" w:rsidR="002C01CA" w:rsidRPr="002C01CA" w:rsidRDefault="002C01CA" w:rsidP="002C01CA">
            <w:pPr>
              <w:rPr>
                <w:rFonts w:eastAsia="等线"/>
                <w:b/>
                <w:bCs/>
                <w:color w:val="000000"/>
                <w:szCs w:val="21"/>
              </w:rPr>
            </w:pPr>
            <w:r w:rsidRPr="002C01CA">
              <w:rPr>
                <w:rFonts w:eastAsia="等线"/>
                <w:b/>
                <w:bCs/>
                <w:color w:val="000000"/>
                <w:sz w:val="21"/>
                <w:szCs w:val="21"/>
              </w:rPr>
              <w:t>Target cash (after the de-SPAC)</w:t>
            </w:r>
          </w:p>
        </w:tc>
        <w:tc>
          <w:tcPr>
            <w:tcW w:w="940" w:type="dxa"/>
            <w:noWrap/>
            <w:hideMark/>
          </w:tcPr>
          <w:p w14:paraId="0E1A671F" w14:textId="77777777" w:rsidR="002C01CA" w:rsidRPr="002C01CA" w:rsidRDefault="002C01CA" w:rsidP="002C01CA">
            <w:pPr>
              <w:jc w:val="right"/>
              <w:rPr>
                <w:rFonts w:eastAsia="等线"/>
                <w:b/>
                <w:bCs/>
                <w:color w:val="000000"/>
                <w:szCs w:val="21"/>
              </w:rPr>
            </w:pPr>
            <w:r w:rsidRPr="002C01CA">
              <w:rPr>
                <w:rFonts w:eastAsia="等线"/>
                <w:b/>
                <w:bCs/>
                <w:color w:val="000000"/>
                <w:sz w:val="21"/>
                <w:szCs w:val="21"/>
              </w:rPr>
              <w:t>1050</w:t>
            </w:r>
          </w:p>
        </w:tc>
      </w:tr>
    </w:tbl>
    <w:p w14:paraId="6F4E842E" w14:textId="77777777" w:rsidR="00C028FA" w:rsidRDefault="00D25FE8" w:rsidP="00D25FE8">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LCAA Investor Presentation</w:t>
      </w:r>
    </w:p>
    <w:p w14:paraId="3231CFB3" w14:textId="69DF84A2" w:rsidR="00D25FE8" w:rsidRDefault="00D25FE8" w:rsidP="00D25FE8">
      <w:pPr>
        <w:spacing w:line="360" w:lineRule="auto"/>
        <w:jc w:val="both"/>
        <w:rPr>
          <w:rFonts w:eastAsiaTheme="minorEastAsia"/>
        </w:rPr>
      </w:pPr>
      <w:r w:rsidRPr="00D25FE8">
        <w:rPr>
          <w:rFonts w:eastAsiaTheme="minorEastAsia" w:hint="eastAsia"/>
        </w:rPr>
        <w:t>B</w:t>
      </w:r>
      <w:r w:rsidRPr="00D25FE8">
        <w:rPr>
          <w:rFonts w:eastAsiaTheme="minorEastAsia"/>
        </w:rPr>
        <w:t>ase</w:t>
      </w:r>
      <w:r w:rsidR="00F01977">
        <w:rPr>
          <w:rFonts w:eastAsiaTheme="minorEastAsia"/>
        </w:rPr>
        <w:t>d</w:t>
      </w:r>
      <w:r w:rsidRPr="00D25FE8">
        <w:rPr>
          <w:rFonts w:eastAsiaTheme="minorEastAsia"/>
        </w:rPr>
        <w:t xml:space="preserve"> on the</w:t>
      </w:r>
      <w:r>
        <w:rPr>
          <w:rFonts w:eastAsiaTheme="minorEastAsia"/>
        </w:rPr>
        <w:t xml:space="preserve"> cash and debt level, we can get the following valuation metric</w:t>
      </w:r>
      <w:r w:rsidR="00BC1296">
        <w:rPr>
          <w:rFonts w:eastAsiaTheme="minorEastAsia" w:hint="eastAsia"/>
        </w:rPr>
        <w:t>s</w:t>
      </w:r>
      <w:r w:rsidR="003E5AF6">
        <w:rPr>
          <w:rFonts w:eastAsiaTheme="minorEastAsia"/>
        </w:rPr>
        <w:t xml:space="preserve"> with the projected </w:t>
      </w:r>
      <w:r w:rsidR="004C5751">
        <w:rPr>
          <w:rFonts w:eastAsiaTheme="minorEastAsia"/>
        </w:rPr>
        <w:t>r</w:t>
      </w:r>
      <w:r w:rsidR="003E5AF6">
        <w:rPr>
          <w:rFonts w:eastAsiaTheme="minorEastAsia"/>
        </w:rPr>
        <w:t>evenue in the second part of the report</w:t>
      </w:r>
      <w:r>
        <w:rPr>
          <w:rFonts w:eastAsiaTheme="minorEastAsia"/>
        </w:rPr>
        <w:t>.</w:t>
      </w:r>
      <w:r w:rsidR="00C37C48">
        <w:rPr>
          <w:rFonts w:eastAsiaTheme="minorEastAsia"/>
        </w:rPr>
        <w:t xml:space="preserve"> The base case is 0.6x </w:t>
      </w:r>
      <w:r w:rsidR="004C5751">
        <w:rPr>
          <w:rFonts w:eastAsiaTheme="minorEastAsia"/>
        </w:rPr>
        <w:t>r</w:t>
      </w:r>
      <w:r w:rsidR="00C37C48">
        <w:rPr>
          <w:rFonts w:eastAsiaTheme="minorEastAsia"/>
        </w:rPr>
        <w:t>evenue in 2025, corresponding to an EV of 3471 and the LCAA pre-deal share price of 6.49.</w:t>
      </w:r>
    </w:p>
    <w:p w14:paraId="112FCBC8" w14:textId="508FBD46" w:rsidR="00C37C48" w:rsidRDefault="00C37C48" w:rsidP="00C37C48">
      <w:pPr>
        <w:pStyle w:val="Caption"/>
        <w:keepNext/>
        <w:spacing w:line="360" w:lineRule="auto"/>
        <w:jc w:val="center"/>
      </w:pPr>
      <w:r w:rsidRPr="00C37C4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14</w:t>
      </w:r>
      <w:r w:rsidR="00D06E84">
        <w:rPr>
          <w:rFonts w:ascii="Times New Roman" w:hAnsi="Times New Roman" w:cs="Times New Roman"/>
          <w:i/>
          <w:iCs/>
          <w:sz w:val="21"/>
          <w:szCs w:val="21"/>
        </w:rPr>
        <w:fldChar w:fldCharType="end"/>
      </w:r>
      <w:r w:rsidRPr="00C37C48">
        <w:rPr>
          <w:rFonts w:ascii="Times New Roman" w:hAnsi="Times New Roman" w:cs="Times New Roman"/>
          <w:i/>
          <w:iCs/>
          <w:sz w:val="21"/>
          <w:szCs w:val="21"/>
        </w:rPr>
        <w:t>: Valuation Metrics</w:t>
      </w:r>
    </w:p>
    <w:tbl>
      <w:tblPr>
        <w:tblStyle w:val="IBSG1"/>
        <w:tblW w:w="5000" w:type="pct"/>
        <w:tblLook w:val="04A0" w:firstRow="1" w:lastRow="0" w:firstColumn="1" w:lastColumn="0" w:noHBand="0" w:noVBand="1"/>
      </w:tblPr>
      <w:tblGrid>
        <w:gridCol w:w="2302"/>
        <w:gridCol w:w="1338"/>
        <w:gridCol w:w="1341"/>
        <w:gridCol w:w="1340"/>
        <w:gridCol w:w="1340"/>
        <w:gridCol w:w="1335"/>
      </w:tblGrid>
      <w:tr w:rsidR="00E622C0" w:rsidRPr="00C37C48" w14:paraId="3765E03B" w14:textId="77777777" w:rsidTr="00E622C0">
        <w:trPr>
          <w:cnfStyle w:val="100000000000" w:firstRow="1" w:lastRow="0" w:firstColumn="0" w:lastColumn="0" w:oddVBand="0" w:evenVBand="0" w:oddHBand="0" w:evenHBand="0" w:firstRowFirstColumn="0" w:firstRowLastColumn="0" w:lastRowFirstColumn="0" w:lastRowLastColumn="0"/>
          <w:trHeight w:val="192"/>
        </w:trPr>
        <w:tc>
          <w:tcPr>
            <w:tcW w:w="1279" w:type="pct"/>
            <w:noWrap/>
            <w:hideMark/>
          </w:tcPr>
          <w:p w14:paraId="0074A602" w14:textId="77777777" w:rsidR="00E622C0" w:rsidRPr="00C37C48" w:rsidRDefault="00E622C0" w:rsidP="00C37C48">
            <w:pPr>
              <w:spacing w:line="360" w:lineRule="auto"/>
              <w:rPr>
                <w:rFonts w:eastAsia="等线"/>
                <w:bCs/>
                <w:color w:val="FFFFFF"/>
                <w:sz w:val="21"/>
                <w:szCs w:val="21"/>
              </w:rPr>
            </w:pPr>
            <w:r w:rsidRPr="00C37C48">
              <w:rPr>
                <w:rFonts w:eastAsia="等线"/>
                <w:bCs/>
                <w:color w:val="FFFFFF"/>
                <w:sz w:val="21"/>
                <w:szCs w:val="21"/>
              </w:rPr>
              <w:t>EV/Revenues 2025</w:t>
            </w:r>
          </w:p>
        </w:tc>
        <w:tc>
          <w:tcPr>
            <w:tcW w:w="743" w:type="pct"/>
            <w:noWrap/>
            <w:hideMark/>
          </w:tcPr>
          <w:p w14:paraId="16114F08"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0.4x</w:t>
            </w:r>
          </w:p>
        </w:tc>
        <w:tc>
          <w:tcPr>
            <w:tcW w:w="745" w:type="pct"/>
            <w:noWrap/>
            <w:hideMark/>
          </w:tcPr>
          <w:p w14:paraId="09F9F001"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0.6x</w:t>
            </w:r>
          </w:p>
        </w:tc>
        <w:tc>
          <w:tcPr>
            <w:tcW w:w="745" w:type="pct"/>
            <w:noWrap/>
            <w:hideMark/>
          </w:tcPr>
          <w:p w14:paraId="547910FE"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0.7x</w:t>
            </w:r>
          </w:p>
        </w:tc>
        <w:tc>
          <w:tcPr>
            <w:tcW w:w="745" w:type="pct"/>
            <w:noWrap/>
            <w:hideMark/>
          </w:tcPr>
          <w:p w14:paraId="438DD26D"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0.8x</w:t>
            </w:r>
          </w:p>
        </w:tc>
        <w:tc>
          <w:tcPr>
            <w:tcW w:w="742" w:type="pct"/>
            <w:noWrap/>
            <w:hideMark/>
          </w:tcPr>
          <w:p w14:paraId="32CE8234"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0.9x</w:t>
            </w:r>
          </w:p>
        </w:tc>
      </w:tr>
      <w:tr w:rsidR="00E622C0" w:rsidRPr="00C37C48" w14:paraId="345173DC"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5A57FB05"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Revenue Metric</w:t>
            </w:r>
          </w:p>
        </w:tc>
        <w:tc>
          <w:tcPr>
            <w:tcW w:w="743" w:type="pct"/>
            <w:noWrap/>
            <w:hideMark/>
          </w:tcPr>
          <w:p w14:paraId="7C45C282"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188D35C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7C53B64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3283BB99"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2" w:type="pct"/>
            <w:noWrap/>
            <w:hideMark/>
          </w:tcPr>
          <w:p w14:paraId="02C0AA49"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r>
      <w:tr w:rsidR="00E622C0" w:rsidRPr="00C37C48" w14:paraId="0EF971B0"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3D68163"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Enterprise value</w:t>
            </w:r>
          </w:p>
        </w:tc>
        <w:tc>
          <w:tcPr>
            <w:tcW w:w="743" w:type="pct"/>
            <w:noWrap/>
            <w:hideMark/>
          </w:tcPr>
          <w:p w14:paraId="472E81DD"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2314</w:t>
            </w:r>
          </w:p>
        </w:tc>
        <w:tc>
          <w:tcPr>
            <w:tcW w:w="745" w:type="pct"/>
            <w:noWrap/>
            <w:hideMark/>
          </w:tcPr>
          <w:p w14:paraId="46DECC9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3471</w:t>
            </w:r>
          </w:p>
        </w:tc>
        <w:tc>
          <w:tcPr>
            <w:tcW w:w="745" w:type="pct"/>
            <w:noWrap/>
            <w:hideMark/>
          </w:tcPr>
          <w:p w14:paraId="6C5B2E0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4050</w:t>
            </w:r>
          </w:p>
        </w:tc>
        <w:tc>
          <w:tcPr>
            <w:tcW w:w="745" w:type="pct"/>
            <w:noWrap/>
            <w:hideMark/>
          </w:tcPr>
          <w:p w14:paraId="01015102"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4628</w:t>
            </w:r>
          </w:p>
        </w:tc>
        <w:tc>
          <w:tcPr>
            <w:tcW w:w="742" w:type="pct"/>
            <w:noWrap/>
            <w:hideMark/>
          </w:tcPr>
          <w:p w14:paraId="2A8D6F7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5207</w:t>
            </w:r>
          </w:p>
        </w:tc>
      </w:tr>
      <w:tr w:rsidR="00E622C0" w:rsidRPr="00C37C48" w14:paraId="19D8F015"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28B22ED"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Cash</w:t>
            </w:r>
          </w:p>
        </w:tc>
        <w:tc>
          <w:tcPr>
            <w:tcW w:w="743" w:type="pct"/>
            <w:noWrap/>
            <w:hideMark/>
          </w:tcPr>
          <w:p w14:paraId="7EC79FD8"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2122C93"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E44E9E7"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4CE2F57"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2" w:type="pct"/>
            <w:noWrap/>
            <w:hideMark/>
          </w:tcPr>
          <w:p w14:paraId="34FAF014"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r>
      <w:tr w:rsidR="00E622C0" w:rsidRPr="00C37C48" w14:paraId="756775ED"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27F0DAD"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Warrant exercise</w:t>
            </w:r>
          </w:p>
        </w:tc>
        <w:tc>
          <w:tcPr>
            <w:tcW w:w="743" w:type="pct"/>
            <w:noWrap/>
            <w:vAlign w:val="center"/>
            <w:hideMark/>
          </w:tcPr>
          <w:p w14:paraId="4F3C7A97" w14:textId="61A3365F" w:rsidR="00E622C0" w:rsidRPr="00C37C48" w:rsidRDefault="00E622C0" w:rsidP="00C37C48">
            <w:pPr>
              <w:spacing w:line="360" w:lineRule="auto"/>
              <w:jc w:val="right"/>
              <w:rPr>
                <w:rFonts w:eastAsia="等线"/>
                <w:color w:val="000000"/>
                <w:sz w:val="21"/>
                <w:szCs w:val="21"/>
              </w:rPr>
            </w:pPr>
            <w:r>
              <w:rPr>
                <w:rFonts w:eastAsia="等线" w:hint="eastAsia"/>
                <w:color w:val="000000"/>
                <w:sz w:val="21"/>
                <w:szCs w:val="21"/>
              </w:rPr>
              <w:t>0</w:t>
            </w:r>
          </w:p>
        </w:tc>
        <w:tc>
          <w:tcPr>
            <w:tcW w:w="745" w:type="pct"/>
            <w:noWrap/>
            <w:vAlign w:val="center"/>
            <w:hideMark/>
          </w:tcPr>
          <w:p w14:paraId="20359D80" w14:textId="6CFBFE1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43E7EC40" w14:textId="1A4E8A6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335F284B" w14:textId="521F4157"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2" w:type="pct"/>
            <w:noWrap/>
            <w:vAlign w:val="center"/>
            <w:hideMark/>
          </w:tcPr>
          <w:p w14:paraId="6499A54D" w14:textId="141A96DA"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r>
      <w:tr w:rsidR="00E622C0" w:rsidRPr="00C37C48" w14:paraId="32032A17"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D240813"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Debt</w:t>
            </w:r>
          </w:p>
        </w:tc>
        <w:tc>
          <w:tcPr>
            <w:tcW w:w="743" w:type="pct"/>
            <w:noWrap/>
            <w:hideMark/>
          </w:tcPr>
          <w:p w14:paraId="0A5687DD"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0084159C"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663DBE36"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69B714D4"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2" w:type="pct"/>
            <w:noWrap/>
            <w:hideMark/>
          </w:tcPr>
          <w:p w14:paraId="2FA6EDF2"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r>
      <w:tr w:rsidR="00E622C0" w:rsidRPr="00C37C48" w14:paraId="6B0857F8"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E7291A4"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Equity value</w:t>
            </w:r>
          </w:p>
        </w:tc>
        <w:tc>
          <w:tcPr>
            <w:tcW w:w="743" w:type="pct"/>
            <w:noWrap/>
            <w:hideMark/>
          </w:tcPr>
          <w:p w14:paraId="4C4A1FE3"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2995</w:t>
            </w:r>
          </w:p>
        </w:tc>
        <w:tc>
          <w:tcPr>
            <w:tcW w:w="745" w:type="pct"/>
            <w:noWrap/>
            <w:hideMark/>
          </w:tcPr>
          <w:p w14:paraId="306D7BE8"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4152</w:t>
            </w:r>
          </w:p>
        </w:tc>
        <w:tc>
          <w:tcPr>
            <w:tcW w:w="745" w:type="pct"/>
            <w:noWrap/>
            <w:hideMark/>
          </w:tcPr>
          <w:p w14:paraId="7337367D"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4731</w:t>
            </w:r>
          </w:p>
        </w:tc>
        <w:tc>
          <w:tcPr>
            <w:tcW w:w="745" w:type="pct"/>
            <w:noWrap/>
            <w:hideMark/>
          </w:tcPr>
          <w:p w14:paraId="283256FE"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5309</w:t>
            </w:r>
          </w:p>
        </w:tc>
        <w:tc>
          <w:tcPr>
            <w:tcW w:w="742" w:type="pct"/>
            <w:noWrap/>
            <w:hideMark/>
          </w:tcPr>
          <w:p w14:paraId="2E40123C"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5888</w:t>
            </w:r>
          </w:p>
        </w:tc>
      </w:tr>
      <w:tr w:rsidR="00E622C0" w:rsidRPr="00C37C48" w14:paraId="36EDF860"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3A23AC92"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LCAA Price / Share</w:t>
            </w:r>
          </w:p>
        </w:tc>
        <w:tc>
          <w:tcPr>
            <w:tcW w:w="743" w:type="pct"/>
            <w:noWrap/>
            <w:hideMark/>
          </w:tcPr>
          <w:p w14:paraId="05A0310A"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4.89</w:t>
            </w:r>
          </w:p>
        </w:tc>
        <w:tc>
          <w:tcPr>
            <w:tcW w:w="745" w:type="pct"/>
            <w:noWrap/>
            <w:hideMark/>
          </w:tcPr>
          <w:p w14:paraId="468E7D1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6.49</w:t>
            </w:r>
          </w:p>
        </w:tc>
        <w:tc>
          <w:tcPr>
            <w:tcW w:w="745" w:type="pct"/>
            <w:noWrap/>
            <w:hideMark/>
          </w:tcPr>
          <w:p w14:paraId="6360A641"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7.31</w:t>
            </w:r>
          </w:p>
        </w:tc>
        <w:tc>
          <w:tcPr>
            <w:tcW w:w="745" w:type="pct"/>
            <w:noWrap/>
            <w:hideMark/>
          </w:tcPr>
          <w:p w14:paraId="0DD6E47B"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8.11</w:t>
            </w:r>
          </w:p>
        </w:tc>
        <w:tc>
          <w:tcPr>
            <w:tcW w:w="742" w:type="pct"/>
            <w:noWrap/>
            <w:hideMark/>
          </w:tcPr>
          <w:p w14:paraId="0808067F"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8.89</w:t>
            </w:r>
          </w:p>
        </w:tc>
      </w:tr>
    </w:tbl>
    <w:p w14:paraId="1EB03C29" w14:textId="50E44E78" w:rsidR="00C37C48" w:rsidRDefault="00C37C48" w:rsidP="00C37C48">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Pr>
          <w:rFonts w:ascii="宋体" w:eastAsia="宋体" w:hAnsi="宋体" w:cs="宋体"/>
          <w:i/>
          <w:iCs/>
          <w:sz w:val="21"/>
          <w:szCs w:val="21"/>
        </w:rPr>
        <w:t xml:space="preserve"> </w:t>
      </w:r>
      <w:r>
        <w:rPr>
          <w:i/>
          <w:iCs/>
          <w:sz w:val="21"/>
          <w:szCs w:val="21"/>
        </w:rPr>
        <w:t>IBSG Research</w:t>
      </w:r>
    </w:p>
    <w:p w14:paraId="7C45116C" w14:textId="77777777" w:rsidR="00A625B6" w:rsidRPr="00D25FE8" w:rsidRDefault="00F01977" w:rsidP="00D25FE8">
      <w:pPr>
        <w:spacing w:line="360" w:lineRule="auto"/>
        <w:jc w:val="both"/>
        <w:rPr>
          <w:rFonts w:eastAsiaTheme="minorEastAsia"/>
        </w:rPr>
      </w:pPr>
      <w:r>
        <w:rPr>
          <w:rFonts w:eastAsiaTheme="minorEastAsia"/>
        </w:rPr>
        <w:t>The warrants will not be exercised in the base case of the company value</w:t>
      </w:r>
      <w:r w:rsidR="00466179">
        <w:rPr>
          <w:rFonts w:eastAsiaTheme="minorEastAsia"/>
        </w:rPr>
        <w:t>.</w:t>
      </w:r>
    </w:p>
    <w:p w14:paraId="00BA5818" w14:textId="77777777" w:rsidR="00C028FA" w:rsidRDefault="00C028FA" w:rsidP="004F0B04">
      <w:pPr>
        <w:pStyle w:val="Heading2"/>
        <w:rPr>
          <w:b/>
        </w:rPr>
      </w:pPr>
      <w:bookmarkStart w:id="25" w:name="_Toc131092073"/>
      <w:r>
        <w:t>4</w:t>
      </w:r>
      <w:r w:rsidRPr="000C72F5">
        <w:t>.</w:t>
      </w:r>
      <w:r>
        <w:t>2 Ownership</w:t>
      </w:r>
      <w:bookmarkEnd w:id="25"/>
    </w:p>
    <w:p w14:paraId="07D24DF0" w14:textId="2C24DE3F" w:rsidR="00C028FA" w:rsidRDefault="00791724" w:rsidP="00466179">
      <w:pPr>
        <w:spacing w:line="360" w:lineRule="auto"/>
        <w:jc w:val="both"/>
        <w:rPr>
          <w:rFonts w:eastAsiaTheme="minorEastAsia"/>
        </w:rPr>
      </w:pPr>
      <w:r>
        <w:rPr>
          <w:rFonts w:eastAsiaTheme="minorEastAsia" w:hint="eastAsia"/>
        </w:rPr>
        <w:t>T</w:t>
      </w:r>
      <w:r>
        <w:rPr>
          <w:rFonts w:eastAsiaTheme="minorEastAsia"/>
        </w:rPr>
        <w:t xml:space="preserve">he original </w:t>
      </w:r>
      <w:r w:rsidR="00BC1296">
        <w:rPr>
          <w:rFonts w:eastAsiaTheme="minorEastAsia"/>
        </w:rPr>
        <w:t xml:space="preserve">shareholders of Lotus, including Geely, still hold the majority stake in the merged entity. </w:t>
      </w:r>
      <w:r w:rsidR="00466179">
        <w:rPr>
          <w:rFonts w:eastAsiaTheme="minorEastAsia"/>
        </w:rPr>
        <w:t>The post</w:t>
      </w:r>
      <w:r w:rsidR="00F01977">
        <w:rPr>
          <w:rFonts w:eastAsiaTheme="minorEastAsia"/>
        </w:rPr>
        <w:t>-</w:t>
      </w:r>
      <w:r w:rsidR="00466179">
        <w:rPr>
          <w:rFonts w:eastAsiaTheme="minorEastAsia"/>
        </w:rPr>
        <w:t>De-</w:t>
      </w:r>
      <w:proofErr w:type="spellStart"/>
      <w:r w:rsidR="00466179">
        <w:rPr>
          <w:rFonts w:eastAsiaTheme="minorEastAsia"/>
        </w:rPr>
        <w:t>Spac</w:t>
      </w:r>
      <w:proofErr w:type="spellEnd"/>
      <w:r w:rsidR="00466179">
        <w:rPr>
          <w:rFonts w:eastAsiaTheme="minorEastAsia"/>
        </w:rPr>
        <w:t xml:space="preserve"> ownership consider</w:t>
      </w:r>
      <w:r w:rsidR="00F01977">
        <w:rPr>
          <w:rFonts w:eastAsiaTheme="minorEastAsia"/>
        </w:rPr>
        <w:t>s</w:t>
      </w:r>
      <w:r w:rsidR="00466179">
        <w:rPr>
          <w:rFonts w:eastAsiaTheme="minorEastAsia"/>
        </w:rPr>
        <w:t xml:space="preserve"> the minimum conversion of </w:t>
      </w:r>
      <w:proofErr w:type="spellStart"/>
      <w:r w:rsidR="00466179">
        <w:rPr>
          <w:rFonts w:eastAsiaTheme="minorEastAsia"/>
        </w:rPr>
        <w:t>Jingkai</w:t>
      </w:r>
      <w:proofErr w:type="spellEnd"/>
      <w:r w:rsidR="00466179">
        <w:rPr>
          <w:rFonts w:eastAsiaTheme="minorEastAsia"/>
        </w:rPr>
        <w:t xml:space="preserve"> Fund</w:t>
      </w:r>
      <w:r w:rsidR="004C5751">
        <w:rPr>
          <w:rFonts w:eastAsiaTheme="minorEastAsia"/>
        </w:rPr>
        <w:t>’</w:t>
      </w:r>
      <w:r w:rsidR="00466179">
        <w:rPr>
          <w:rFonts w:eastAsiaTheme="minorEastAsia"/>
        </w:rPr>
        <w:t xml:space="preserve">s </w:t>
      </w:r>
      <w:r w:rsidR="00466179">
        <w:rPr>
          <w:rFonts w:eastAsiaTheme="minorEastAsia"/>
        </w:rPr>
        <w:lastRenderedPageBreak/>
        <w:t>convertible bonds.</w:t>
      </w:r>
      <w:r w:rsidR="003E5AF6">
        <w:rPr>
          <w:rFonts w:eastAsiaTheme="minorEastAsia"/>
        </w:rPr>
        <w:t xml:space="preserve"> </w:t>
      </w:r>
      <w:r w:rsidR="00F01977">
        <w:rPr>
          <w:rFonts w:eastAsiaTheme="minorEastAsia"/>
        </w:rPr>
        <w:t>Like</w:t>
      </w:r>
      <w:r w:rsidR="003E5AF6">
        <w:rPr>
          <w:rFonts w:eastAsiaTheme="minorEastAsia"/>
        </w:rPr>
        <w:t xml:space="preserve"> most of the SPAC deals, the original shareholders of Lotus roll</w:t>
      </w:r>
      <w:r w:rsidR="00F01977">
        <w:rPr>
          <w:rFonts w:eastAsiaTheme="minorEastAsia"/>
        </w:rPr>
        <w:t xml:space="preserve"> </w:t>
      </w:r>
      <w:r w:rsidR="003E5AF6">
        <w:rPr>
          <w:rFonts w:eastAsiaTheme="minorEastAsia"/>
        </w:rPr>
        <w:t>over all its equity interest.</w:t>
      </w:r>
    </w:p>
    <w:p w14:paraId="2A04B307" w14:textId="355CF7A7" w:rsidR="00BC1296" w:rsidRPr="00BC1296" w:rsidRDefault="00BC1296" w:rsidP="00BC1296">
      <w:pPr>
        <w:pStyle w:val="Caption"/>
        <w:keepNext/>
        <w:spacing w:line="360" w:lineRule="auto"/>
        <w:jc w:val="center"/>
        <w:rPr>
          <w:rFonts w:ascii="Times New Roman" w:hAnsi="Times New Roman" w:cs="Times New Roman"/>
          <w:i/>
          <w:iCs/>
          <w:sz w:val="21"/>
          <w:szCs w:val="21"/>
        </w:rPr>
      </w:pPr>
      <w:r w:rsidRPr="00BC1296">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15</w:t>
      </w:r>
      <w:r w:rsidR="00D06E84">
        <w:rPr>
          <w:rFonts w:ascii="Times New Roman" w:hAnsi="Times New Roman" w:cs="Times New Roman"/>
          <w:i/>
          <w:iCs/>
          <w:sz w:val="21"/>
          <w:szCs w:val="21"/>
        </w:rPr>
        <w:fldChar w:fldCharType="end"/>
      </w:r>
      <w:r w:rsidRPr="00BC1296">
        <w:rPr>
          <w:rFonts w:ascii="Times New Roman" w:hAnsi="Times New Roman" w:cs="Times New Roman"/>
          <w:i/>
          <w:iCs/>
          <w:sz w:val="21"/>
          <w:szCs w:val="21"/>
        </w:rPr>
        <w:t>: Ownership after De-</w:t>
      </w:r>
      <w:proofErr w:type="spellStart"/>
      <w:r w:rsidRPr="00BC1296">
        <w:rPr>
          <w:rFonts w:ascii="Times New Roman" w:hAnsi="Times New Roman" w:cs="Times New Roman"/>
          <w:i/>
          <w:iCs/>
          <w:sz w:val="21"/>
          <w:szCs w:val="21"/>
        </w:rPr>
        <w:t>Spac</w:t>
      </w:r>
      <w:proofErr w:type="spellEnd"/>
    </w:p>
    <w:p w14:paraId="1154D36C" w14:textId="77777777" w:rsidR="00BC1296" w:rsidRDefault="00BC1296" w:rsidP="00BC1296">
      <w:pPr>
        <w:spacing w:line="360" w:lineRule="auto"/>
        <w:jc w:val="center"/>
        <w:rPr>
          <w:rFonts w:eastAsiaTheme="minorEastAsia"/>
        </w:rPr>
      </w:pPr>
      <w:r>
        <w:rPr>
          <w:noProof/>
        </w:rPr>
        <w:drawing>
          <wp:inline distT="0" distB="0" distL="0" distR="0" wp14:anchorId="0C05AD93" wp14:editId="50E09FDE">
            <wp:extent cx="4572000" cy="2743200"/>
            <wp:effectExtent l="0" t="0" r="0" b="0"/>
            <wp:docPr id="1" name="Chart 1">
              <a:extLst xmlns:a="http://schemas.openxmlformats.org/drawingml/2006/main">
                <a:ext uri="{FF2B5EF4-FFF2-40B4-BE49-F238E27FC236}">
                  <a16:creationId xmlns:a16="http://schemas.microsoft.com/office/drawing/2014/main" id="{FFDC3D6A-50EC-48C8-FB40-BC25EB181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3F9715" w14:textId="77777777" w:rsidR="00BC1296" w:rsidRDefault="00BC1296" w:rsidP="00BC1296">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LCAA Investor Presentation, IBSG Research</w:t>
      </w:r>
    </w:p>
    <w:p w14:paraId="6893F5B4" w14:textId="4105248C" w:rsidR="00BC1296" w:rsidRPr="00C028FA" w:rsidRDefault="00466179" w:rsidP="00466179">
      <w:pPr>
        <w:spacing w:line="360" w:lineRule="auto"/>
        <w:jc w:val="both"/>
        <w:rPr>
          <w:rFonts w:eastAsiaTheme="minorEastAsia"/>
        </w:rPr>
      </w:pPr>
      <w:r>
        <w:rPr>
          <w:rFonts w:eastAsiaTheme="minorEastAsia" w:hint="eastAsia"/>
        </w:rPr>
        <w:t>T</w:t>
      </w:r>
      <w:r>
        <w:rPr>
          <w:rFonts w:eastAsiaTheme="minorEastAsia"/>
        </w:rPr>
        <w:t>he potential PIPE may further dilute the equity while expand</w:t>
      </w:r>
      <w:r w:rsidR="00F01977">
        <w:rPr>
          <w:rFonts w:eastAsiaTheme="minorEastAsia"/>
        </w:rPr>
        <w:t>ing</w:t>
      </w:r>
      <w:r>
        <w:rPr>
          <w:rFonts w:eastAsiaTheme="minorEastAsia"/>
        </w:rPr>
        <w:t xml:space="preserve"> Lotus</w:t>
      </w:r>
      <w:r w:rsidR="004C5751">
        <w:rPr>
          <w:rFonts w:eastAsiaTheme="minorEastAsia"/>
        </w:rPr>
        <w:t>’</w:t>
      </w:r>
      <w:r>
        <w:rPr>
          <w:rFonts w:eastAsiaTheme="minorEastAsia"/>
        </w:rPr>
        <w:t>s billion-level cash balance for expansion.</w:t>
      </w:r>
    </w:p>
    <w:p w14:paraId="0F45E05F" w14:textId="3255B7E1" w:rsidR="00C028FA" w:rsidRDefault="00C028FA" w:rsidP="004F0B04">
      <w:pPr>
        <w:pStyle w:val="Heading2"/>
        <w:rPr>
          <w:b/>
        </w:rPr>
      </w:pPr>
      <w:bookmarkStart w:id="26" w:name="_Toc131092074"/>
      <w:r>
        <w:t>4</w:t>
      </w:r>
      <w:r w:rsidRPr="000C72F5">
        <w:t>.</w:t>
      </w:r>
      <w:r>
        <w:t>3 LCAA</w:t>
      </w:r>
      <w:r w:rsidR="004C5751">
        <w:t>’</w:t>
      </w:r>
      <w:r>
        <w:t>s Profit</w:t>
      </w:r>
      <w:bookmarkEnd w:id="26"/>
    </w:p>
    <w:p w14:paraId="06BD5829" w14:textId="1EE83ADD" w:rsidR="003946A6" w:rsidRDefault="003E5AF6" w:rsidP="00466179">
      <w:pPr>
        <w:spacing w:line="360" w:lineRule="auto"/>
        <w:jc w:val="both"/>
        <w:rPr>
          <w:noProof/>
        </w:rPr>
      </w:pPr>
      <w:r>
        <w:rPr>
          <w:rFonts w:eastAsiaTheme="minorEastAsia" w:hint="eastAsia"/>
        </w:rPr>
        <w:t>I</w:t>
      </w:r>
      <w:r>
        <w:rPr>
          <w:rFonts w:eastAsiaTheme="minorEastAsia"/>
        </w:rPr>
        <w:t xml:space="preserve">t is widely discussed how much the </w:t>
      </w:r>
      <w:r w:rsidR="00F01977">
        <w:rPr>
          <w:rFonts w:eastAsiaTheme="minorEastAsia"/>
        </w:rPr>
        <w:t>S</w:t>
      </w:r>
      <w:r>
        <w:rPr>
          <w:rFonts w:eastAsiaTheme="minorEastAsia"/>
        </w:rPr>
        <w:t>ponsor</w:t>
      </w:r>
      <w:r w:rsidR="003946A6">
        <w:rPr>
          <w:rFonts w:eastAsiaTheme="minorEastAsia"/>
        </w:rPr>
        <w:t xml:space="preserve"> of SPAC deals profit</w:t>
      </w:r>
      <w:r w:rsidR="00F01977">
        <w:rPr>
          <w:rFonts w:eastAsiaTheme="minorEastAsia"/>
        </w:rPr>
        <w:t>s</w:t>
      </w:r>
      <w:r w:rsidR="003946A6">
        <w:rPr>
          <w:rFonts w:eastAsiaTheme="minorEastAsia"/>
        </w:rPr>
        <w:t xml:space="preserve"> from the </w:t>
      </w:r>
      <w:r w:rsidR="00F01977">
        <w:rPr>
          <w:rFonts w:eastAsiaTheme="minorEastAsia"/>
        </w:rPr>
        <w:t xml:space="preserve">Sponsor </w:t>
      </w:r>
      <w:r w:rsidR="003946A6">
        <w:rPr>
          <w:rFonts w:eastAsiaTheme="minorEastAsia"/>
        </w:rPr>
        <w:t>promote. To date, L Catterton hold</w:t>
      </w:r>
      <w:r w:rsidR="00F01977">
        <w:rPr>
          <w:rFonts w:eastAsiaTheme="minorEastAsia"/>
        </w:rPr>
        <w:t>s</w:t>
      </w:r>
      <w:r w:rsidR="003946A6">
        <w:rPr>
          <w:rFonts w:eastAsiaTheme="minorEastAsia"/>
        </w:rPr>
        <w:t xml:space="preserve"> 30% </w:t>
      </w:r>
      <w:r w:rsidR="00F01977">
        <w:rPr>
          <w:rFonts w:eastAsiaTheme="minorEastAsia"/>
        </w:rPr>
        <w:t>S</w:t>
      </w:r>
      <w:r w:rsidR="003946A6">
        <w:rPr>
          <w:rFonts w:eastAsiaTheme="minorEastAsia"/>
        </w:rPr>
        <w:t xml:space="preserve">ponsor </w:t>
      </w:r>
      <w:r w:rsidR="00F01977">
        <w:rPr>
          <w:rFonts w:eastAsiaTheme="minorEastAsia"/>
        </w:rPr>
        <w:t>S</w:t>
      </w:r>
      <w:r w:rsidR="003946A6">
        <w:rPr>
          <w:rFonts w:eastAsiaTheme="minorEastAsia"/>
        </w:rPr>
        <w:t>hares in SPAC</w:t>
      </w:r>
      <w:r w:rsidR="00F01977">
        <w:rPr>
          <w:noProof/>
        </w:rPr>
        <w:t>, which is higher than the usual practice of 25%. The Sponsor Shares are subjected to earn-out and forfeiture arrangements tied to Sponsor</w:t>
      </w:r>
      <w:r w:rsidR="004C5751">
        <w:rPr>
          <w:noProof/>
        </w:rPr>
        <w:t>’</w:t>
      </w:r>
      <w:r w:rsidR="00F01977">
        <w:rPr>
          <w:noProof/>
        </w:rPr>
        <w:t>s affiliates</w:t>
      </w:r>
      <w:r w:rsidR="004C5751">
        <w:rPr>
          <w:noProof/>
        </w:rPr>
        <w:t>’</w:t>
      </w:r>
      <w:r w:rsidR="00F01977">
        <w:rPr>
          <w:noProof/>
        </w:rPr>
        <w:t xml:space="preserve"> participation in the following PIPE financing and strategic partnership with Lotus Tech, and 5% of Sponsor Shares may be transferred to certain LCAA public shareholders to induce such public shareholders not to exercise their redemption rights. Based on the merger valuation, the 30% Sponsor Shares have a net worth of $78 million</w:t>
      </w:r>
      <w:r w:rsidR="00C37C48">
        <w:rPr>
          <w:noProof/>
        </w:rPr>
        <w:t xml:space="preserve"> based on the valuation on the merger.</w:t>
      </w:r>
    </w:p>
    <w:p w14:paraId="28EBC07D" w14:textId="1EE2F10A" w:rsidR="00C028FA" w:rsidRPr="004F0B04" w:rsidRDefault="00E622C0" w:rsidP="004F0B04">
      <w:pPr>
        <w:pStyle w:val="Heading1"/>
      </w:pPr>
      <w:bookmarkStart w:id="27" w:name="_Toc131092075"/>
      <w:r w:rsidRPr="004F0B04">
        <w:t>5. Conclusion</w:t>
      </w:r>
      <w:bookmarkEnd w:id="27"/>
    </w:p>
    <w:p w14:paraId="3F93A8B2" w14:textId="2104C5C6" w:rsidR="00E622C0" w:rsidRDefault="00E622C0" w:rsidP="00E622C0">
      <w:pPr>
        <w:spacing w:line="360" w:lineRule="auto"/>
        <w:jc w:val="both"/>
        <w:rPr>
          <w:rFonts w:eastAsiaTheme="minorEastAsia"/>
        </w:rPr>
      </w:pPr>
      <w:r w:rsidRPr="00E622C0">
        <w:rPr>
          <w:rFonts w:eastAsiaTheme="minorEastAsia"/>
        </w:rPr>
        <w:t xml:space="preserve">The stock price in the base case </w:t>
      </w:r>
      <w:r w:rsidR="005B035F">
        <w:rPr>
          <w:rFonts w:eastAsiaTheme="minorEastAsia"/>
        </w:rPr>
        <w:t xml:space="preserve">(0.6x </w:t>
      </w:r>
      <w:r w:rsidR="004C5751">
        <w:rPr>
          <w:rFonts w:eastAsiaTheme="minorEastAsia"/>
        </w:rPr>
        <w:t>r</w:t>
      </w:r>
      <w:r w:rsidR="005B035F">
        <w:rPr>
          <w:rFonts w:eastAsiaTheme="minorEastAsia"/>
        </w:rPr>
        <w:t xml:space="preserve">evenue) </w:t>
      </w:r>
      <w:r w:rsidRPr="00E622C0">
        <w:rPr>
          <w:rFonts w:eastAsiaTheme="minorEastAsia"/>
        </w:rPr>
        <w:t>of the company value is far below $10, so we can</w:t>
      </w:r>
      <w:r w:rsidR="004C5751">
        <w:rPr>
          <w:rFonts w:eastAsiaTheme="minorEastAsia" w:hint="eastAsia"/>
        </w:rPr>
        <w:t>not</w:t>
      </w:r>
      <w:r w:rsidRPr="00E622C0">
        <w:rPr>
          <w:rFonts w:eastAsiaTheme="minorEastAsia"/>
        </w:rPr>
        <w:t xml:space="preserve"> justify </w:t>
      </w:r>
      <w:r w:rsidR="004C5751">
        <w:rPr>
          <w:rFonts w:eastAsiaTheme="minorEastAsia"/>
        </w:rPr>
        <w:t xml:space="preserve">the acquisition </w:t>
      </w:r>
      <w:r w:rsidRPr="00E622C0">
        <w:rPr>
          <w:rFonts w:eastAsiaTheme="minorEastAsia"/>
        </w:rPr>
        <w:t>valuation of Lotus.</w:t>
      </w:r>
    </w:p>
    <w:p w14:paraId="0BF5E894" w14:textId="73E81D53" w:rsidR="004C5751" w:rsidRDefault="004C5751" w:rsidP="004F0B04">
      <w:pPr>
        <w:spacing w:line="360" w:lineRule="auto"/>
        <w:jc w:val="both"/>
        <w:rPr>
          <w:rFonts w:eastAsiaTheme="minorEastAsia"/>
        </w:rPr>
      </w:pPr>
      <w:r>
        <w:rPr>
          <w:rFonts w:eastAsiaTheme="minorEastAsia"/>
        </w:rPr>
        <w:lastRenderedPageBreak/>
        <w:t>Our</w:t>
      </w:r>
      <w:r w:rsidR="005B035F">
        <w:rPr>
          <w:rFonts w:eastAsiaTheme="minorEastAsia"/>
        </w:rPr>
        <w:t xml:space="preserve"> valuation ratio </w:t>
      </w:r>
      <w:r>
        <w:rPr>
          <w:rFonts w:eastAsiaTheme="minorEastAsia"/>
        </w:rPr>
        <w:t>is consistent with</w:t>
      </w:r>
      <w:r w:rsidR="005B035F">
        <w:rPr>
          <w:rFonts w:eastAsiaTheme="minorEastAsia"/>
        </w:rPr>
        <w:t xml:space="preserve"> </w:t>
      </w:r>
      <w:r>
        <w:rPr>
          <w:rFonts w:eastAsiaTheme="minorEastAsia"/>
        </w:rPr>
        <w:t xml:space="preserve">the </w:t>
      </w:r>
      <w:r w:rsidR="005B035F">
        <w:rPr>
          <w:rFonts w:eastAsiaTheme="minorEastAsia"/>
        </w:rPr>
        <w:t>acquisition</w:t>
      </w:r>
      <w:r>
        <w:rPr>
          <w:rFonts w:eastAsiaTheme="minorEastAsia"/>
        </w:rPr>
        <w:t>. Still,</w:t>
      </w:r>
      <w:r w:rsidR="005B035F">
        <w:rPr>
          <w:rFonts w:eastAsiaTheme="minorEastAsia"/>
        </w:rPr>
        <w:t xml:space="preserve"> the implied revenue </w:t>
      </w:r>
      <w:r>
        <w:rPr>
          <w:rFonts w:eastAsiaTheme="minorEastAsia"/>
        </w:rPr>
        <w:t>CAGR is lower than</w:t>
      </w:r>
      <w:r w:rsidR="005B035F">
        <w:rPr>
          <w:rFonts w:eastAsiaTheme="minorEastAsia"/>
        </w:rPr>
        <w:t xml:space="preserve"> the </w:t>
      </w:r>
      <w:r>
        <w:rPr>
          <w:rFonts w:eastAsiaTheme="minorEastAsia"/>
        </w:rPr>
        <w:t>acquisition valuation growth rate of 90%</w:t>
      </w:r>
      <w:r w:rsidR="005B035F">
        <w:rPr>
          <w:rFonts w:eastAsiaTheme="minorEastAsia"/>
        </w:rPr>
        <w:t>.</w:t>
      </w:r>
    </w:p>
    <w:p w14:paraId="581C9010" w14:textId="4D71818B" w:rsidR="00E622C0" w:rsidRDefault="005B035F" w:rsidP="004F0B04">
      <w:pPr>
        <w:spacing w:line="360" w:lineRule="auto"/>
        <w:jc w:val="both"/>
        <w:rPr>
          <w:rFonts w:eastAsiaTheme="minorEastAsia"/>
        </w:rPr>
      </w:pPr>
      <w:r>
        <w:rPr>
          <w:rFonts w:eastAsiaTheme="minorEastAsia"/>
        </w:rPr>
        <w:t xml:space="preserve">To </w:t>
      </w:r>
      <w:r w:rsidR="008D129F">
        <w:rPr>
          <w:rFonts w:eastAsiaTheme="minorEastAsia"/>
        </w:rPr>
        <w:t>calculate</w:t>
      </w:r>
      <w:r>
        <w:rPr>
          <w:rFonts w:eastAsiaTheme="minorEastAsia"/>
        </w:rPr>
        <w:t xml:space="preserve"> the expected revenue </w:t>
      </w:r>
      <w:r w:rsidR="008D129F">
        <w:rPr>
          <w:rFonts w:eastAsiaTheme="minorEastAsia"/>
        </w:rPr>
        <w:t>of Lotus in 2025, we predict the market size of luxury electric vehicles by region and evaluate Lotus</w:t>
      </w:r>
      <w:r w:rsidR="004C5751">
        <w:rPr>
          <w:rFonts w:eastAsiaTheme="minorEastAsia"/>
        </w:rPr>
        <w:t>’</w:t>
      </w:r>
      <w:r w:rsidR="008D129F">
        <w:rPr>
          <w:rFonts w:eastAsiaTheme="minorEastAsia"/>
        </w:rPr>
        <w:t xml:space="preserve">s competitiveness by technology and sales ability. </w:t>
      </w:r>
      <w:r w:rsidR="004C5751">
        <w:rPr>
          <w:rFonts w:eastAsiaTheme="minorEastAsia"/>
        </w:rPr>
        <w:t>T</w:t>
      </w:r>
      <w:r w:rsidR="008D129F">
        <w:rPr>
          <w:rFonts w:eastAsiaTheme="minorEastAsia"/>
        </w:rPr>
        <w:t xml:space="preserve">o justify the 90% growth rate assumption, </w:t>
      </w:r>
      <w:r w:rsidR="00DA0E8D">
        <w:rPr>
          <w:rFonts w:eastAsiaTheme="minorEastAsia"/>
        </w:rPr>
        <w:t>either</w:t>
      </w:r>
      <w:r w:rsidR="008D129F">
        <w:rPr>
          <w:rFonts w:eastAsiaTheme="minorEastAsia"/>
        </w:rPr>
        <w:t xml:space="preserve"> of the </w:t>
      </w:r>
      <w:r w:rsidR="00DA0E8D">
        <w:rPr>
          <w:rFonts w:eastAsiaTheme="minorEastAsia"/>
        </w:rPr>
        <w:t>two</w:t>
      </w:r>
      <w:r w:rsidR="008D129F">
        <w:rPr>
          <w:rFonts w:eastAsiaTheme="minorEastAsia"/>
        </w:rPr>
        <w:t xml:space="preserve"> </w:t>
      </w:r>
      <w:r w:rsidR="004F0B04">
        <w:rPr>
          <w:rFonts w:eastAsiaTheme="minorEastAsia"/>
        </w:rPr>
        <w:t xml:space="preserve">unrealistic </w:t>
      </w:r>
      <w:r w:rsidR="008D129F">
        <w:rPr>
          <w:rFonts w:eastAsiaTheme="minorEastAsia"/>
        </w:rPr>
        <w:t xml:space="preserve">assumptions should be satisfied. First, the </w:t>
      </w:r>
      <w:r w:rsidR="004F0B04">
        <w:rPr>
          <w:rFonts w:eastAsiaTheme="minorEastAsia"/>
        </w:rPr>
        <w:t xml:space="preserve">annual </w:t>
      </w:r>
      <w:r w:rsidR="00DA0E8D">
        <w:rPr>
          <w:rFonts w:eastAsiaTheme="minorEastAsia"/>
        </w:rPr>
        <w:t xml:space="preserve">growth rates of </w:t>
      </w:r>
      <w:r w:rsidR="004C5751">
        <w:rPr>
          <w:rFonts w:eastAsiaTheme="minorEastAsia"/>
        </w:rPr>
        <w:t xml:space="preserve">the </w:t>
      </w:r>
      <w:r w:rsidR="008D129F">
        <w:rPr>
          <w:rFonts w:eastAsiaTheme="minorEastAsia"/>
        </w:rPr>
        <w:t>market size of luxury electric vehicles</w:t>
      </w:r>
      <w:r w:rsidR="00DA0E8D">
        <w:rPr>
          <w:rFonts w:eastAsiaTheme="minorEastAsia"/>
        </w:rPr>
        <w:t xml:space="preserve"> are greater than 50% in US and EU and </w:t>
      </w:r>
      <w:r w:rsidR="004C5751">
        <w:rPr>
          <w:rFonts w:eastAsiaTheme="minorEastAsia"/>
        </w:rPr>
        <w:t>more than</w:t>
      </w:r>
      <w:r w:rsidR="00DA0E8D">
        <w:rPr>
          <w:rFonts w:eastAsiaTheme="minorEastAsia"/>
        </w:rPr>
        <w:t xml:space="preserve"> 100% in China. Second, The technology of Lotus grow</w:t>
      </w:r>
      <w:r w:rsidR="004C5751">
        <w:rPr>
          <w:rFonts w:eastAsiaTheme="minorEastAsia"/>
        </w:rPr>
        <w:t>s</w:t>
      </w:r>
      <w:r w:rsidR="00DA0E8D">
        <w:rPr>
          <w:rFonts w:eastAsiaTheme="minorEastAsia"/>
        </w:rPr>
        <w:t xml:space="preserve"> hugely in the following five years, thus giving Lotus a significant competitive edge over its competitors and leading to </w:t>
      </w:r>
      <w:r w:rsidR="004C5751">
        <w:rPr>
          <w:rFonts w:eastAsiaTheme="minorEastAsia"/>
        </w:rPr>
        <w:t>immens</w:t>
      </w:r>
      <w:r w:rsidR="00DA0E8D">
        <w:rPr>
          <w:rFonts w:eastAsiaTheme="minorEastAsia"/>
        </w:rPr>
        <w:t>e growth in Lotus</w:t>
      </w:r>
      <w:r w:rsidR="004C5751">
        <w:rPr>
          <w:rFonts w:eastAsiaTheme="minorEastAsia"/>
        </w:rPr>
        <w:t>’</w:t>
      </w:r>
      <w:r w:rsidR="00DA0E8D">
        <w:rPr>
          <w:rFonts w:eastAsiaTheme="minorEastAsia"/>
        </w:rPr>
        <w:t>s market share.</w:t>
      </w:r>
    </w:p>
    <w:p w14:paraId="0DBBF1C5" w14:textId="1E738430" w:rsidR="004F0B04" w:rsidRPr="004F0B04" w:rsidRDefault="004F0B04" w:rsidP="004F0B04">
      <w:pPr>
        <w:pStyle w:val="Heading1"/>
      </w:pPr>
      <w:bookmarkStart w:id="28" w:name="_Toc131092076"/>
      <w:r w:rsidRPr="004F0B04">
        <w:t>6. Risk</w:t>
      </w:r>
      <w:bookmarkEnd w:id="28"/>
      <w:r w:rsidR="00CA28F6">
        <w:rPr>
          <w:rFonts w:hint="eastAsia"/>
        </w:rPr>
        <w:t>s</w:t>
      </w:r>
    </w:p>
    <w:p w14:paraId="255E00F6" w14:textId="7C8B8BF1" w:rsidR="004F0B04" w:rsidRPr="004F0B04" w:rsidRDefault="004F0B04" w:rsidP="004F0B04">
      <w:pPr>
        <w:pStyle w:val="Heading2"/>
      </w:pPr>
      <w:bookmarkStart w:id="29" w:name="_Toc131092077"/>
      <w:r w:rsidRPr="004F0B04">
        <w:t>6.1 Exchange Rate Risk</w:t>
      </w:r>
      <w:bookmarkEnd w:id="29"/>
    </w:p>
    <w:p w14:paraId="2257B569" w14:textId="7DDC386D" w:rsidR="004F0B04" w:rsidRPr="004F0B04" w:rsidRDefault="004F0B04" w:rsidP="00753598">
      <w:pPr>
        <w:spacing w:line="360" w:lineRule="auto"/>
        <w:jc w:val="both"/>
        <w:rPr>
          <w:rFonts w:eastAsiaTheme="minorEastAsia"/>
        </w:rPr>
      </w:pPr>
      <w:r w:rsidRPr="004F0B04">
        <w:rPr>
          <w:rFonts w:eastAsiaTheme="minorEastAsia"/>
        </w:rPr>
        <w:t xml:space="preserve">The China and EU luxury electric vehicle market size is converted from RMB to USD using the exchange rate of 1RMB=0.14 USD. If FED keeps going on the interest rate hike, in that case, the exchange rate fluctuation will affect the calculated luxury electric vehicle market size in different regions and thus </w:t>
      </w:r>
      <w:r w:rsidR="004C5751">
        <w:rPr>
          <w:rFonts w:eastAsiaTheme="minorEastAsia"/>
        </w:rPr>
        <w:t>influence</w:t>
      </w:r>
      <w:r w:rsidRPr="004F0B04">
        <w:rPr>
          <w:rFonts w:eastAsiaTheme="minorEastAsia"/>
        </w:rPr>
        <w:t xml:space="preserve"> the projected revenue of Lotus. </w:t>
      </w:r>
    </w:p>
    <w:p w14:paraId="19D74108" w14:textId="1F88C97A" w:rsidR="004F0B04" w:rsidRPr="004F0B04" w:rsidRDefault="004F0B04" w:rsidP="004F0B04">
      <w:pPr>
        <w:pStyle w:val="Heading2"/>
      </w:pPr>
      <w:bookmarkStart w:id="30" w:name="_Toc131092078"/>
      <w:r>
        <w:t>6</w:t>
      </w:r>
      <w:r w:rsidRPr="004F0B04">
        <w:t xml:space="preserve">.2 China Luxury Electric Vehicle Market Size is </w:t>
      </w:r>
      <w:proofErr w:type="gramStart"/>
      <w:r w:rsidRPr="004F0B04">
        <w:t>overestimated</w:t>
      </w:r>
      <w:bookmarkEnd w:id="30"/>
      <w:proofErr w:type="gramEnd"/>
    </w:p>
    <w:p w14:paraId="71E6991C" w14:textId="12E8F1E5" w:rsidR="004F0B04" w:rsidRDefault="004F0B04" w:rsidP="00753598">
      <w:pPr>
        <w:spacing w:line="360" w:lineRule="auto"/>
        <w:jc w:val="both"/>
        <w:rPr>
          <w:rFonts w:eastAsiaTheme="minorEastAsia"/>
        </w:rPr>
      </w:pPr>
      <w:r w:rsidRPr="004F0B04">
        <w:rPr>
          <w:rFonts w:eastAsiaTheme="minorEastAsia"/>
        </w:rPr>
        <w:t>The market size calculation assumes that more luxury electric vehicle models with higher prices will be on sale in China regarding the enclosed plan of several luxury vehicle brands like Audi in the coming years. If the sale of new models in the coming years meets obstacles such as insufficient capacity</w:t>
      </w:r>
      <w:r w:rsidR="004C5751">
        <w:rPr>
          <w:rFonts w:eastAsiaTheme="minorEastAsia"/>
        </w:rPr>
        <w:t>,</w:t>
      </w:r>
      <w:r w:rsidRPr="004F0B04">
        <w:rPr>
          <w:rFonts w:eastAsiaTheme="minorEastAsia"/>
        </w:rPr>
        <w:t xml:space="preserve"> the average price and sale volume of luxury electric vehicles will be lower than the estimation, resulting in a market size </w:t>
      </w:r>
      <w:r w:rsidR="004C5751">
        <w:rPr>
          <w:rFonts w:eastAsiaTheme="minorEastAsia"/>
        </w:rPr>
        <w:t>more melancholy</w:t>
      </w:r>
      <w:r w:rsidRPr="004F0B04">
        <w:rPr>
          <w:rFonts w:eastAsiaTheme="minorEastAsia"/>
        </w:rPr>
        <w:t xml:space="preserve"> than the prediction.</w:t>
      </w:r>
    </w:p>
    <w:p w14:paraId="0DFFBF9D" w14:textId="1A9567EC" w:rsidR="00753598" w:rsidRPr="004F0B04" w:rsidRDefault="00753598" w:rsidP="00753598">
      <w:pPr>
        <w:spacing w:line="360" w:lineRule="auto"/>
        <w:jc w:val="both"/>
        <w:rPr>
          <w:rFonts w:eastAsiaTheme="minorEastAsia"/>
        </w:rPr>
      </w:pPr>
      <w:r w:rsidRPr="00753598">
        <w:rPr>
          <w:rFonts w:eastAsiaTheme="minorEastAsia"/>
        </w:rPr>
        <w:t>Another risk that may arise is China</w:t>
      </w:r>
      <w:r w:rsidR="004C5751">
        <w:rPr>
          <w:rFonts w:eastAsiaTheme="minorEastAsia"/>
        </w:rPr>
        <w:t>’</w:t>
      </w:r>
      <w:r w:rsidRPr="00753598">
        <w:rPr>
          <w:rFonts w:eastAsiaTheme="minorEastAsia"/>
        </w:rPr>
        <w:t>s acceptance of luxury EVs.</w:t>
      </w:r>
      <w:r w:rsidRPr="00753598">
        <w:t xml:space="preserve"> </w:t>
      </w:r>
      <w:r w:rsidRPr="00753598">
        <w:rPr>
          <w:rFonts w:eastAsiaTheme="minorEastAsia"/>
        </w:rPr>
        <w:t xml:space="preserve">Although figures estimate that the CAGR of luxury EV sales is expected to rise to 35.1% from 2023 to 2025, current sales may speak a different story. A study </w:t>
      </w:r>
      <w:r w:rsidR="004C5751">
        <w:rPr>
          <w:rFonts w:eastAsiaTheme="minorEastAsia"/>
        </w:rPr>
        <w:t>on luxury vehicle consumption has shown that brand recognition and perception are the main driving forces of expensive vehicle purchases</w:t>
      </w:r>
      <w:r w:rsidRPr="00753598">
        <w:rPr>
          <w:rFonts w:eastAsiaTheme="minorEastAsia"/>
        </w:rPr>
        <w:t xml:space="preserve">. However, even renowned brands such as Mercedes Benz </w:t>
      </w:r>
      <w:r w:rsidR="004C5751">
        <w:rPr>
          <w:rFonts w:eastAsiaTheme="minorEastAsia"/>
        </w:rPr>
        <w:t>have</w:t>
      </w:r>
      <w:r w:rsidRPr="00753598">
        <w:rPr>
          <w:rFonts w:eastAsiaTheme="minorEastAsia"/>
        </w:rPr>
        <w:t xml:space="preserve"> problems with EV sales. The Mercedes EQS Sedan</w:t>
      </w:r>
      <w:r w:rsidR="004C5751">
        <w:rPr>
          <w:rFonts w:eastAsiaTheme="minorEastAsia"/>
        </w:rPr>
        <w:t>’</w:t>
      </w:r>
      <w:r w:rsidRPr="00753598">
        <w:rPr>
          <w:rFonts w:eastAsiaTheme="minorEastAsia"/>
        </w:rPr>
        <w:t xml:space="preserve">s poor performance of 8,000 units sold may be attributed </w:t>
      </w:r>
      <w:r w:rsidR="004C5751">
        <w:rPr>
          <w:rFonts w:eastAsiaTheme="minorEastAsia"/>
        </w:rPr>
        <w:t xml:space="preserve">to </w:t>
      </w:r>
      <w:r w:rsidRPr="00753598">
        <w:rPr>
          <w:rFonts w:eastAsiaTheme="minorEastAsia"/>
        </w:rPr>
        <w:t xml:space="preserve">the </w:t>
      </w:r>
      <w:r w:rsidR="004C5751">
        <w:rPr>
          <w:rFonts w:eastAsiaTheme="minorEastAsia"/>
        </w:rPr>
        <w:t>Chinese market not accepting the concept of luxury EVs entirely</w:t>
      </w:r>
      <w:r w:rsidRPr="00753598">
        <w:rPr>
          <w:rFonts w:eastAsiaTheme="minorEastAsia"/>
        </w:rPr>
        <w:t>. With Lotus</w:t>
      </w:r>
      <w:r w:rsidR="004C5751">
        <w:rPr>
          <w:rFonts w:eastAsiaTheme="minorEastAsia"/>
        </w:rPr>
        <w:t>’</w:t>
      </w:r>
      <w:r w:rsidRPr="00753598">
        <w:rPr>
          <w:rFonts w:eastAsiaTheme="minorEastAsia"/>
        </w:rPr>
        <w:t xml:space="preserve"> brand not fully built in </w:t>
      </w:r>
      <w:r w:rsidRPr="00753598">
        <w:rPr>
          <w:rFonts w:eastAsiaTheme="minorEastAsia"/>
        </w:rPr>
        <w:lastRenderedPageBreak/>
        <w:t xml:space="preserve">the Chinese market, this effect may have an even </w:t>
      </w:r>
      <w:r w:rsidR="004C5751">
        <w:rPr>
          <w:rFonts w:eastAsiaTheme="minorEastAsia"/>
        </w:rPr>
        <w:t>more significant</w:t>
      </w:r>
      <w:r w:rsidRPr="00753598">
        <w:rPr>
          <w:rFonts w:eastAsiaTheme="minorEastAsia"/>
        </w:rPr>
        <w:t xml:space="preserve"> impact o</w:t>
      </w:r>
      <w:r w:rsidR="004C5751">
        <w:rPr>
          <w:rFonts w:eastAsiaTheme="minorEastAsia"/>
        </w:rPr>
        <w:t>n</w:t>
      </w:r>
      <w:r w:rsidRPr="00753598">
        <w:rPr>
          <w:rFonts w:eastAsiaTheme="minorEastAsia"/>
        </w:rPr>
        <w:t xml:space="preserve"> the sales of Lotus</w:t>
      </w:r>
      <w:r w:rsidR="004C5751">
        <w:rPr>
          <w:rFonts w:eastAsiaTheme="minorEastAsia"/>
        </w:rPr>
        <w:t>’</w:t>
      </w:r>
      <w:r w:rsidRPr="00753598">
        <w:rPr>
          <w:rFonts w:eastAsiaTheme="minorEastAsia"/>
        </w:rPr>
        <w:t xml:space="preserve"> Type 133 model, a luxury sedan set to release in 2024, as Lotus.</w:t>
      </w:r>
    </w:p>
    <w:p w14:paraId="368CB2C5" w14:textId="46FA66F1" w:rsidR="004F0B04" w:rsidRPr="004F0B04" w:rsidRDefault="004F0B04" w:rsidP="004F0B04">
      <w:pPr>
        <w:pStyle w:val="Heading2"/>
      </w:pPr>
      <w:bookmarkStart w:id="31" w:name="_Toc131092079"/>
      <w:r>
        <w:t>6.3</w:t>
      </w:r>
      <w:r w:rsidRPr="004F0B04">
        <w:t xml:space="preserve"> Market Share of Lotus is </w:t>
      </w:r>
      <w:proofErr w:type="gramStart"/>
      <w:r w:rsidRPr="004F0B04">
        <w:t>overestimated</w:t>
      </w:r>
      <w:bookmarkEnd w:id="31"/>
      <w:proofErr w:type="gramEnd"/>
    </w:p>
    <w:p w14:paraId="28F5D054" w14:textId="262755BC" w:rsidR="004F0B04" w:rsidRDefault="004F0B04" w:rsidP="004F0B04">
      <w:pPr>
        <w:spacing w:line="360" w:lineRule="auto"/>
        <w:jc w:val="both"/>
        <w:rPr>
          <w:rFonts w:eastAsiaTheme="minorEastAsia"/>
        </w:rPr>
      </w:pPr>
      <w:r w:rsidRPr="004F0B04">
        <w:rPr>
          <w:rFonts w:eastAsiaTheme="minorEastAsia"/>
        </w:rPr>
        <w:t>The competition in luxury electric vehicle</w:t>
      </w:r>
      <w:r w:rsidR="004C5751">
        <w:rPr>
          <w:rFonts w:eastAsiaTheme="minorEastAsia"/>
        </w:rPr>
        <w:t>s</w:t>
      </w:r>
      <w:r w:rsidRPr="004F0B04">
        <w:rPr>
          <w:rFonts w:eastAsiaTheme="minorEastAsia"/>
        </w:rPr>
        <w:t xml:space="preserve"> is not fierce as it is still an emerging market. However, as more and more manufacturers enter the market, the competitive power of Lotus will likely be challenged. Though Lotus has </w:t>
      </w:r>
      <w:r w:rsidR="004C5751">
        <w:rPr>
          <w:rFonts w:eastAsiaTheme="minorEastAsia"/>
        </w:rPr>
        <w:t>a</w:t>
      </w:r>
      <w:r w:rsidRPr="004F0B04">
        <w:rPr>
          <w:rFonts w:eastAsiaTheme="minorEastAsia"/>
        </w:rPr>
        <w:t xml:space="preserve"> comparative advantage in technology, it needs a </w:t>
      </w:r>
      <w:r w:rsidR="004C5751">
        <w:rPr>
          <w:rFonts w:eastAsiaTheme="minorEastAsia"/>
        </w:rPr>
        <w:t>more decisive</w:t>
      </w:r>
      <w:r w:rsidRPr="004F0B04">
        <w:rPr>
          <w:rFonts w:eastAsiaTheme="minorEastAsia"/>
        </w:rPr>
        <w:t xml:space="preserve"> advantage to help it beat the newcomers in the market. Also, its dealerships and the number of direct sale stores don</w:t>
      </w:r>
      <w:r w:rsidR="004C5751">
        <w:rPr>
          <w:rFonts w:eastAsiaTheme="minorEastAsia"/>
        </w:rPr>
        <w:t>’</w:t>
      </w:r>
      <w:r w:rsidRPr="004F0B04">
        <w:rPr>
          <w:rFonts w:eastAsiaTheme="minorEastAsia"/>
        </w:rPr>
        <w:t xml:space="preserve">t grant </w:t>
      </w:r>
      <w:r w:rsidR="004C5751">
        <w:rPr>
          <w:rFonts w:eastAsiaTheme="minorEastAsia"/>
        </w:rPr>
        <w:t>an outstanding benefit for more sales</w:t>
      </w:r>
      <w:r w:rsidRPr="004F0B04">
        <w:rPr>
          <w:rFonts w:eastAsiaTheme="minorEastAsia"/>
        </w:rPr>
        <w:t xml:space="preserve"> volume. And thus, the market share of Lotus may be lower than predict</w:t>
      </w:r>
      <w:r w:rsidR="004C5751">
        <w:rPr>
          <w:rFonts w:eastAsiaTheme="minorEastAsia"/>
        </w:rPr>
        <w:t>ed</w:t>
      </w:r>
      <w:r w:rsidRPr="004F0B04">
        <w:rPr>
          <w:rFonts w:eastAsiaTheme="minorEastAsia"/>
        </w:rPr>
        <w:t xml:space="preserve"> due to the possible competition in the market.</w:t>
      </w:r>
    </w:p>
    <w:p w14:paraId="4D6981D8" w14:textId="239273DB" w:rsidR="00753598" w:rsidRDefault="00753598" w:rsidP="00753598">
      <w:pPr>
        <w:pStyle w:val="Heading2"/>
      </w:pPr>
      <w:bookmarkStart w:id="32" w:name="_Toc131092080"/>
      <w:r>
        <w:rPr>
          <w:rFonts w:hint="eastAsia"/>
        </w:rPr>
        <w:t>6</w:t>
      </w:r>
      <w:r>
        <w:t>.4 L</w:t>
      </w:r>
      <w:r w:rsidRPr="00753598">
        <w:t xml:space="preserve">ogistical </w:t>
      </w:r>
      <w:r>
        <w:t>Risk</w:t>
      </w:r>
      <w:bookmarkEnd w:id="32"/>
    </w:p>
    <w:p w14:paraId="6E20505D" w14:textId="388CD108" w:rsidR="00753598" w:rsidRDefault="00753598" w:rsidP="004F0B04">
      <w:pPr>
        <w:spacing w:line="360" w:lineRule="auto"/>
        <w:jc w:val="both"/>
        <w:rPr>
          <w:rFonts w:eastAsiaTheme="minorEastAsia"/>
        </w:rPr>
      </w:pPr>
      <w:r>
        <w:rPr>
          <w:rFonts w:eastAsiaTheme="minorEastAsia"/>
        </w:rPr>
        <w:t>A</w:t>
      </w:r>
      <w:r w:rsidRPr="00753598">
        <w:rPr>
          <w:rFonts w:eastAsiaTheme="minorEastAsia"/>
        </w:rPr>
        <w:t xml:space="preserve">ll the forecasts made by Lotus </w:t>
      </w:r>
      <w:r w:rsidR="004C5751">
        <w:rPr>
          <w:rFonts w:eastAsiaTheme="minorEastAsia"/>
        </w:rPr>
        <w:t>are</w:t>
      </w:r>
      <w:r w:rsidRPr="00753598">
        <w:rPr>
          <w:rFonts w:eastAsiaTheme="minorEastAsia"/>
        </w:rPr>
        <w:t xml:space="preserve"> under </w:t>
      </w:r>
      <w:r w:rsidR="004C5751">
        <w:rPr>
          <w:rFonts w:eastAsiaTheme="minorEastAsia"/>
        </w:rPr>
        <w:t xml:space="preserve">the </w:t>
      </w:r>
      <w:r w:rsidRPr="00753598">
        <w:rPr>
          <w:rFonts w:eastAsiaTheme="minorEastAsia"/>
        </w:rPr>
        <w:t xml:space="preserve">assumption that Lotus Tech will complete its global commercial platform </w:t>
      </w:r>
      <w:r w:rsidR="004C5751">
        <w:rPr>
          <w:rFonts w:eastAsiaTheme="minorEastAsia"/>
        </w:rPr>
        <w:t>according</w:t>
      </w:r>
      <w:r w:rsidRPr="00753598">
        <w:rPr>
          <w:rFonts w:eastAsiaTheme="minorEastAsia"/>
        </w:rPr>
        <w:t xml:space="preserve"> </w:t>
      </w:r>
      <w:r w:rsidR="004C5751">
        <w:rPr>
          <w:rFonts w:eastAsiaTheme="minorEastAsia"/>
        </w:rPr>
        <w:t>to</w:t>
      </w:r>
      <w:r w:rsidRPr="00753598">
        <w:rPr>
          <w:rFonts w:eastAsiaTheme="minorEastAsia"/>
        </w:rPr>
        <w:t xml:space="preserve"> its master distribution agreement with Lotus UK. Without this agreement, the company will be limited </w:t>
      </w:r>
      <w:r w:rsidR="004C5751">
        <w:rPr>
          <w:rFonts w:eastAsiaTheme="minorEastAsia"/>
        </w:rPr>
        <w:t>by</w:t>
      </w:r>
      <w:r w:rsidRPr="00753598">
        <w:rPr>
          <w:rFonts w:eastAsiaTheme="minorEastAsia"/>
        </w:rPr>
        <w:t xml:space="preserve"> different national systems, hindering its sales in Europe and America. Since Lotus tech run</w:t>
      </w:r>
      <w:r w:rsidR="004C5751">
        <w:rPr>
          <w:rFonts w:eastAsiaTheme="minorEastAsia"/>
        </w:rPr>
        <w:t>s</w:t>
      </w:r>
      <w:r w:rsidRPr="00753598">
        <w:rPr>
          <w:rFonts w:eastAsiaTheme="minorEastAsia"/>
        </w:rPr>
        <w:t xml:space="preserve"> on an asset</w:t>
      </w:r>
      <w:r w:rsidR="004C5751">
        <w:rPr>
          <w:rFonts w:eastAsiaTheme="minorEastAsia"/>
        </w:rPr>
        <w:t>-</w:t>
      </w:r>
      <w:r w:rsidRPr="00753598">
        <w:rPr>
          <w:rFonts w:eastAsiaTheme="minorEastAsia"/>
        </w:rPr>
        <w:t>light model</w:t>
      </w:r>
      <w:r w:rsidR="004C5751">
        <w:rPr>
          <w:rFonts w:eastAsiaTheme="minorEastAsia"/>
        </w:rPr>
        <w:t>,</w:t>
      </w:r>
      <w:r w:rsidRPr="00753598">
        <w:rPr>
          <w:rFonts w:eastAsiaTheme="minorEastAsia"/>
        </w:rPr>
        <w:t xml:space="preserve"> th</w:t>
      </w:r>
      <w:r w:rsidR="004C5751">
        <w:rPr>
          <w:rFonts w:eastAsiaTheme="minorEastAsia"/>
        </w:rPr>
        <w:t>us</w:t>
      </w:r>
      <w:r w:rsidRPr="00753598">
        <w:rPr>
          <w:rFonts w:eastAsiaTheme="minorEastAsia"/>
        </w:rPr>
        <w:t xml:space="preserve"> not manufacturing any of the goods, this agreement is instrumental for Lotus Tech to maintain its business model. </w:t>
      </w:r>
    </w:p>
    <w:p w14:paraId="72E7C10E" w14:textId="56991BC8" w:rsidR="00753598" w:rsidRDefault="00753598" w:rsidP="00753598">
      <w:pPr>
        <w:pStyle w:val="Heading2"/>
        <w:rPr>
          <w:rFonts w:eastAsiaTheme="minorEastAsia"/>
        </w:rPr>
      </w:pPr>
      <w:bookmarkStart w:id="33" w:name="_Toc131092081"/>
      <w:r>
        <w:rPr>
          <w:rFonts w:eastAsiaTheme="minorEastAsia" w:hint="eastAsia"/>
        </w:rPr>
        <w:t>6</w:t>
      </w:r>
      <w:r>
        <w:rPr>
          <w:rFonts w:eastAsiaTheme="minorEastAsia"/>
        </w:rPr>
        <w:t xml:space="preserve">.5 </w:t>
      </w:r>
      <w:r>
        <w:t>F</w:t>
      </w:r>
      <w:r w:rsidRPr="00753598">
        <w:t xml:space="preserve">und </w:t>
      </w:r>
      <w:r>
        <w:t>A</w:t>
      </w:r>
      <w:r w:rsidRPr="00753598">
        <w:t xml:space="preserve">cquisition </w:t>
      </w:r>
      <w:r>
        <w:rPr>
          <w:rFonts w:eastAsiaTheme="minorEastAsia"/>
        </w:rPr>
        <w:t>R</w:t>
      </w:r>
      <w:r w:rsidRPr="00753598">
        <w:t>isk</w:t>
      </w:r>
      <w:bookmarkEnd w:id="33"/>
    </w:p>
    <w:p w14:paraId="2263F9D2" w14:textId="783E09DE" w:rsidR="00753598" w:rsidRPr="00753598" w:rsidRDefault="00753598" w:rsidP="004F0B04">
      <w:pPr>
        <w:spacing w:line="360" w:lineRule="auto"/>
        <w:jc w:val="both"/>
        <w:rPr>
          <w:rFonts w:eastAsiaTheme="minorEastAsia"/>
        </w:rPr>
      </w:pPr>
      <w:r w:rsidRPr="00753598">
        <w:rPr>
          <w:rFonts w:eastAsiaTheme="minorEastAsia"/>
        </w:rPr>
        <w:t xml:space="preserve">Without a 788-million-dollar fund by the end of 2024 from the LCAA trust and other </w:t>
      </w:r>
      <w:r w:rsidR="004C5751">
        <w:rPr>
          <w:rFonts w:eastAsiaTheme="minorEastAsia"/>
        </w:rPr>
        <w:t>fundraising methods</w:t>
      </w:r>
      <w:r w:rsidRPr="00753598">
        <w:rPr>
          <w:rFonts w:eastAsiaTheme="minorEastAsia"/>
        </w:rPr>
        <w:t xml:space="preserve">, the risk of </w:t>
      </w:r>
      <w:r w:rsidR="004C5751">
        <w:rPr>
          <w:rFonts w:eastAsiaTheme="minorEastAsia"/>
        </w:rPr>
        <w:t xml:space="preserve">the </w:t>
      </w:r>
      <w:r w:rsidRPr="00753598">
        <w:rPr>
          <w:rFonts w:eastAsiaTheme="minorEastAsia"/>
        </w:rPr>
        <w:t>company</w:t>
      </w:r>
      <w:r w:rsidR="004C5751">
        <w:rPr>
          <w:rFonts w:eastAsiaTheme="minorEastAsia"/>
        </w:rPr>
        <w:t>’</w:t>
      </w:r>
      <w:r w:rsidRPr="00753598">
        <w:rPr>
          <w:rFonts w:eastAsiaTheme="minorEastAsia"/>
        </w:rPr>
        <w:t>s operation and research capabilities will be severely handicapped. The fund is instrumental for the company to deliver its models after 2023, which will make up the bulk of the sales in the future as forecasted.</w:t>
      </w:r>
    </w:p>
    <w:sectPr w:rsidR="00753598" w:rsidRPr="00753598">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3D52" w14:textId="77777777" w:rsidR="003304D1" w:rsidRDefault="003304D1">
      <w:r>
        <w:separator/>
      </w:r>
    </w:p>
  </w:endnote>
  <w:endnote w:type="continuationSeparator" w:id="0">
    <w:p w14:paraId="4AA6DEEA" w14:textId="77777777" w:rsidR="003304D1" w:rsidRDefault="0033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Devanagari">
    <w:altName w:val="Segoe Print"/>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AutoText"/>
      </w:docPartObj>
    </w:sdtPr>
    <w:sdtContent>
      <w:p w14:paraId="6863E2A8" w14:textId="77777777" w:rsidR="00995CC4" w:rsidRDefault="00CC64F4">
        <w:pPr>
          <w:pStyle w:val="Footer"/>
          <w:jc w:val="right"/>
        </w:pPr>
        <w:r>
          <w:rPr>
            <w:noProof/>
          </w:rPr>
          <mc:AlternateContent>
            <mc:Choice Requires="wps">
              <w:drawing>
                <wp:anchor distT="0" distB="0" distL="114300" distR="114300" simplePos="0" relativeHeight="251658752" behindDoc="0" locked="0" layoutInCell="1" allowOverlap="1" wp14:anchorId="474C5DB1" wp14:editId="57B31CA0">
                  <wp:simplePos x="0" y="0"/>
                  <wp:positionH relativeFrom="page">
                    <wp:posOffset>-76200</wp:posOffset>
                  </wp:positionH>
                  <wp:positionV relativeFrom="paragraph">
                    <wp:posOffset>191135</wp:posOffset>
                  </wp:positionV>
                  <wp:extent cx="2095500" cy="660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78D5CF4" id="Rectangle 8" o:spid="_x0000_s1026" style="position:absolute;margin-left:-6pt;margin-top:15.05pt;width:165pt;height:5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" fillcolor="#375623 [1609]" stroked="f" strokeweight="1pt">
                  <w10:wrap anchorx="page"/>
                </v:rect>
              </w:pict>
            </mc:Fallback>
          </mc:AlternateContent>
        </w:r>
        <w:r w:rsidR="000211E8">
          <w:fldChar w:fldCharType="begin"/>
        </w:r>
        <w:r w:rsidR="000211E8">
          <w:instrText xml:space="preserve"> PAGE   \* MERGEFORMAT </w:instrText>
        </w:r>
        <w:r w:rsidR="000211E8">
          <w:fldChar w:fldCharType="separate"/>
        </w:r>
        <w:r w:rsidR="000211E8">
          <w:t>2</w:t>
        </w:r>
        <w:r w:rsidR="000211E8">
          <w:fldChar w:fldCharType="end"/>
        </w:r>
      </w:p>
    </w:sdtContent>
  </w:sdt>
  <w:p w14:paraId="5AFB3E9E" w14:textId="77777777" w:rsidR="00995CC4" w:rsidRDefault="0099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9C1B" w14:textId="77777777" w:rsidR="003304D1" w:rsidRDefault="003304D1">
      <w:r>
        <w:separator/>
      </w:r>
    </w:p>
  </w:footnote>
  <w:footnote w:type="continuationSeparator" w:id="0">
    <w:p w14:paraId="6FC5E06A" w14:textId="77777777" w:rsidR="003304D1" w:rsidRDefault="003304D1">
      <w:r>
        <w:continuationSeparator/>
      </w:r>
    </w:p>
  </w:footnote>
  <w:footnote w:id="1">
    <w:p w14:paraId="0D5E115A"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9</w:t>
      </w:r>
      <w:r>
        <w:rPr>
          <w:rFonts w:eastAsiaTheme="minorEastAsia"/>
        </w:rPr>
        <w:t xml:space="preserve">0% </w:t>
      </w:r>
      <w:r>
        <w:rPr>
          <w:rFonts w:eastAsiaTheme="minorEastAsia" w:hint="eastAsia"/>
        </w:rPr>
        <w:t>CARG</w:t>
      </w:r>
      <w:r>
        <w:rPr>
          <w:rFonts w:eastAsiaTheme="minorEastAsia"/>
        </w:rPr>
        <w:t xml:space="preserve"> in in 2023E-2024</w:t>
      </w:r>
      <w:r>
        <w:rPr>
          <w:rFonts w:eastAsiaTheme="minorEastAsia" w:hint="eastAsia"/>
        </w:rPr>
        <w:t>E</w:t>
      </w:r>
      <w:r>
        <w:rPr>
          <w:rFonts w:eastAsiaTheme="minorEastAsia"/>
        </w:rPr>
        <w:t xml:space="preserve">, </w:t>
      </w:r>
      <w:r w:rsidRPr="00B40593">
        <w:rPr>
          <w:i/>
          <w:iCs/>
          <w:color w:val="000000"/>
          <w:sz w:val="20"/>
          <w:szCs w:val="20"/>
        </w:rPr>
        <w:t>L Catterton Asia Acquisition Corp. Investor Presentation</w:t>
      </w:r>
    </w:p>
  </w:footnote>
  <w:footnote w:id="2">
    <w:p w14:paraId="6CCC5A65"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C</w:t>
      </w:r>
      <w:r>
        <w:rPr>
          <w:rFonts w:eastAsiaTheme="minorEastAsia"/>
        </w:rPr>
        <w:t xml:space="preserve">onsider the revenue growth from $billion 6.2-6.6 in 2024E to 8.5-8.9 in 2025E, </w:t>
      </w:r>
      <w:r w:rsidRPr="00B40593">
        <w:rPr>
          <w:i/>
          <w:iCs/>
          <w:color w:val="000000"/>
          <w:sz w:val="20"/>
          <w:szCs w:val="20"/>
        </w:rPr>
        <w:t>L Catterton Asia Acquisition Corp. Investor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7AB40" w14:textId="77777777" w:rsidR="00995CC4" w:rsidRDefault="00CC64F4">
    <w:pPr>
      <w:rPr>
        <w:rFonts w:ascii="Adobe Devanagari" w:hAnsi="Adobe Devanagari" w:cs="Adobe Devanagari"/>
        <w:b/>
        <w:bCs/>
        <w:color w:val="A8D08D" w:themeColor="accent6" w:themeTint="99"/>
        <w:sz w:val="36"/>
        <w:szCs w:val="32"/>
      </w:rPr>
    </w:pPr>
    <w:r>
      <w:rPr>
        <w:noProof/>
      </w:rPr>
      <mc:AlternateContent>
        <mc:Choice Requires="wps">
          <w:drawing>
            <wp:anchor distT="0" distB="0" distL="114300" distR="114300" simplePos="0" relativeHeight="251656704" behindDoc="0" locked="0" layoutInCell="1" allowOverlap="1" wp14:anchorId="77E8789A" wp14:editId="2C679AFE">
              <wp:simplePos x="0" y="0"/>
              <wp:positionH relativeFrom="page">
                <wp:posOffset>-76200</wp:posOffset>
              </wp:positionH>
              <wp:positionV relativeFrom="paragraph">
                <wp:posOffset>-486410</wp:posOffset>
              </wp:positionV>
              <wp:extent cx="2095500" cy="6604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F4F6896" id="Rectangle 9" o:spid="_x0000_s1026" style="position:absolute;margin-left:-6pt;margin-top:-38.3pt;width:165pt;height:5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" fillcolor="#375623 [1609]" stroked="f" strokeweight="1pt">
              <w10:wrap anchorx="page"/>
            </v:rect>
          </w:pict>
        </mc:Fallback>
      </mc:AlternateContent>
    </w:r>
    <w:r w:rsidR="000211E8">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1DB1BD3F" wp14:editId="46B5CB7D">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2561A393" w14:textId="77777777" w:rsidR="00995CC4" w:rsidRDefault="00995CC4">
    <w:pPr>
      <w:rPr>
        <w:rFonts w:ascii="Adobe Devanagari" w:hAnsi="Adobe Devanagari" w:cs="Adobe Devanagari"/>
        <w:b/>
        <w:bCs/>
        <w:color w:val="A8D08D" w:themeColor="accent6" w:themeTint="99"/>
        <w:sz w:val="36"/>
        <w:szCs w:val="32"/>
      </w:rPr>
    </w:pPr>
  </w:p>
  <w:p w14:paraId="2DCCF27B" w14:textId="77777777" w:rsidR="00995CC4" w:rsidRDefault="00995CC4">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28"/>
    <w:multiLevelType w:val="hybridMultilevel"/>
    <w:tmpl w:val="AAB0CE48"/>
    <w:lvl w:ilvl="0" w:tplc="F5927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69F1608"/>
    <w:multiLevelType w:val="hybridMultilevel"/>
    <w:tmpl w:val="E84C6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797"/>
    <w:multiLevelType w:val="hybridMultilevel"/>
    <w:tmpl w:val="BBF8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8002F"/>
    <w:multiLevelType w:val="hybridMultilevel"/>
    <w:tmpl w:val="25220D8A"/>
    <w:lvl w:ilvl="0" w:tplc="9B045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DE6C32"/>
    <w:multiLevelType w:val="multilevel"/>
    <w:tmpl w:val="4EDE6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531293"/>
    <w:multiLevelType w:val="hybridMultilevel"/>
    <w:tmpl w:val="EDE2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8641A"/>
    <w:multiLevelType w:val="hybridMultilevel"/>
    <w:tmpl w:val="D1CC3878"/>
    <w:lvl w:ilvl="0" w:tplc="DE482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45768">
    <w:abstractNumId w:val="1"/>
  </w:num>
  <w:num w:numId="2" w16cid:durableId="1596085743">
    <w:abstractNumId w:val="5"/>
  </w:num>
  <w:num w:numId="3" w16cid:durableId="511995032">
    <w:abstractNumId w:val="3"/>
  </w:num>
  <w:num w:numId="4" w16cid:durableId="1681203811">
    <w:abstractNumId w:val="6"/>
  </w:num>
  <w:num w:numId="5" w16cid:durableId="940185907">
    <w:abstractNumId w:val="7"/>
  </w:num>
  <w:num w:numId="6" w16cid:durableId="1200168157">
    <w:abstractNumId w:val="0"/>
  </w:num>
  <w:num w:numId="7" w16cid:durableId="2016301954">
    <w:abstractNumId w:val="2"/>
  </w:num>
  <w:num w:numId="8" w16cid:durableId="980115133">
    <w:abstractNumId w:val="4"/>
  </w:num>
  <w:num w:numId="9" w16cid:durableId="326061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NqwFAESIkwQtAAAA"/>
    <w:docVar w:name="commondata" w:val="eyJoZGlkIjoiZjNlY2M5ZjdmNTAzNjg4NmY3YThhMTVhNTc3YzNmOGUifQ=="/>
  </w:docVars>
  <w:rsids>
    <w:rsidRoot w:val="00C17C0B"/>
    <w:rsid w:val="0000633E"/>
    <w:rsid w:val="00013D1D"/>
    <w:rsid w:val="000140A9"/>
    <w:rsid w:val="00017F27"/>
    <w:rsid w:val="000211E8"/>
    <w:rsid w:val="00030EAC"/>
    <w:rsid w:val="0003635E"/>
    <w:rsid w:val="00056E8B"/>
    <w:rsid w:val="00072466"/>
    <w:rsid w:val="000740A7"/>
    <w:rsid w:val="000754E6"/>
    <w:rsid w:val="00075FEF"/>
    <w:rsid w:val="0007755E"/>
    <w:rsid w:val="000859DB"/>
    <w:rsid w:val="00096FA0"/>
    <w:rsid w:val="000A2B74"/>
    <w:rsid w:val="000A2C2B"/>
    <w:rsid w:val="000A34AF"/>
    <w:rsid w:val="000A7413"/>
    <w:rsid w:val="000B0113"/>
    <w:rsid w:val="000B3CEF"/>
    <w:rsid w:val="000B6A35"/>
    <w:rsid w:val="000B79D4"/>
    <w:rsid w:val="000C3FE9"/>
    <w:rsid w:val="000C72F5"/>
    <w:rsid w:val="000D1839"/>
    <w:rsid w:val="000D25B4"/>
    <w:rsid w:val="000D5BA7"/>
    <w:rsid w:val="000E08D0"/>
    <w:rsid w:val="000E0B02"/>
    <w:rsid w:val="000E55C9"/>
    <w:rsid w:val="000F19E8"/>
    <w:rsid w:val="000F29FF"/>
    <w:rsid w:val="000F33AC"/>
    <w:rsid w:val="000F4398"/>
    <w:rsid w:val="00107389"/>
    <w:rsid w:val="001206A3"/>
    <w:rsid w:val="00122021"/>
    <w:rsid w:val="001227C8"/>
    <w:rsid w:val="001306C3"/>
    <w:rsid w:val="00135B1D"/>
    <w:rsid w:val="001417C0"/>
    <w:rsid w:val="001634E2"/>
    <w:rsid w:val="00166CC1"/>
    <w:rsid w:val="001679B4"/>
    <w:rsid w:val="00172A04"/>
    <w:rsid w:val="0018669E"/>
    <w:rsid w:val="001915CA"/>
    <w:rsid w:val="001A2704"/>
    <w:rsid w:val="001A5311"/>
    <w:rsid w:val="001A5619"/>
    <w:rsid w:val="001A74D7"/>
    <w:rsid w:val="001B1D37"/>
    <w:rsid w:val="001B1DAC"/>
    <w:rsid w:val="001B55DF"/>
    <w:rsid w:val="001B7DE4"/>
    <w:rsid w:val="001C2800"/>
    <w:rsid w:val="001D1E51"/>
    <w:rsid w:val="001E007A"/>
    <w:rsid w:val="001E08A2"/>
    <w:rsid w:val="001E1D32"/>
    <w:rsid w:val="001E3868"/>
    <w:rsid w:val="00201213"/>
    <w:rsid w:val="0020171E"/>
    <w:rsid w:val="00207D5E"/>
    <w:rsid w:val="00207EA2"/>
    <w:rsid w:val="0021036F"/>
    <w:rsid w:val="002135A4"/>
    <w:rsid w:val="00214BA5"/>
    <w:rsid w:val="002204E3"/>
    <w:rsid w:val="00222DC0"/>
    <w:rsid w:val="0022411D"/>
    <w:rsid w:val="00225529"/>
    <w:rsid w:val="002270FE"/>
    <w:rsid w:val="00230D2C"/>
    <w:rsid w:val="00246DBD"/>
    <w:rsid w:val="00252C52"/>
    <w:rsid w:val="00264C51"/>
    <w:rsid w:val="00277420"/>
    <w:rsid w:val="0029506C"/>
    <w:rsid w:val="002A0790"/>
    <w:rsid w:val="002A2718"/>
    <w:rsid w:val="002A3908"/>
    <w:rsid w:val="002C01CA"/>
    <w:rsid w:val="002C038A"/>
    <w:rsid w:val="002C12E0"/>
    <w:rsid w:val="002C3DD6"/>
    <w:rsid w:val="002D08A0"/>
    <w:rsid w:val="002D26F9"/>
    <w:rsid w:val="002D4D42"/>
    <w:rsid w:val="002D7B92"/>
    <w:rsid w:val="002D7E9C"/>
    <w:rsid w:val="002F3F05"/>
    <w:rsid w:val="00305606"/>
    <w:rsid w:val="00315897"/>
    <w:rsid w:val="00315D77"/>
    <w:rsid w:val="00320C81"/>
    <w:rsid w:val="00322580"/>
    <w:rsid w:val="003304D1"/>
    <w:rsid w:val="00330C20"/>
    <w:rsid w:val="00332136"/>
    <w:rsid w:val="00335C7F"/>
    <w:rsid w:val="00345AA2"/>
    <w:rsid w:val="0035535B"/>
    <w:rsid w:val="00361D41"/>
    <w:rsid w:val="003648E9"/>
    <w:rsid w:val="0036704C"/>
    <w:rsid w:val="003731D8"/>
    <w:rsid w:val="003755E3"/>
    <w:rsid w:val="00376551"/>
    <w:rsid w:val="00382237"/>
    <w:rsid w:val="00383BE9"/>
    <w:rsid w:val="00383C98"/>
    <w:rsid w:val="0039408A"/>
    <w:rsid w:val="003946A6"/>
    <w:rsid w:val="0039668C"/>
    <w:rsid w:val="00397848"/>
    <w:rsid w:val="003A1D12"/>
    <w:rsid w:val="003A1FAB"/>
    <w:rsid w:val="003A4E1A"/>
    <w:rsid w:val="003A7E43"/>
    <w:rsid w:val="003B15C6"/>
    <w:rsid w:val="003B396F"/>
    <w:rsid w:val="003C42DC"/>
    <w:rsid w:val="003C4345"/>
    <w:rsid w:val="003D3215"/>
    <w:rsid w:val="003E23C0"/>
    <w:rsid w:val="003E5AF6"/>
    <w:rsid w:val="003F1A8C"/>
    <w:rsid w:val="003F5787"/>
    <w:rsid w:val="00406E16"/>
    <w:rsid w:val="00406E25"/>
    <w:rsid w:val="00411D33"/>
    <w:rsid w:val="00414605"/>
    <w:rsid w:val="0042206A"/>
    <w:rsid w:val="004248ED"/>
    <w:rsid w:val="00426C6E"/>
    <w:rsid w:val="00427BE0"/>
    <w:rsid w:val="004314D8"/>
    <w:rsid w:val="0043494C"/>
    <w:rsid w:val="004377DD"/>
    <w:rsid w:val="00445717"/>
    <w:rsid w:val="00453235"/>
    <w:rsid w:val="004555F3"/>
    <w:rsid w:val="004564BD"/>
    <w:rsid w:val="00462956"/>
    <w:rsid w:val="00462E4C"/>
    <w:rsid w:val="0046520F"/>
    <w:rsid w:val="00466179"/>
    <w:rsid w:val="00473FBC"/>
    <w:rsid w:val="00481FA7"/>
    <w:rsid w:val="00482901"/>
    <w:rsid w:val="004830A2"/>
    <w:rsid w:val="00484A75"/>
    <w:rsid w:val="004873CF"/>
    <w:rsid w:val="004926F3"/>
    <w:rsid w:val="00495652"/>
    <w:rsid w:val="004A14C7"/>
    <w:rsid w:val="004B02B7"/>
    <w:rsid w:val="004C3936"/>
    <w:rsid w:val="004C5751"/>
    <w:rsid w:val="004C69BF"/>
    <w:rsid w:val="004D22F4"/>
    <w:rsid w:val="004D4FD1"/>
    <w:rsid w:val="004D5A99"/>
    <w:rsid w:val="004D5CC6"/>
    <w:rsid w:val="004D71C1"/>
    <w:rsid w:val="004F0B04"/>
    <w:rsid w:val="004F438A"/>
    <w:rsid w:val="004F6C28"/>
    <w:rsid w:val="004F7F35"/>
    <w:rsid w:val="0050654F"/>
    <w:rsid w:val="00513F14"/>
    <w:rsid w:val="00516335"/>
    <w:rsid w:val="00522731"/>
    <w:rsid w:val="00525405"/>
    <w:rsid w:val="00527E63"/>
    <w:rsid w:val="00532D01"/>
    <w:rsid w:val="00536309"/>
    <w:rsid w:val="00543EC5"/>
    <w:rsid w:val="005533E1"/>
    <w:rsid w:val="00554FDE"/>
    <w:rsid w:val="00555E6E"/>
    <w:rsid w:val="00560510"/>
    <w:rsid w:val="00565EF5"/>
    <w:rsid w:val="00572823"/>
    <w:rsid w:val="005728D2"/>
    <w:rsid w:val="00575553"/>
    <w:rsid w:val="00576733"/>
    <w:rsid w:val="00576C09"/>
    <w:rsid w:val="00576F04"/>
    <w:rsid w:val="0058199C"/>
    <w:rsid w:val="00584616"/>
    <w:rsid w:val="00593CA1"/>
    <w:rsid w:val="00595389"/>
    <w:rsid w:val="005953C7"/>
    <w:rsid w:val="005A64B3"/>
    <w:rsid w:val="005B035F"/>
    <w:rsid w:val="005C4A8D"/>
    <w:rsid w:val="005C7A5C"/>
    <w:rsid w:val="005D7653"/>
    <w:rsid w:val="005D7E96"/>
    <w:rsid w:val="005E0062"/>
    <w:rsid w:val="005E1254"/>
    <w:rsid w:val="005E1B7F"/>
    <w:rsid w:val="005E52DB"/>
    <w:rsid w:val="005F47A4"/>
    <w:rsid w:val="005F53A0"/>
    <w:rsid w:val="005F61F6"/>
    <w:rsid w:val="005F75D1"/>
    <w:rsid w:val="0060554B"/>
    <w:rsid w:val="006137C4"/>
    <w:rsid w:val="00615801"/>
    <w:rsid w:val="006165AF"/>
    <w:rsid w:val="00623B14"/>
    <w:rsid w:val="00623C89"/>
    <w:rsid w:val="00632CB9"/>
    <w:rsid w:val="00655330"/>
    <w:rsid w:val="00657ED6"/>
    <w:rsid w:val="006633C4"/>
    <w:rsid w:val="006633E7"/>
    <w:rsid w:val="00667BEE"/>
    <w:rsid w:val="00671AF2"/>
    <w:rsid w:val="00671E96"/>
    <w:rsid w:val="006720DB"/>
    <w:rsid w:val="00675AF7"/>
    <w:rsid w:val="00680F11"/>
    <w:rsid w:val="006863E3"/>
    <w:rsid w:val="006944C4"/>
    <w:rsid w:val="006A5D2D"/>
    <w:rsid w:val="006B4423"/>
    <w:rsid w:val="006C1391"/>
    <w:rsid w:val="006C176C"/>
    <w:rsid w:val="006C17C3"/>
    <w:rsid w:val="006C1FEB"/>
    <w:rsid w:val="006E64FA"/>
    <w:rsid w:val="006F02AD"/>
    <w:rsid w:val="006F4855"/>
    <w:rsid w:val="006F725E"/>
    <w:rsid w:val="00704327"/>
    <w:rsid w:val="00704941"/>
    <w:rsid w:val="00704994"/>
    <w:rsid w:val="007237FB"/>
    <w:rsid w:val="007359BF"/>
    <w:rsid w:val="00743ADE"/>
    <w:rsid w:val="0074602B"/>
    <w:rsid w:val="00750F4D"/>
    <w:rsid w:val="00753598"/>
    <w:rsid w:val="00754A3D"/>
    <w:rsid w:val="00754F41"/>
    <w:rsid w:val="007556F1"/>
    <w:rsid w:val="00761699"/>
    <w:rsid w:val="00764425"/>
    <w:rsid w:val="00764B19"/>
    <w:rsid w:val="00766228"/>
    <w:rsid w:val="00775F12"/>
    <w:rsid w:val="0078494C"/>
    <w:rsid w:val="00786A7E"/>
    <w:rsid w:val="007905AB"/>
    <w:rsid w:val="00790D46"/>
    <w:rsid w:val="00791724"/>
    <w:rsid w:val="007A02DD"/>
    <w:rsid w:val="007A7C57"/>
    <w:rsid w:val="007B2BBA"/>
    <w:rsid w:val="007C5CCD"/>
    <w:rsid w:val="007C7123"/>
    <w:rsid w:val="007D5789"/>
    <w:rsid w:val="007D7658"/>
    <w:rsid w:val="007E09BD"/>
    <w:rsid w:val="007E281C"/>
    <w:rsid w:val="007E47D0"/>
    <w:rsid w:val="007E4B07"/>
    <w:rsid w:val="007F5012"/>
    <w:rsid w:val="008021DC"/>
    <w:rsid w:val="008024FC"/>
    <w:rsid w:val="008066FA"/>
    <w:rsid w:val="00822B1B"/>
    <w:rsid w:val="00832993"/>
    <w:rsid w:val="00837FC2"/>
    <w:rsid w:val="00840D23"/>
    <w:rsid w:val="00841799"/>
    <w:rsid w:val="008525EA"/>
    <w:rsid w:val="00857E13"/>
    <w:rsid w:val="00867485"/>
    <w:rsid w:val="00875752"/>
    <w:rsid w:val="00875D18"/>
    <w:rsid w:val="00876DFF"/>
    <w:rsid w:val="00877791"/>
    <w:rsid w:val="0088015D"/>
    <w:rsid w:val="00890C99"/>
    <w:rsid w:val="00892446"/>
    <w:rsid w:val="00897B7A"/>
    <w:rsid w:val="008A0C3E"/>
    <w:rsid w:val="008A202F"/>
    <w:rsid w:val="008A7D0D"/>
    <w:rsid w:val="008B0AB0"/>
    <w:rsid w:val="008C1D65"/>
    <w:rsid w:val="008C446B"/>
    <w:rsid w:val="008C578F"/>
    <w:rsid w:val="008C6275"/>
    <w:rsid w:val="008D129F"/>
    <w:rsid w:val="008D2D60"/>
    <w:rsid w:val="008E1340"/>
    <w:rsid w:val="008E671C"/>
    <w:rsid w:val="008F313C"/>
    <w:rsid w:val="008F3E7C"/>
    <w:rsid w:val="008F5926"/>
    <w:rsid w:val="0091193B"/>
    <w:rsid w:val="00913975"/>
    <w:rsid w:val="00916490"/>
    <w:rsid w:val="00922E2E"/>
    <w:rsid w:val="00926475"/>
    <w:rsid w:val="00926B91"/>
    <w:rsid w:val="00927698"/>
    <w:rsid w:val="009322E5"/>
    <w:rsid w:val="009405A0"/>
    <w:rsid w:val="009505C1"/>
    <w:rsid w:val="00951108"/>
    <w:rsid w:val="00951900"/>
    <w:rsid w:val="00954038"/>
    <w:rsid w:val="00955698"/>
    <w:rsid w:val="0097283B"/>
    <w:rsid w:val="00972D3E"/>
    <w:rsid w:val="00991484"/>
    <w:rsid w:val="00992187"/>
    <w:rsid w:val="00995CC4"/>
    <w:rsid w:val="009A1229"/>
    <w:rsid w:val="009B1D4F"/>
    <w:rsid w:val="009B2DA6"/>
    <w:rsid w:val="009B3F51"/>
    <w:rsid w:val="009B6362"/>
    <w:rsid w:val="009C14CA"/>
    <w:rsid w:val="009D0286"/>
    <w:rsid w:val="009D0803"/>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4094E"/>
    <w:rsid w:val="00A51397"/>
    <w:rsid w:val="00A520C1"/>
    <w:rsid w:val="00A52385"/>
    <w:rsid w:val="00A52447"/>
    <w:rsid w:val="00A52AF8"/>
    <w:rsid w:val="00A55F26"/>
    <w:rsid w:val="00A625B6"/>
    <w:rsid w:val="00A6429B"/>
    <w:rsid w:val="00A644C9"/>
    <w:rsid w:val="00A67C31"/>
    <w:rsid w:val="00A73967"/>
    <w:rsid w:val="00A82228"/>
    <w:rsid w:val="00A843EE"/>
    <w:rsid w:val="00A85819"/>
    <w:rsid w:val="00A93A26"/>
    <w:rsid w:val="00A95FE7"/>
    <w:rsid w:val="00AA0037"/>
    <w:rsid w:val="00AA1964"/>
    <w:rsid w:val="00AA42FE"/>
    <w:rsid w:val="00AB07B5"/>
    <w:rsid w:val="00AB114E"/>
    <w:rsid w:val="00AB1B41"/>
    <w:rsid w:val="00AB5DE9"/>
    <w:rsid w:val="00AB7437"/>
    <w:rsid w:val="00AB7CF7"/>
    <w:rsid w:val="00AC3456"/>
    <w:rsid w:val="00AC3A71"/>
    <w:rsid w:val="00AC4BA9"/>
    <w:rsid w:val="00AC55C1"/>
    <w:rsid w:val="00AC6CEC"/>
    <w:rsid w:val="00AD129C"/>
    <w:rsid w:val="00AD2AEC"/>
    <w:rsid w:val="00AE0479"/>
    <w:rsid w:val="00AF07D8"/>
    <w:rsid w:val="00AF165B"/>
    <w:rsid w:val="00B1619E"/>
    <w:rsid w:val="00B23439"/>
    <w:rsid w:val="00B23D25"/>
    <w:rsid w:val="00B25D09"/>
    <w:rsid w:val="00B26634"/>
    <w:rsid w:val="00B26D57"/>
    <w:rsid w:val="00B2721A"/>
    <w:rsid w:val="00B35E40"/>
    <w:rsid w:val="00B40593"/>
    <w:rsid w:val="00B4520F"/>
    <w:rsid w:val="00B63C40"/>
    <w:rsid w:val="00B63E07"/>
    <w:rsid w:val="00B66D5F"/>
    <w:rsid w:val="00B70498"/>
    <w:rsid w:val="00B719E6"/>
    <w:rsid w:val="00B743B7"/>
    <w:rsid w:val="00B748F8"/>
    <w:rsid w:val="00B7755D"/>
    <w:rsid w:val="00B84342"/>
    <w:rsid w:val="00B95F90"/>
    <w:rsid w:val="00BA684C"/>
    <w:rsid w:val="00BA7F58"/>
    <w:rsid w:val="00BB25DC"/>
    <w:rsid w:val="00BB4A74"/>
    <w:rsid w:val="00BB529D"/>
    <w:rsid w:val="00BC1296"/>
    <w:rsid w:val="00BC5053"/>
    <w:rsid w:val="00BC58FB"/>
    <w:rsid w:val="00BD0AD1"/>
    <w:rsid w:val="00BD2E2F"/>
    <w:rsid w:val="00BD33F0"/>
    <w:rsid w:val="00BD50BF"/>
    <w:rsid w:val="00BD5FB7"/>
    <w:rsid w:val="00BE6C8B"/>
    <w:rsid w:val="00BF756A"/>
    <w:rsid w:val="00C00DF2"/>
    <w:rsid w:val="00C028FA"/>
    <w:rsid w:val="00C06A51"/>
    <w:rsid w:val="00C12C7B"/>
    <w:rsid w:val="00C1339B"/>
    <w:rsid w:val="00C1430D"/>
    <w:rsid w:val="00C158D7"/>
    <w:rsid w:val="00C16F3D"/>
    <w:rsid w:val="00C17C0B"/>
    <w:rsid w:val="00C24ACE"/>
    <w:rsid w:val="00C34A16"/>
    <w:rsid w:val="00C37C48"/>
    <w:rsid w:val="00C62835"/>
    <w:rsid w:val="00C64B75"/>
    <w:rsid w:val="00C70A6A"/>
    <w:rsid w:val="00C71503"/>
    <w:rsid w:val="00C76B3B"/>
    <w:rsid w:val="00C817BB"/>
    <w:rsid w:val="00CA28F6"/>
    <w:rsid w:val="00CA5CC6"/>
    <w:rsid w:val="00CB038D"/>
    <w:rsid w:val="00CB4830"/>
    <w:rsid w:val="00CC0A55"/>
    <w:rsid w:val="00CC544B"/>
    <w:rsid w:val="00CC5F5A"/>
    <w:rsid w:val="00CC64F4"/>
    <w:rsid w:val="00CC6E76"/>
    <w:rsid w:val="00CC7303"/>
    <w:rsid w:val="00CE134E"/>
    <w:rsid w:val="00CE5139"/>
    <w:rsid w:val="00CE68C0"/>
    <w:rsid w:val="00CF14DA"/>
    <w:rsid w:val="00CF7275"/>
    <w:rsid w:val="00CF72A8"/>
    <w:rsid w:val="00D02174"/>
    <w:rsid w:val="00D049B4"/>
    <w:rsid w:val="00D06E84"/>
    <w:rsid w:val="00D07D57"/>
    <w:rsid w:val="00D141A3"/>
    <w:rsid w:val="00D14F00"/>
    <w:rsid w:val="00D14FB6"/>
    <w:rsid w:val="00D25FE8"/>
    <w:rsid w:val="00D30826"/>
    <w:rsid w:val="00D467BD"/>
    <w:rsid w:val="00D47939"/>
    <w:rsid w:val="00D518F6"/>
    <w:rsid w:val="00D529F0"/>
    <w:rsid w:val="00D54B30"/>
    <w:rsid w:val="00D602F7"/>
    <w:rsid w:val="00D70D7B"/>
    <w:rsid w:val="00D70FBC"/>
    <w:rsid w:val="00D7254D"/>
    <w:rsid w:val="00D72567"/>
    <w:rsid w:val="00D74B49"/>
    <w:rsid w:val="00D76469"/>
    <w:rsid w:val="00D845E9"/>
    <w:rsid w:val="00D86FFF"/>
    <w:rsid w:val="00D94750"/>
    <w:rsid w:val="00DA0E8D"/>
    <w:rsid w:val="00DC1BD4"/>
    <w:rsid w:val="00DC2B02"/>
    <w:rsid w:val="00DC716C"/>
    <w:rsid w:val="00DC7B99"/>
    <w:rsid w:val="00DD13F1"/>
    <w:rsid w:val="00DD20D9"/>
    <w:rsid w:val="00DD49DF"/>
    <w:rsid w:val="00DD748E"/>
    <w:rsid w:val="00DF0A73"/>
    <w:rsid w:val="00DF610A"/>
    <w:rsid w:val="00E00C53"/>
    <w:rsid w:val="00E0109D"/>
    <w:rsid w:val="00E04D57"/>
    <w:rsid w:val="00E110D2"/>
    <w:rsid w:val="00E26C8F"/>
    <w:rsid w:val="00E27D5B"/>
    <w:rsid w:val="00E34310"/>
    <w:rsid w:val="00E417AC"/>
    <w:rsid w:val="00E41CE4"/>
    <w:rsid w:val="00E50F34"/>
    <w:rsid w:val="00E50FDF"/>
    <w:rsid w:val="00E622C0"/>
    <w:rsid w:val="00E66ADC"/>
    <w:rsid w:val="00E6721D"/>
    <w:rsid w:val="00E72F99"/>
    <w:rsid w:val="00E73C8F"/>
    <w:rsid w:val="00E747D5"/>
    <w:rsid w:val="00E82ABE"/>
    <w:rsid w:val="00E84766"/>
    <w:rsid w:val="00E85F65"/>
    <w:rsid w:val="00E87BD2"/>
    <w:rsid w:val="00E909EE"/>
    <w:rsid w:val="00E93F5E"/>
    <w:rsid w:val="00E961C3"/>
    <w:rsid w:val="00EA259A"/>
    <w:rsid w:val="00EB6036"/>
    <w:rsid w:val="00EB6E25"/>
    <w:rsid w:val="00EC3198"/>
    <w:rsid w:val="00EC33AE"/>
    <w:rsid w:val="00EC3DC8"/>
    <w:rsid w:val="00EC4A12"/>
    <w:rsid w:val="00EC51BC"/>
    <w:rsid w:val="00EC5699"/>
    <w:rsid w:val="00ED0FF4"/>
    <w:rsid w:val="00ED48A1"/>
    <w:rsid w:val="00ED5209"/>
    <w:rsid w:val="00EE1005"/>
    <w:rsid w:val="00EF7486"/>
    <w:rsid w:val="00EF798F"/>
    <w:rsid w:val="00F00B52"/>
    <w:rsid w:val="00F01977"/>
    <w:rsid w:val="00F13017"/>
    <w:rsid w:val="00F134F3"/>
    <w:rsid w:val="00F20046"/>
    <w:rsid w:val="00F2047A"/>
    <w:rsid w:val="00F2094E"/>
    <w:rsid w:val="00F2196D"/>
    <w:rsid w:val="00F4740F"/>
    <w:rsid w:val="00F47AEF"/>
    <w:rsid w:val="00F5132D"/>
    <w:rsid w:val="00F67A2F"/>
    <w:rsid w:val="00F74592"/>
    <w:rsid w:val="00F80AD0"/>
    <w:rsid w:val="00F902F7"/>
    <w:rsid w:val="00F906BF"/>
    <w:rsid w:val="00F979D3"/>
    <w:rsid w:val="00FB05AD"/>
    <w:rsid w:val="00FB1153"/>
    <w:rsid w:val="00FB3BD6"/>
    <w:rsid w:val="00FC0A73"/>
    <w:rsid w:val="00FD053D"/>
    <w:rsid w:val="00FD3302"/>
    <w:rsid w:val="00FD3840"/>
    <w:rsid w:val="00FD78AE"/>
    <w:rsid w:val="00FE0419"/>
    <w:rsid w:val="00FE3F43"/>
    <w:rsid w:val="00FF06C1"/>
    <w:rsid w:val="00FF1F6A"/>
    <w:rsid w:val="05479AB3"/>
    <w:rsid w:val="06761A47"/>
    <w:rsid w:val="07352503"/>
    <w:rsid w:val="0E47EB06"/>
    <w:rsid w:val="112D4B79"/>
    <w:rsid w:val="1AF1E8A8"/>
    <w:rsid w:val="20D04BE2"/>
    <w:rsid w:val="22D559E0"/>
    <w:rsid w:val="25DFE6B2"/>
    <w:rsid w:val="297CAD9A"/>
    <w:rsid w:val="2AF20B1F"/>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482432"/>
  <w15:docId w15:val="{B79E0984-1575-4820-9A3D-B66F8D23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84"/>
    <w:rPr>
      <w:rFonts w:ascii="Times New Roman" w:eastAsia="Times New Roman" w:hAnsi="Times New Roman" w:cs="Times New Roman"/>
      <w:sz w:val="24"/>
      <w:szCs w:val="24"/>
      <w:lang w:val="en-HK"/>
    </w:rPr>
  </w:style>
  <w:style w:type="paragraph" w:styleId="Heading1">
    <w:name w:val="heading 1"/>
    <w:basedOn w:val="Normal"/>
    <w:next w:val="Normal"/>
    <w:link w:val="Heading1Char"/>
    <w:uiPriority w:val="9"/>
    <w:qFormat/>
    <w:rsid w:val="004F0B04"/>
    <w:pPr>
      <w:keepNext/>
      <w:keepLines/>
      <w:spacing w:before="240" w:line="360" w:lineRule="auto"/>
      <w:outlineLvl w:val="0"/>
    </w:pPr>
    <w:rPr>
      <w:rFonts w:eastAsiaTheme="majorEastAsia"/>
      <w:b/>
      <w:color w:val="003300"/>
      <w:sz w:val="36"/>
      <w:szCs w:val="36"/>
      <w:lang w:val="en-US"/>
    </w:rPr>
  </w:style>
  <w:style w:type="paragraph" w:styleId="Heading2">
    <w:name w:val="heading 2"/>
    <w:basedOn w:val="Normal"/>
    <w:next w:val="Normal"/>
    <w:link w:val="Heading2Char"/>
    <w:uiPriority w:val="9"/>
    <w:unhideWhenUsed/>
    <w:qFormat/>
    <w:rsid w:val="004F0B04"/>
    <w:pPr>
      <w:keepNext/>
      <w:keepLines/>
      <w:spacing w:before="40" w:line="360" w:lineRule="auto"/>
      <w:outlineLvl w:val="1"/>
    </w:pPr>
    <w:rPr>
      <w:rFonts w:eastAsia="宋体"/>
      <w:bCs/>
      <w:color w:val="003300"/>
      <w:lang w:val="en-US"/>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lang w:val="en-US"/>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Pr>
      <w:rFonts w:ascii="宋体" w:eastAsia="宋体" w:hAnsi="宋体" w:cs="宋体"/>
      <w:sz w:val="20"/>
      <w:szCs w:val="20"/>
      <w:lang w:val="en-US"/>
    </w:rPr>
  </w:style>
  <w:style w:type="paragraph" w:styleId="TOC3">
    <w:name w:val="toc 3"/>
    <w:basedOn w:val="Normal"/>
    <w:next w:val="Normal"/>
    <w:uiPriority w:val="39"/>
    <w:unhideWhenUsed/>
    <w:qFormat/>
    <w:pPr>
      <w:spacing w:after="100"/>
      <w:ind w:left="480"/>
    </w:pPr>
    <w:rPr>
      <w:rFonts w:ascii="宋体" w:eastAsia="宋体" w:hAnsi="宋体" w:cs="宋体"/>
      <w:lang w:val="en-US"/>
    </w:r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lang w:val="en-US"/>
    </w:rPr>
  </w:style>
  <w:style w:type="paragraph" w:styleId="Header">
    <w:name w:val="header"/>
    <w:basedOn w:val="Normal"/>
    <w:link w:val="HeaderChar"/>
    <w:uiPriority w:val="99"/>
    <w:unhideWhenUsed/>
    <w:pPr>
      <w:tabs>
        <w:tab w:val="center" w:pos="4513"/>
        <w:tab w:val="right" w:pos="9026"/>
      </w:tabs>
    </w:pPr>
    <w:rPr>
      <w:rFonts w:ascii="宋体" w:eastAsia="宋体" w:hAnsi="宋体" w:cs="宋体"/>
      <w:lang w:val="en-US"/>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lang w:val="en-US"/>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lang w:val="en-US"/>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lang w:val="en-U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val="en-U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sid w:val="004F0B04"/>
    <w:rPr>
      <w:rFonts w:ascii="Times New Roman" w:eastAsiaTheme="majorEastAsia" w:hAnsi="Times New Roman" w:cs="Times New Roman"/>
      <w:b/>
      <w:color w:val="003300"/>
      <w:sz w:val="36"/>
      <w:szCs w:val="36"/>
    </w:rPr>
  </w:style>
  <w:style w:type="character" w:customStyle="1" w:styleId="HeaderChar">
    <w:name w:val="Header Char"/>
    <w:basedOn w:val="DefaultParagraphFont"/>
    <w:link w:val="Header"/>
    <w:uiPriority w:val="99"/>
    <w:rPr>
      <w:rFonts w:ascii="宋体" w:eastAsia="宋体" w:hAnsi="宋体" w:cs="宋体"/>
      <w:sz w:val="24"/>
      <w:szCs w:val="24"/>
      <w:lang w:val="en-US"/>
    </w:rPr>
  </w:style>
  <w:style w:type="character" w:customStyle="1" w:styleId="FooterChar">
    <w:name w:val="Footer Char"/>
    <w:basedOn w:val="DefaultParagraphFont"/>
    <w:link w:val="Footer"/>
    <w:uiPriority w:val="99"/>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pPr>
      <w:spacing w:before="100" w:beforeAutospacing="1" w:after="100" w:afterAutospacing="1"/>
    </w:pPr>
    <w:rPr>
      <w:rFonts w:ascii="宋体" w:hAnsi="宋体"/>
      <w:lang w:val="en-US"/>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lang w:val="en-US"/>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sid w:val="004F0B04"/>
    <w:rPr>
      <w:rFonts w:ascii="Times New Roman" w:eastAsia="宋体" w:hAnsi="Times New Roman" w:cs="Times New Roman"/>
      <w:bCs/>
      <w:color w:val="003300"/>
      <w:sz w:val="24"/>
      <w:szCs w:val="24"/>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lang w:val="en-US"/>
    </w:rPr>
  </w:style>
  <w:style w:type="character" w:customStyle="1" w:styleId="CommentTextChar">
    <w:name w:val="Comment Text Char"/>
    <w:basedOn w:val="DefaultParagraphFont"/>
    <w:link w:val="CommentText"/>
    <w:uiPriority w:val="99"/>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styleId="Revision">
    <w:name w:val="Revision"/>
    <w:hidden/>
    <w:uiPriority w:val="99"/>
    <w:semiHidden/>
    <w:rsid w:val="009D0803"/>
    <w:rPr>
      <w:rFonts w:ascii="宋体" w:eastAsia="宋体" w:hAnsi="宋体" w:cs="宋体"/>
      <w:sz w:val="24"/>
      <w:szCs w:val="24"/>
    </w:rPr>
  </w:style>
  <w:style w:type="paragraph" w:customStyle="1" w:styleId="1">
    <w:name w:val="正文1"/>
    <w:rsid w:val="00225529"/>
    <w:pPr>
      <w:widowControl w:val="0"/>
      <w:jc w:val="both"/>
    </w:pPr>
    <w:rPr>
      <w:rFonts w:ascii="等线" w:eastAsia="等线" w:hAnsi="等线" w:cs="Times New Roman"/>
      <w:kern w:val="2"/>
      <w:sz w:val="21"/>
      <w:szCs w:val="21"/>
    </w:rPr>
  </w:style>
  <w:style w:type="paragraph" w:customStyle="1" w:styleId="Default">
    <w:name w:val="Default"/>
    <w:rsid w:val="000C72F5"/>
    <w:pPr>
      <w:widowControl w:val="0"/>
      <w:autoSpaceDE w:val="0"/>
      <w:autoSpaceDN w:val="0"/>
      <w:adjustRightInd w:val="0"/>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63E07"/>
    <w:rPr>
      <w:rFonts w:asciiTheme="majorHAnsi" w:eastAsia="黑体" w:hAnsiTheme="majorHAnsi" w:cstheme="majorBidi"/>
      <w:sz w:val="20"/>
      <w:szCs w:val="20"/>
      <w:lang w:val="en-US"/>
    </w:rPr>
  </w:style>
  <w:style w:type="table" w:customStyle="1" w:styleId="IBSG1">
    <w:name w:val="IBSG"/>
    <w:basedOn w:val="TableNormal"/>
    <w:uiPriority w:val="99"/>
    <w:rsid w:val="00B63E07"/>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paragraph" w:customStyle="1" w:styleId="IBSG2">
    <w:name w:val="IBSG二级标题"/>
    <w:basedOn w:val="IBSG"/>
    <w:link w:val="IBSG3"/>
    <w:qFormat/>
    <w:rsid w:val="00AA42FE"/>
    <w:pPr>
      <w:jc w:val="both"/>
    </w:pPr>
    <w:rPr>
      <w:bCs/>
      <w:sz w:val="24"/>
    </w:rPr>
  </w:style>
  <w:style w:type="paragraph" w:customStyle="1" w:styleId="IBSG4">
    <w:name w:val="IBSG 三级标题"/>
    <w:basedOn w:val="Heading3"/>
    <w:link w:val="IBSG5"/>
    <w:qFormat/>
    <w:rsid w:val="00AA42FE"/>
    <w:pPr>
      <w:widowControl w:val="0"/>
      <w:spacing w:before="260" w:after="260" w:line="416" w:lineRule="auto"/>
      <w:jc w:val="both"/>
    </w:pPr>
    <w:rPr>
      <w:rFonts w:ascii="Times New Roman" w:eastAsia="宋体" w:hAnsi="Times New Roman"/>
      <w:color w:val="1F3763"/>
      <w:kern w:val="2"/>
      <w:szCs w:val="32"/>
    </w:rPr>
  </w:style>
  <w:style w:type="character" w:customStyle="1" w:styleId="IBSG3">
    <w:name w:val="IBSG二级标题 字符"/>
    <w:basedOn w:val="IBSG0"/>
    <w:link w:val="IBSG2"/>
    <w:rsid w:val="00AA42FE"/>
    <w:rPr>
      <w:rFonts w:ascii="Times New Roman" w:eastAsia="宋体" w:hAnsi="Times New Roman" w:cstheme="majorBidi"/>
      <w:b/>
      <w:bCs/>
      <w:color w:val="003300"/>
      <w:kern w:val="2"/>
      <w:sz w:val="24"/>
      <w:szCs w:val="32"/>
      <w:lang w:val="en-US"/>
    </w:rPr>
  </w:style>
  <w:style w:type="character" w:customStyle="1" w:styleId="IBSG5">
    <w:name w:val="IBSG 三级标题 字符"/>
    <w:basedOn w:val="IBSG0"/>
    <w:link w:val="IBSG4"/>
    <w:rsid w:val="00AA42FE"/>
    <w:rPr>
      <w:rFonts w:ascii="Times New Roman" w:eastAsia="宋体" w:hAnsi="Times New Roman" w:cstheme="majorBidi"/>
      <w:b w:val="0"/>
      <w:color w:val="1F3763"/>
      <w:kern w:val="2"/>
      <w:sz w:val="24"/>
      <w:szCs w:val="32"/>
      <w:lang w:val="en-US"/>
    </w:rPr>
  </w:style>
  <w:style w:type="paragraph" w:styleId="FootnoteText">
    <w:name w:val="footnote text"/>
    <w:basedOn w:val="Normal"/>
    <w:link w:val="FootnoteTextChar"/>
    <w:uiPriority w:val="99"/>
    <w:semiHidden/>
    <w:unhideWhenUsed/>
    <w:rsid w:val="00B40593"/>
    <w:pPr>
      <w:snapToGrid w:val="0"/>
    </w:pPr>
    <w:rPr>
      <w:sz w:val="18"/>
      <w:szCs w:val="18"/>
      <w:lang w:val="en-US"/>
    </w:rPr>
  </w:style>
  <w:style w:type="character" w:customStyle="1" w:styleId="FootnoteTextChar">
    <w:name w:val="Footnote Text Char"/>
    <w:basedOn w:val="DefaultParagraphFont"/>
    <w:link w:val="FootnoteText"/>
    <w:uiPriority w:val="99"/>
    <w:semiHidden/>
    <w:rsid w:val="00B40593"/>
    <w:rPr>
      <w:rFonts w:ascii="Times New Roman" w:eastAsia="Times New Roman" w:hAnsi="Times New Roman" w:cs="Times New Roman"/>
      <w:sz w:val="18"/>
      <w:szCs w:val="18"/>
    </w:rPr>
  </w:style>
  <w:style w:type="character" w:styleId="FootnoteReference">
    <w:name w:val="footnote reference"/>
    <w:basedOn w:val="DefaultParagraphFont"/>
    <w:uiPriority w:val="99"/>
    <w:semiHidden/>
    <w:unhideWhenUsed/>
    <w:rsid w:val="00B405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60">
      <w:bodyDiv w:val="1"/>
      <w:marLeft w:val="0"/>
      <w:marRight w:val="0"/>
      <w:marTop w:val="0"/>
      <w:marBottom w:val="0"/>
      <w:divBdr>
        <w:top w:val="none" w:sz="0" w:space="0" w:color="auto"/>
        <w:left w:val="none" w:sz="0" w:space="0" w:color="auto"/>
        <w:bottom w:val="none" w:sz="0" w:space="0" w:color="auto"/>
        <w:right w:val="none" w:sz="0" w:space="0" w:color="auto"/>
      </w:divBdr>
    </w:div>
    <w:div w:id="101265604">
      <w:bodyDiv w:val="1"/>
      <w:marLeft w:val="0"/>
      <w:marRight w:val="0"/>
      <w:marTop w:val="0"/>
      <w:marBottom w:val="0"/>
      <w:divBdr>
        <w:top w:val="none" w:sz="0" w:space="0" w:color="auto"/>
        <w:left w:val="none" w:sz="0" w:space="0" w:color="auto"/>
        <w:bottom w:val="none" w:sz="0" w:space="0" w:color="auto"/>
        <w:right w:val="none" w:sz="0" w:space="0" w:color="auto"/>
      </w:divBdr>
    </w:div>
    <w:div w:id="375349117">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508955289">
      <w:bodyDiv w:val="1"/>
      <w:marLeft w:val="0"/>
      <w:marRight w:val="0"/>
      <w:marTop w:val="0"/>
      <w:marBottom w:val="0"/>
      <w:divBdr>
        <w:top w:val="none" w:sz="0" w:space="0" w:color="auto"/>
        <w:left w:val="none" w:sz="0" w:space="0" w:color="auto"/>
        <w:bottom w:val="none" w:sz="0" w:space="0" w:color="auto"/>
        <w:right w:val="none" w:sz="0" w:space="0" w:color="auto"/>
      </w:divBdr>
    </w:div>
    <w:div w:id="557667598">
      <w:bodyDiv w:val="1"/>
      <w:marLeft w:val="0"/>
      <w:marRight w:val="0"/>
      <w:marTop w:val="0"/>
      <w:marBottom w:val="0"/>
      <w:divBdr>
        <w:top w:val="none" w:sz="0" w:space="0" w:color="auto"/>
        <w:left w:val="none" w:sz="0" w:space="0" w:color="auto"/>
        <w:bottom w:val="none" w:sz="0" w:space="0" w:color="auto"/>
        <w:right w:val="none" w:sz="0" w:space="0" w:color="auto"/>
      </w:divBdr>
    </w:div>
    <w:div w:id="608245119">
      <w:bodyDiv w:val="1"/>
      <w:marLeft w:val="0"/>
      <w:marRight w:val="0"/>
      <w:marTop w:val="0"/>
      <w:marBottom w:val="0"/>
      <w:divBdr>
        <w:top w:val="none" w:sz="0" w:space="0" w:color="auto"/>
        <w:left w:val="none" w:sz="0" w:space="0" w:color="auto"/>
        <w:bottom w:val="none" w:sz="0" w:space="0" w:color="auto"/>
        <w:right w:val="none" w:sz="0" w:space="0" w:color="auto"/>
      </w:divBdr>
    </w:div>
    <w:div w:id="775714337">
      <w:bodyDiv w:val="1"/>
      <w:marLeft w:val="0"/>
      <w:marRight w:val="0"/>
      <w:marTop w:val="0"/>
      <w:marBottom w:val="0"/>
      <w:divBdr>
        <w:top w:val="none" w:sz="0" w:space="0" w:color="auto"/>
        <w:left w:val="none" w:sz="0" w:space="0" w:color="auto"/>
        <w:bottom w:val="none" w:sz="0" w:space="0" w:color="auto"/>
        <w:right w:val="none" w:sz="0" w:space="0" w:color="auto"/>
      </w:divBdr>
    </w:div>
    <w:div w:id="838428229">
      <w:bodyDiv w:val="1"/>
      <w:marLeft w:val="0"/>
      <w:marRight w:val="0"/>
      <w:marTop w:val="0"/>
      <w:marBottom w:val="0"/>
      <w:divBdr>
        <w:top w:val="none" w:sz="0" w:space="0" w:color="auto"/>
        <w:left w:val="none" w:sz="0" w:space="0" w:color="auto"/>
        <w:bottom w:val="none" w:sz="0" w:space="0" w:color="auto"/>
        <w:right w:val="none" w:sz="0" w:space="0" w:color="auto"/>
      </w:divBdr>
    </w:div>
    <w:div w:id="839926246">
      <w:bodyDiv w:val="1"/>
      <w:marLeft w:val="0"/>
      <w:marRight w:val="0"/>
      <w:marTop w:val="0"/>
      <w:marBottom w:val="0"/>
      <w:divBdr>
        <w:top w:val="none" w:sz="0" w:space="0" w:color="auto"/>
        <w:left w:val="none" w:sz="0" w:space="0" w:color="auto"/>
        <w:bottom w:val="none" w:sz="0" w:space="0" w:color="auto"/>
        <w:right w:val="none" w:sz="0" w:space="0" w:color="auto"/>
      </w:divBdr>
    </w:div>
    <w:div w:id="1030449540">
      <w:bodyDiv w:val="1"/>
      <w:marLeft w:val="0"/>
      <w:marRight w:val="0"/>
      <w:marTop w:val="0"/>
      <w:marBottom w:val="0"/>
      <w:divBdr>
        <w:top w:val="none" w:sz="0" w:space="0" w:color="auto"/>
        <w:left w:val="none" w:sz="0" w:space="0" w:color="auto"/>
        <w:bottom w:val="none" w:sz="0" w:space="0" w:color="auto"/>
        <w:right w:val="none" w:sz="0" w:space="0" w:color="auto"/>
      </w:divBdr>
    </w:div>
    <w:div w:id="1036614574">
      <w:bodyDiv w:val="1"/>
      <w:marLeft w:val="0"/>
      <w:marRight w:val="0"/>
      <w:marTop w:val="0"/>
      <w:marBottom w:val="0"/>
      <w:divBdr>
        <w:top w:val="none" w:sz="0" w:space="0" w:color="auto"/>
        <w:left w:val="none" w:sz="0" w:space="0" w:color="auto"/>
        <w:bottom w:val="none" w:sz="0" w:space="0" w:color="auto"/>
        <w:right w:val="none" w:sz="0" w:space="0" w:color="auto"/>
      </w:divBdr>
    </w:div>
    <w:div w:id="1115949710">
      <w:bodyDiv w:val="1"/>
      <w:marLeft w:val="0"/>
      <w:marRight w:val="0"/>
      <w:marTop w:val="0"/>
      <w:marBottom w:val="0"/>
      <w:divBdr>
        <w:top w:val="none" w:sz="0" w:space="0" w:color="auto"/>
        <w:left w:val="none" w:sz="0" w:space="0" w:color="auto"/>
        <w:bottom w:val="none" w:sz="0" w:space="0" w:color="auto"/>
        <w:right w:val="none" w:sz="0" w:space="0" w:color="auto"/>
      </w:divBdr>
    </w:div>
    <w:div w:id="1255549375">
      <w:bodyDiv w:val="1"/>
      <w:marLeft w:val="0"/>
      <w:marRight w:val="0"/>
      <w:marTop w:val="0"/>
      <w:marBottom w:val="0"/>
      <w:divBdr>
        <w:top w:val="none" w:sz="0" w:space="0" w:color="auto"/>
        <w:left w:val="none" w:sz="0" w:space="0" w:color="auto"/>
        <w:bottom w:val="none" w:sz="0" w:space="0" w:color="auto"/>
        <w:right w:val="none" w:sz="0" w:space="0" w:color="auto"/>
      </w:divBdr>
    </w:div>
    <w:div w:id="1595044968">
      <w:bodyDiv w:val="1"/>
      <w:marLeft w:val="0"/>
      <w:marRight w:val="0"/>
      <w:marTop w:val="0"/>
      <w:marBottom w:val="0"/>
      <w:divBdr>
        <w:top w:val="none" w:sz="0" w:space="0" w:color="auto"/>
        <w:left w:val="none" w:sz="0" w:space="0" w:color="auto"/>
        <w:bottom w:val="none" w:sz="0" w:space="0" w:color="auto"/>
        <w:right w:val="none" w:sz="0" w:space="0" w:color="auto"/>
      </w:divBdr>
    </w:div>
    <w:div w:id="1820881974">
      <w:bodyDiv w:val="1"/>
      <w:marLeft w:val="0"/>
      <w:marRight w:val="0"/>
      <w:marTop w:val="0"/>
      <w:marBottom w:val="0"/>
      <w:divBdr>
        <w:top w:val="none" w:sz="0" w:space="0" w:color="auto"/>
        <w:left w:val="none" w:sz="0" w:space="0" w:color="auto"/>
        <w:bottom w:val="none" w:sz="0" w:space="0" w:color="auto"/>
        <w:right w:val="none" w:sz="0" w:space="0" w:color="auto"/>
      </w:divBdr>
    </w:div>
    <w:div w:id="1915966847">
      <w:bodyDiv w:val="1"/>
      <w:marLeft w:val="0"/>
      <w:marRight w:val="0"/>
      <w:marTop w:val="0"/>
      <w:marBottom w:val="0"/>
      <w:divBdr>
        <w:top w:val="none" w:sz="0" w:space="0" w:color="auto"/>
        <w:left w:val="none" w:sz="0" w:space="0" w:color="auto"/>
        <w:bottom w:val="none" w:sz="0" w:space="0" w:color="auto"/>
        <w:right w:val="none" w:sz="0" w:space="0" w:color="auto"/>
      </w:divBdr>
    </w:div>
    <w:div w:id="1995454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henyuye\Desktop\Copy%20of%20competiti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kustconnect-my.sharepoint.com/personal/ychenip_connect_ust_hk/Documents/&#39640;&#31471;&#26032;&#33021;&#28304;&#36710;&#24066;&#22330;&#35268;&#2716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8128\Desktop\DeSpac%20Spreadsheet%20Lotus%20(version%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Sheet1!$B$9</c:f>
              <c:strCache>
                <c:ptCount val="1"/>
                <c:pt idx="0">
                  <c:v>2023E</c:v>
                </c:pt>
              </c:strCache>
            </c:strRef>
          </c:tx>
          <c:spPr>
            <a:solidFill>
              <a:schemeClr val="accent6">
                <a:tint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Sheet1!$B$10:$B$14</c:f>
              <c:numCache>
                <c:formatCode>#,##0.00</c:formatCode>
                <c:ptCount val="5"/>
                <c:pt idx="0">
                  <c:v>133279</c:v>
                </c:pt>
                <c:pt idx="1">
                  <c:v>72134</c:v>
                </c:pt>
                <c:pt idx="2">
                  <c:v>14580</c:v>
                </c:pt>
                <c:pt idx="3">
                  <c:v>46754</c:v>
                </c:pt>
                <c:pt idx="4">
                  <c:v>1332.79</c:v>
                </c:pt>
              </c:numCache>
            </c:numRef>
          </c:val>
          <c:extLst>
            <c:ext xmlns:c16="http://schemas.microsoft.com/office/drawing/2014/chart" uri="{C3380CC4-5D6E-409C-BE32-E72D297353CC}">
              <c16:uniqueId val="{00000000-C9DD-3E40-837B-E3ED50A2ADD4}"/>
            </c:ext>
          </c:extLst>
        </c:ser>
        <c:ser>
          <c:idx val="1"/>
          <c:order val="1"/>
          <c:tx>
            <c:strRef>
              <c:f>Sheet1!$C$9</c:f>
              <c:strCache>
                <c:ptCount val="1"/>
                <c:pt idx="0">
                  <c:v>2024E</c:v>
                </c:pt>
              </c:strCache>
            </c:strRef>
          </c:tx>
          <c:spPr>
            <a:solidFill>
              <a:schemeClr val="accent6"/>
            </a:solidFill>
            <a:ln>
              <a:noFill/>
            </a:ln>
            <a:effectLst/>
          </c:spPr>
          <c:invertIfNegative val="0"/>
          <c:cat>
            <c:strRef>
              <c:f>Sheet1!$A$10:$A$14</c:f>
              <c:strCache>
                <c:ptCount val="5"/>
                <c:pt idx="0">
                  <c:v>US</c:v>
                </c:pt>
                <c:pt idx="1">
                  <c:v>EU</c:v>
                </c:pt>
                <c:pt idx="2">
                  <c:v>UK</c:v>
                </c:pt>
                <c:pt idx="3">
                  <c:v>China</c:v>
                </c:pt>
                <c:pt idx="4">
                  <c:v>ROW</c:v>
                </c:pt>
              </c:strCache>
            </c:strRef>
          </c:cat>
          <c:val>
            <c:numRef>
              <c:f>Sheet1!$C$10:$C$14</c:f>
              <c:numCache>
                <c:formatCode>#,##0.00</c:formatCode>
                <c:ptCount val="5"/>
                <c:pt idx="0">
                  <c:v>183925</c:v>
                </c:pt>
                <c:pt idx="1">
                  <c:v>98103</c:v>
                </c:pt>
                <c:pt idx="2">
                  <c:v>19683</c:v>
                </c:pt>
                <c:pt idx="3">
                  <c:v>68247</c:v>
                </c:pt>
                <c:pt idx="4">
                  <c:v>1839.25</c:v>
                </c:pt>
              </c:numCache>
            </c:numRef>
          </c:val>
          <c:extLst>
            <c:ext xmlns:c16="http://schemas.microsoft.com/office/drawing/2014/chart" uri="{C3380CC4-5D6E-409C-BE32-E72D297353CC}">
              <c16:uniqueId val="{00000001-C9DD-3E40-837B-E3ED50A2ADD4}"/>
            </c:ext>
          </c:extLst>
        </c:ser>
        <c:ser>
          <c:idx val="2"/>
          <c:order val="2"/>
          <c:tx>
            <c:strRef>
              <c:f>Sheet1!$D$9</c:f>
              <c:strCache>
                <c:ptCount val="1"/>
                <c:pt idx="0">
                  <c:v>2025E</c:v>
                </c:pt>
              </c:strCache>
            </c:strRef>
          </c:tx>
          <c:spPr>
            <a:solidFill>
              <a:schemeClr val="accent6">
                <a:shade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Sheet1!$D$10:$D$14</c:f>
              <c:numCache>
                <c:formatCode>#,##0.00</c:formatCode>
                <c:ptCount val="5"/>
                <c:pt idx="0">
                  <c:v>253816</c:v>
                </c:pt>
                <c:pt idx="1">
                  <c:v>133420</c:v>
                </c:pt>
                <c:pt idx="2">
                  <c:v>26572</c:v>
                </c:pt>
                <c:pt idx="3">
                  <c:v>99641</c:v>
                </c:pt>
                <c:pt idx="4">
                  <c:v>2538.16</c:v>
                </c:pt>
              </c:numCache>
            </c:numRef>
          </c:val>
          <c:extLst>
            <c:ext xmlns:c16="http://schemas.microsoft.com/office/drawing/2014/chart" uri="{C3380CC4-5D6E-409C-BE32-E72D297353CC}">
              <c16:uniqueId val="{00000002-C9DD-3E40-837B-E3ED50A2ADD4}"/>
            </c:ext>
          </c:extLst>
        </c:ser>
        <c:dLbls>
          <c:showLegendKey val="0"/>
          <c:showVal val="0"/>
          <c:showCatName val="0"/>
          <c:showSerName val="0"/>
          <c:showPercent val="0"/>
          <c:showBubbleSize val="0"/>
        </c:dLbls>
        <c:gapWidth val="219"/>
        <c:overlap val="-27"/>
        <c:axId val="1120723488"/>
        <c:axId val="1119973744"/>
      </c:barChart>
      <c:catAx>
        <c:axId val="11207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19973744"/>
        <c:crosses val="autoZero"/>
        <c:auto val="1"/>
        <c:lblAlgn val="ctr"/>
        <c:lblOffset val="100"/>
        <c:noMultiLvlLbl val="0"/>
      </c:catAx>
      <c:valAx>
        <c:axId val="1119973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2072348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Sheet4!$G$64</c:f>
              <c:strCache>
                <c:ptCount val="1"/>
                <c:pt idx="0">
                  <c:v>2022</c:v>
                </c:pt>
              </c:strCache>
            </c:strRef>
          </c:tx>
          <c:spPr>
            <a:solidFill>
              <a:schemeClr val="accent6">
                <a:tint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Sheet4!$H$64:$L$64</c:f>
              <c:numCache>
                <c:formatCode>General</c:formatCode>
                <c:ptCount val="5"/>
                <c:pt idx="0">
                  <c:v>10616446575</c:v>
                </c:pt>
                <c:pt idx="1">
                  <c:v>5830421999.999999</c:v>
                </c:pt>
                <c:pt idx="2">
                  <c:v>1187190000</c:v>
                </c:pt>
                <c:pt idx="3">
                  <c:v>2711971360.0000005</c:v>
                </c:pt>
                <c:pt idx="4">
                  <c:v>106164465.75</c:v>
                </c:pt>
              </c:numCache>
            </c:numRef>
          </c:val>
          <c:extLst>
            <c:ext xmlns:c16="http://schemas.microsoft.com/office/drawing/2014/chart" uri="{C3380CC4-5D6E-409C-BE32-E72D297353CC}">
              <c16:uniqueId val="{00000000-7823-9F49-9618-578CE9171A81}"/>
            </c:ext>
          </c:extLst>
        </c:ser>
        <c:ser>
          <c:idx val="1"/>
          <c:order val="1"/>
          <c:tx>
            <c:strRef>
              <c:f>Sheet4!$G$65</c:f>
              <c:strCache>
                <c:ptCount val="1"/>
                <c:pt idx="0">
                  <c:v>2023</c:v>
                </c:pt>
              </c:strCache>
            </c:strRef>
          </c:tx>
          <c:spPr>
            <a:solidFill>
              <a:schemeClr val="accent6">
                <a:tint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Sheet4!$H$65:$L$65</c:f>
              <c:numCache>
                <c:formatCode>General</c:formatCode>
                <c:ptCount val="5"/>
                <c:pt idx="0">
                  <c:v>14544531807.750002</c:v>
                </c:pt>
                <c:pt idx="1">
                  <c:v>8012464629.5776186</c:v>
                </c:pt>
                <c:pt idx="2">
                  <c:v>1602706500.0000002</c:v>
                </c:pt>
                <c:pt idx="3">
                  <c:v>5017147016.000001</c:v>
                </c:pt>
                <c:pt idx="4">
                  <c:v>145445318.07750002</c:v>
                </c:pt>
              </c:numCache>
            </c:numRef>
          </c:val>
          <c:extLst>
            <c:ext xmlns:c16="http://schemas.microsoft.com/office/drawing/2014/chart" uri="{C3380CC4-5D6E-409C-BE32-E72D297353CC}">
              <c16:uniqueId val="{00000001-7823-9F49-9618-578CE9171A81}"/>
            </c:ext>
          </c:extLst>
        </c:ser>
        <c:ser>
          <c:idx val="2"/>
          <c:order val="2"/>
          <c:tx>
            <c:strRef>
              <c:f>Sheet4!$G$66</c:f>
              <c:strCache>
                <c:ptCount val="1"/>
                <c:pt idx="0">
                  <c:v>2024</c:v>
                </c:pt>
              </c:strCache>
            </c:strRef>
          </c:tx>
          <c:spPr>
            <a:solidFill>
              <a:schemeClr val="accent6">
                <a:shade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Sheet4!$H$66:$L$66</c:f>
              <c:numCache>
                <c:formatCode>General</c:formatCode>
                <c:ptCount val="5"/>
                <c:pt idx="0">
                  <c:v>19926008576.617504</c:v>
                </c:pt>
                <c:pt idx="1">
                  <c:v>11011139406.415594</c:v>
                </c:pt>
                <c:pt idx="2">
                  <c:v>2163653775.0000005</c:v>
                </c:pt>
                <c:pt idx="3">
                  <c:v>8177949636.0799999</c:v>
                </c:pt>
                <c:pt idx="4">
                  <c:v>199260085.76617503</c:v>
                </c:pt>
              </c:numCache>
            </c:numRef>
          </c:val>
          <c:extLst>
            <c:ext xmlns:c16="http://schemas.microsoft.com/office/drawing/2014/chart" uri="{C3380CC4-5D6E-409C-BE32-E72D297353CC}">
              <c16:uniqueId val="{00000002-7823-9F49-9618-578CE9171A81}"/>
            </c:ext>
          </c:extLst>
        </c:ser>
        <c:ser>
          <c:idx val="3"/>
          <c:order val="3"/>
          <c:tx>
            <c:strRef>
              <c:f>Sheet4!$G$67</c:f>
              <c:strCache>
                <c:ptCount val="1"/>
                <c:pt idx="0">
                  <c:v>2025</c:v>
                </c:pt>
              </c:strCache>
            </c:strRef>
          </c:tx>
          <c:spPr>
            <a:solidFill>
              <a:schemeClr val="accent6">
                <a:shade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Sheet4!$H$67:$L$67</c:f>
              <c:numCache>
                <c:formatCode>General</c:formatCode>
                <c:ptCount val="5"/>
                <c:pt idx="0">
                  <c:v>27298631749.965981</c:v>
                </c:pt>
                <c:pt idx="1">
                  <c:v>15132071919.53743</c:v>
                </c:pt>
                <c:pt idx="2">
                  <c:v>2920932596.250001</c:v>
                </c:pt>
                <c:pt idx="3">
                  <c:v>13330057906.8104</c:v>
                </c:pt>
                <c:pt idx="4">
                  <c:v>272986317.49965978</c:v>
                </c:pt>
              </c:numCache>
            </c:numRef>
          </c:val>
          <c:extLst>
            <c:ext xmlns:c16="http://schemas.microsoft.com/office/drawing/2014/chart" uri="{C3380CC4-5D6E-409C-BE32-E72D297353CC}">
              <c16:uniqueId val="{00000003-7823-9F49-9618-578CE9171A81}"/>
            </c:ext>
          </c:extLst>
        </c:ser>
        <c:dLbls>
          <c:showLegendKey val="0"/>
          <c:showVal val="0"/>
          <c:showCatName val="0"/>
          <c:showSerName val="0"/>
          <c:showPercent val="0"/>
          <c:showBubbleSize val="0"/>
        </c:dLbls>
        <c:gapWidth val="219"/>
        <c:overlap val="-27"/>
        <c:axId val="1027819103"/>
        <c:axId val="389095552"/>
      </c:barChart>
      <c:catAx>
        <c:axId val="1027819103"/>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389095552"/>
        <c:crosses val="autoZero"/>
        <c:auto val="1"/>
        <c:lblAlgn val="ctr"/>
        <c:lblOffset val="100"/>
        <c:noMultiLvlLbl val="0"/>
      </c:catAx>
      <c:valAx>
        <c:axId val="38909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27819103"/>
        <c:crosses val="autoZero"/>
        <c:crossBetween val="between"/>
        <c:dispUnits>
          <c:builtInUnit val="billions"/>
          <c:dispUnitsLbl>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dPt>
            <c:idx val="0"/>
            <c:bubble3D val="0"/>
            <c:spPr>
              <a:solidFill>
                <a:schemeClr val="accent6">
                  <a:tint val="54000"/>
                </a:schemeClr>
              </a:solidFill>
              <a:ln w="19050">
                <a:solidFill>
                  <a:schemeClr val="lt1"/>
                </a:solidFill>
              </a:ln>
              <a:effectLst/>
            </c:spPr>
            <c:extLst>
              <c:ext xmlns:c16="http://schemas.microsoft.com/office/drawing/2014/chart" uri="{C3380CC4-5D6E-409C-BE32-E72D297353CC}">
                <c16:uniqueId val="{00000001-72C7-452F-885C-BE919F5A36AA}"/>
              </c:ext>
            </c:extLst>
          </c:dPt>
          <c:dPt>
            <c:idx val="1"/>
            <c:bubble3D val="0"/>
            <c:spPr>
              <a:solidFill>
                <a:schemeClr val="accent6">
                  <a:tint val="77000"/>
                </a:schemeClr>
              </a:solidFill>
              <a:ln w="19050">
                <a:solidFill>
                  <a:schemeClr val="lt1"/>
                </a:solidFill>
              </a:ln>
              <a:effectLst/>
            </c:spPr>
            <c:extLst>
              <c:ext xmlns:c16="http://schemas.microsoft.com/office/drawing/2014/chart" uri="{C3380CC4-5D6E-409C-BE32-E72D297353CC}">
                <c16:uniqueId val="{00000003-72C7-452F-885C-BE919F5A36AA}"/>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72C7-452F-885C-BE919F5A36AA}"/>
              </c:ext>
            </c:extLst>
          </c:dPt>
          <c:dPt>
            <c:idx val="3"/>
            <c:bubble3D val="0"/>
            <c:spPr>
              <a:solidFill>
                <a:schemeClr val="accent6">
                  <a:shade val="76000"/>
                </a:schemeClr>
              </a:solidFill>
              <a:ln w="19050">
                <a:solidFill>
                  <a:schemeClr val="lt1"/>
                </a:solidFill>
              </a:ln>
              <a:effectLst/>
            </c:spPr>
            <c:extLst>
              <c:ext xmlns:c16="http://schemas.microsoft.com/office/drawing/2014/chart" uri="{C3380CC4-5D6E-409C-BE32-E72D297353CC}">
                <c16:uniqueId val="{00000007-72C7-452F-885C-BE919F5A36AA}"/>
              </c:ext>
            </c:extLst>
          </c:dPt>
          <c:dPt>
            <c:idx val="4"/>
            <c:bubble3D val="0"/>
            <c:spPr>
              <a:solidFill>
                <a:schemeClr val="accent6">
                  <a:shade val="53000"/>
                </a:schemeClr>
              </a:solidFill>
              <a:ln w="19050">
                <a:solidFill>
                  <a:schemeClr val="lt1"/>
                </a:solidFill>
              </a:ln>
              <a:effectLst/>
            </c:spPr>
            <c:extLst>
              <c:ext xmlns:c16="http://schemas.microsoft.com/office/drawing/2014/chart" uri="{C3380CC4-5D6E-409C-BE32-E72D297353CC}">
                <c16:uniqueId val="{00000009-72C7-452F-885C-BE919F5A36AA}"/>
              </c:ext>
            </c:extLst>
          </c:dPt>
          <c:dLbls>
            <c:dLbl>
              <c:idx val="0"/>
              <c:layout>
                <c:manualLayout>
                  <c:x val="-6.2940288713910761E-2"/>
                  <c:y val="-6.9900116652085158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C7-452F-885C-BE919F5A36AA}"/>
                </c:ext>
              </c:extLst>
            </c:dLbl>
            <c:dLbl>
              <c:idx val="1"/>
              <c:layout>
                <c:manualLayout>
                  <c:x val="-3.0696194225721733E-2"/>
                  <c:y val="-2.599810440361621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C7-452F-885C-BE919F5A36AA}"/>
                </c:ext>
              </c:extLst>
            </c:dLbl>
            <c:dLbl>
              <c:idx val="2"/>
              <c:layout>
                <c:manualLayout>
                  <c:x val="3.590168416447944E-2"/>
                  <c:y val="-2.71227034120734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2C7-452F-885C-BE919F5A36AA}"/>
                </c:ext>
              </c:extLst>
            </c:dLbl>
            <c:dLbl>
              <c:idx val="3"/>
              <c:layout>
                <c:manualLayout>
                  <c:x val="6.8847331583552052E-2"/>
                  <c:y val="4.768372703412073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2C7-452F-885C-BE919F5A36AA}"/>
                </c:ext>
              </c:extLst>
            </c:dLbl>
            <c:dLbl>
              <c:idx val="4"/>
              <c:layout>
                <c:manualLayout>
                  <c:x val="-5.9180664916885388E-2"/>
                  <c:y val="-4.205125400991542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2C7-452F-885C-BE919F5A36AA}"/>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'De-Spac'!$A$27:$A$31</c:f>
              <c:strCache>
                <c:ptCount val="5"/>
                <c:pt idx="0">
                  <c:v>Original public shareholders</c:v>
                </c:pt>
                <c:pt idx="1">
                  <c:v>Government Fund</c:v>
                </c:pt>
                <c:pt idx="2">
                  <c:v>3rd Party Investment</c:v>
                </c:pt>
                <c:pt idx="3">
                  <c:v>Sponsor</c:v>
                </c:pt>
                <c:pt idx="4">
                  <c:v>Existing Target's shareholders </c:v>
                </c:pt>
              </c:strCache>
            </c:strRef>
          </c:cat>
          <c:val>
            <c:numRef>
              <c:f>'De-Spac'!$B$27:$B$31</c:f>
              <c:numCache>
                <c:formatCode>0.0%</c:formatCode>
                <c:ptCount val="5"/>
                <c:pt idx="0">
                  <c:v>4.7E-2</c:v>
                </c:pt>
                <c:pt idx="1">
                  <c:v>2.8000000000000001E-2</c:v>
                </c:pt>
                <c:pt idx="2">
                  <c:v>1.6E-2</c:v>
                </c:pt>
                <c:pt idx="3">
                  <c:v>1.2E-2</c:v>
                </c:pt>
                <c:pt idx="4">
                  <c:v>0.89700000000000002</c:v>
                </c:pt>
              </c:numCache>
            </c:numRef>
          </c:val>
          <c:extLst>
            <c:ext xmlns:c16="http://schemas.microsoft.com/office/drawing/2014/chart" uri="{C3380CC4-5D6E-409C-BE32-E72D297353CC}">
              <c16:uniqueId val="{0000000A-72C7-452F-885C-BE919F5A36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黄 梓曜</cp:lastModifiedBy>
  <cp:revision>9</cp:revision>
  <cp:lastPrinted>2022-01-17T08:07:00Z</cp:lastPrinted>
  <dcterms:created xsi:type="dcterms:W3CDTF">2023-04-13T11:34:00Z</dcterms:created>
  <dcterms:modified xsi:type="dcterms:W3CDTF">2023-06-06T13:34:00Z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2052-11.1.0.11744</vt:lpwstr>
  </property>
  <property fmtid="{D5CDD505-2E9C-101B-9397-08002B2CF9AE}" pid="5" name="ICV">
    <vt:lpwstr>01FE97A65B8E4512BB34F6EE1E03FF4D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ies>
</file>