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562C" w14:textId="063453AF" w:rsidR="000C72F5" w:rsidRPr="00B63E07" w:rsidRDefault="00CC64F4" w:rsidP="000C72F5">
      <w:pPr>
        <w:spacing w:line="360" w:lineRule="auto"/>
        <w:rPr>
          <w:b/>
          <w:bCs/>
          <w:color w:val="003300"/>
          <w:sz w:val="36"/>
          <w:szCs w:val="36"/>
        </w:rPr>
      </w:pPr>
      <w:r>
        <w:rPr>
          <w:noProof/>
        </w:rPr>
        <mc:AlternateContent>
          <mc:Choice Requires="wps">
            <w:drawing>
              <wp:anchor distT="0" distB="0" distL="114300" distR="114300" simplePos="0" relativeHeight="251659264" behindDoc="0" locked="0" layoutInCell="1" allowOverlap="1" wp14:anchorId="77443999" wp14:editId="0F6299A5">
                <wp:simplePos x="0" y="0"/>
                <wp:positionH relativeFrom="page">
                  <wp:posOffset>6123940</wp:posOffset>
                </wp:positionH>
                <wp:positionV relativeFrom="paragraph">
                  <wp:posOffset>0</wp:posOffset>
                </wp:positionV>
                <wp:extent cx="1428115" cy="80264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115" cy="802640"/>
                        </a:xfrm>
                        <a:prstGeom prst="rect">
                          <a:avLst/>
                        </a:prstGeom>
                        <a:solidFill>
                          <a:srgbClr val="E2F0D9">
                            <a:alpha val="18824"/>
                          </a:srgbClr>
                        </a:solidFill>
                        <a:ln w="9525">
                          <a:noFill/>
                          <a:miter lim="800000"/>
                        </a:ln>
                      </wps:spPr>
                      <wps:txbx>
                        <w:txbxContent>
                          <w:p w14:paraId="12B9E28B" w14:textId="77777777" w:rsidR="000C72F5" w:rsidRDefault="000C72F5" w:rsidP="000C72F5">
                            <w:r>
                              <w:t>Contact us:</w:t>
                            </w:r>
                          </w:p>
                          <w:p w14:paraId="0034B5E8" w14:textId="77777777" w:rsidR="000C72F5" w:rsidRDefault="000C72F5" w:rsidP="000C72F5">
                            <w:r>
                              <w:t>ibsghk@gmail.com</w:t>
                            </w:r>
                          </w:p>
                          <w:p w14:paraId="01333CBB" w14:textId="77777777" w:rsidR="000C72F5" w:rsidRDefault="000C72F5" w:rsidP="000C72F5">
                            <w:pPr>
                              <w:rPr>
                                <w:color w:val="FFFFFF" w:themeColor="background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7443999" id="_x0000_t202" coordsize="21600,21600" o:spt="202" path="m,l,21600r21600,l21600,xe">
                <v:stroke joinstyle="miter"/>
                <v:path gradientshapeok="t" o:connecttype="rect"/>
              </v:shapetype>
              <v:shape id="Text Box 7" o:spid="_x0000_s1026" type="#_x0000_t202" style="position:absolute;margin-left:482.2pt;margin-top:0;width:112.45pt;height:6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5pAwIAAOgDAAAOAAAAZHJzL2Uyb0RvYy54bWysU9uO0zAQfUfiHyy/01zULm3UdAVbipCW&#10;BWnhAxzHaSxsj7HdJsvXM3ay3QreEHmwZjIzxzNnjre3o1bkLJyXYGpaLHJKhOHQSnOs6fdvhzdr&#10;SnxgpmUKjKjpk/D0dvf61XawlSihB9UKRxDE+GqwNe1DsFWWed4LzfwCrDAY7MBpFtB1x6x1bEB0&#10;rbIyz2+yAVxrHXDhPf7dT0G6S/hdJ3j40nVeBKJqir2FdLp0NvHMdltWHR2zveRzG+wfutBMGrz0&#10;ArVngZGTk39BackdeOjCgoPOoOskF2kGnKbI/5jmsWdWpFmQHG8vNPn/B8sfzo/2qyNhfA8jLjAN&#10;4e098B8euckG66s5J3LqKx+zm+EztLhNdgqQKsbO6Tg+DkQQBpl+urArxkB4xF6W66JYUcIxts7L&#10;m2WiP2PVc7V1PnwUoEk0aupwewmdne99iN2w6jklXuZByfYglUqOOzZ3ypEzw01/KA/5fjPVKtuz&#10;6W+xXpfLuHHE8VP6ZF/jKEOGmm5W5SqVG4gXJJVoGVCqSurYffxmKGVmniI1E0lhbEasiXw10D4h&#10;Yw4m6eFTQaMH94uSAWVXU//zxJygRH0yuNdNsURaSEjOcvW2RMddR5rrCDMcoWoaKJnMu5C0HQkx&#10;8A6308lE3Esnc68opzT7LP2o12s/Zb080N1vAAAA//8DAFBLAwQUAAYACAAAACEAsKqdVuAAAAAJ&#10;AQAADwAAAGRycy9kb3ducmV2LnhtbEyPwU7DMBBE70j8g7VI3KjTEKI2xKkqJA5ICEpBgqMTL7ZF&#10;bIfYTcPfsz3BbUczmn1Tb2bXswnHaIMXsFxkwNB3QVmvBby93l+tgMUkvZJ98CjgByNsmvOzWlYq&#10;HP0LTvukGZX4WEkBJqWh4jx2Bp2MizCgJ+8zjE4mkqPmapRHKnc9z7Os5E5aTx+MHPDOYPe1PzgB&#10;71rb9nn3mJfT9ns32I8H89TfCHF5MW9vgSWc018YTviEDg0xteHgVWS9gHVZFBQVQItO9nK1vgbW&#10;0pWXBfCm5v8XNL8AAAD//wMAUEsBAi0AFAAGAAgAAAAhALaDOJL+AAAA4QEAABMAAAAAAAAAAAAA&#10;AAAAAAAAAFtDb250ZW50X1R5cGVzXS54bWxQSwECLQAUAAYACAAAACEAOP0h/9YAAACUAQAACwAA&#10;AAAAAAAAAAAAAAAvAQAAX3JlbHMvLnJlbHNQSwECLQAUAAYACAAAACEAmJqeaQMCAADoAwAADgAA&#10;AAAAAAAAAAAAAAAuAgAAZHJzL2Uyb0RvYy54bWxQSwECLQAUAAYACAAAACEAsKqdVuAAAAAJAQAA&#10;DwAAAAAAAAAAAAAAAABdBAAAZHJzL2Rvd25yZXYueG1sUEsFBgAAAAAEAAQA8wAAAGoFAAAAAA==&#10;" fillcolor="#e2f0d9" stroked="f">
                <v:fill opacity="12336f"/>
                <v:textbox>
                  <w:txbxContent>
                    <w:p w14:paraId="12B9E28B" w14:textId="77777777" w:rsidR="000C72F5" w:rsidRDefault="000C72F5" w:rsidP="000C72F5">
                      <w:r>
                        <w:t>Contact us:</w:t>
                      </w:r>
                    </w:p>
                    <w:p w14:paraId="0034B5E8" w14:textId="77777777" w:rsidR="000C72F5" w:rsidRDefault="000C72F5" w:rsidP="000C72F5">
                      <w:r>
                        <w:t>ibsghk@gmail.com</w:t>
                      </w:r>
                    </w:p>
                    <w:p w14:paraId="01333CBB" w14:textId="77777777" w:rsidR="000C72F5" w:rsidRDefault="000C72F5" w:rsidP="000C72F5">
                      <w:pPr>
                        <w:rPr>
                          <w:color w:val="FFFFFF" w:themeColor="background1"/>
                        </w:rPr>
                      </w:pPr>
                    </w:p>
                  </w:txbxContent>
                </v:textbox>
                <w10:wrap type="square" anchorx="page"/>
              </v:shape>
            </w:pict>
          </mc:Fallback>
        </mc:AlternateContent>
      </w:r>
      <w:bookmarkStart w:id="0" w:name="_xj1moxk1l321" w:colFirst="0" w:colLast="0"/>
      <w:bookmarkEnd w:id="0"/>
      <w:r w:rsidR="0054067F">
        <w:rPr>
          <w:b/>
          <w:bCs/>
          <w:color w:val="003300"/>
          <w:sz w:val="36"/>
          <w:szCs w:val="36"/>
        </w:rPr>
        <w:t>New Time’s Buyout</w:t>
      </w:r>
      <w:r w:rsidR="000C72F5" w:rsidRPr="00B63E07">
        <w:rPr>
          <w:b/>
          <w:bCs/>
          <w:color w:val="003300"/>
          <w:sz w:val="36"/>
          <w:szCs w:val="36"/>
        </w:rPr>
        <w:t xml:space="preserve"> </w:t>
      </w:r>
    </w:p>
    <w:p w14:paraId="6554B9F0" w14:textId="62191D83" w:rsidR="00995CC4" w:rsidRPr="00B63E07" w:rsidRDefault="000C72F5" w:rsidP="000C72F5">
      <w:pPr>
        <w:spacing w:line="360" w:lineRule="auto"/>
        <w:rPr>
          <w:b/>
          <w:bCs/>
          <w:color w:val="003300"/>
          <w:sz w:val="44"/>
          <w:szCs w:val="44"/>
        </w:rPr>
      </w:pPr>
      <w:r w:rsidRPr="00B63E07">
        <w:rPr>
          <w:rFonts w:eastAsiaTheme="majorEastAsia"/>
          <w:b/>
          <w:bCs/>
          <w:color w:val="003300"/>
          <w:sz w:val="36"/>
          <w:szCs w:val="36"/>
        </w:rPr>
        <w:t>——</w:t>
      </w:r>
      <w:bookmarkStart w:id="1" w:name="_Toc106268225"/>
      <w:r w:rsidR="00CC64F4">
        <w:rPr>
          <w:b/>
          <w:bCs/>
          <w:noProof/>
          <w:color w:val="003300"/>
          <w:sz w:val="36"/>
          <w:szCs w:val="36"/>
        </w:rPr>
        <mc:AlternateContent>
          <mc:Choice Requires="wps">
            <w:drawing>
              <wp:anchor distT="4294967294" distB="4294967294" distL="114300" distR="114300" simplePos="0" relativeHeight="251660288" behindDoc="0" locked="0" layoutInCell="1" allowOverlap="1" wp14:anchorId="54AD1A8B" wp14:editId="0FE02AE7">
                <wp:simplePos x="0" y="0"/>
                <wp:positionH relativeFrom="margin">
                  <wp:align>left</wp:align>
                </wp:positionH>
                <wp:positionV relativeFrom="paragraph">
                  <wp:posOffset>413384</wp:posOffset>
                </wp:positionV>
                <wp:extent cx="6638290" cy="0"/>
                <wp:effectExtent l="0" t="0" r="381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8B67DBF" id="Straight Connector 6" o:spid="_x0000_s1026" style="position:absolute;z-index:251660288;visibility:visible;mso-wrap-style:square;mso-width-percent:0;mso-height-percent:0;mso-wrap-distance-left:9pt;mso-wrap-distance-top:.Émm;mso-wrap-distance-right:9pt;mso-wrap-distance-bottom:.Émm;mso-position-horizontal:left;mso-position-horizontal-relative:margin;mso-position-vertical:absolute;mso-position-vertical-relative:text;mso-width-percent:0;mso-height-percent:0;mso-width-relative:page;mso-height-relative:page"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6FxAEAAPEDAAAOAAAAZHJzL2Uyb0RvYy54bWysU8GO0zAQvSPxD5bvNGkrVUvUdA+7Wi4r&#10;WLHwAa4zbixsj2WbJv17xk4TVgsSAnEZZex5b94bT/a3ozXsDCFqdC1fr2rOwEnstDu1/OuXh3c3&#10;nMUkXCcMOmj5BSK/Pbx9sx98Axvs0XQQGJG42Ay+5X1KvqmqKHuwIq7Qg6NLhcGKRGk4VV0QA7Fb&#10;U23qelcNGDofUEKMdHo/XfJD4VcKZPqkVITETMtJWyoxlHjMsTrsRXMKwvdaXmWIf1BhhXbUdKG6&#10;F0mw70H/QmW1DBhRpZVEW6FSWkLxQG7W9Ss3z73wULzQcKJfxhT/H638eL5zTyFLl6N79o8ov0Ua&#10;SjX42CyXOYl+KhtVsLmctLOxDPKyDBLGxCQd7nbbm817mrec7yrRzEAfYvoAaFn+aLnRLnsUjTg/&#10;xpRbi2YuycfG5RjR6O5BG1OScDremcDOIr9qvd3W5SEJ+KKMsgwtRibtxUW6GJhoP4NiuiO169K+&#10;rBwstEJKcGmdF6QwUXWGKZKwAOs/A6/1GQplHf8GvCBKZ3RpAVvtMPyuexpnyWqqnycw+c4jOGJ3&#10;eQrzG9NeFYfXfyAv7su8wH/+qYcfAAAA//8DAFBLAwQUAAYACAAAACEAzleeCd0AAAAMAQAADwAA&#10;AGRycy9kb3ducmV2LnhtbEyPwU7DMBBE70j8g7VI3KhTSCOUxqlQEOJM6Ads4m0cYa+j2G1Tvh5X&#10;HOCy0u5oZudVu8VZcaI5jJ4VrFcZCOLe65EHBfvPt4dnECEia7SeScGFAuzq25sKS+3P/EGnNg4i&#10;hXAoUYGJcSqlDL0hh2HlJ+KkHfzsMKZ1HqSe8ZzCnZWPWVZIhyOnDwYnagz1X+3RKSBZ2K4ZsAjD&#10;ezh8G93kT+1Fqfu75XWbxssWRKQl/jngypD6Q52Kdf7IOgirINFEBcVmDeKqZvkmB9H9XmRdyf8Q&#10;9Q8AAAD//wMAUEsBAi0AFAAGAAgAAAAhALaDOJL+AAAA4QEAABMAAAAAAAAAAAAAAAAAAAAAAFtD&#10;b250ZW50X1R5cGVzXS54bWxQSwECLQAUAAYACAAAACEAOP0h/9YAAACUAQAACwAAAAAAAAAAAAAA&#10;AAAvAQAAX3JlbHMvLnJlbHNQSwECLQAUAAYACAAAACEAUGbuhcQBAADxAwAADgAAAAAAAAAAAAAA&#10;AAAuAgAAZHJzL2Uyb0RvYy54bWxQSwECLQAUAAYACAAAACEAzleeCd0AAAAMAQAADwAAAAAAAAAA&#10;AAAAAAAeBAAAZHJzL2Rvd25yZXYueG1sUEsFBgAAAAAEAAQA8wAAACgFAAAAAA==&#10;" strokecolor="#030" strokeweight=".5pt">
                <v:stroke joinstyle="miter"/>
                <o:lock v:ext="edit" shapetype="f"/>
                <w10:wrap anchorx="margin"/>
              </v:line>
            </w:pict>
          </mc:Fallback>
        </mc:AlternateContent>
      </w:r>
      <w:bookmarkEnd w:id="1"/>
      <w:r w:rsidR="0054067F" w:rsidRPr="0054067F">
        <w:t xml:space="preserve"> </w:t>
      </w:r>
      <w:r w:rsidR="0054067F" w:rsidRPr="0054067F">
        <w:rPr>
          <w:b/>
          <w:bCs/>
          <w:color w:val="003300"/>
          <w:sz w:val="36"/>
          <w:szCs w:val="36"/>
        </w:rPr>
        <w:t xml:space="preserve">Private Equity </w:t>
      </w:r>
      <w:r w:rsidR="0054067F">
        <w:rPr>
          <w:b/>
          <w:bCs/>
          <w:color w:val="003300"/>
          <w:sz w:val="36"/>
          <w:szCs w:val="36"/>
        </w:rPr>
        <w:t>A</w:t>
      </w:r>
      <w:r w:rsidR="0054067F" w:rsidRPr="0054067F">
        <w:rPr>
          <w:b/>
          <w:bCs/>
          <w:color w:val="003300"/>
          <w:sz w:val="36"/>
          <w:szCs w:val="36"/>
        </w:rPr>
        <w:t xml:space="preserve">dd-on </w:t>
      </w:r>
      <w:r w:rsidR="0054067F">
        <w:rPr>
          <w:b/>
          <w:bCs/>
          <w:color w:val="003300"/>
          <w:sz w:val="36"/>
          <w:szCs w:val="36"/>
        </w:rPr>
        <w:t>A</w:t>
      </w:r>
      <w:r w:rsidR="0054067F" w:rsidRPr="0054067F">
        <w:rPr>
          <w:b/>
          <w:bCs/>
          <w:color w:val="003300"/>
          <w:sz w:val="36"/>
          <w:szCs w:val="36"/>
        </w:rPr>
        <w:t xml:space="preserve">cquisition </w:t>
      </w:r>
      <w:r w:rsidR="0054067F">
        <w:rPr>
          <w:b/>
          <w:bCs/>
          <w:color w:val="003300"/>
          <w:sz w:val="36"/>
          <w:szCs w:val="36"/>
        </w:rPr>
        <w:t>S</w:t>
      </w:r>
      <w:r w:rsidR="0054067F" w:rsidRPr="0054067F">
        <w:rPr>
          <w:b/>
          <w:bCs/>
          <w:color w:val="003300"/>
          <w:sz w:val="36"/>
          <w:szCs w:val="36"/>
        </w:rPr>
        <w:t>trategy</w:t>
      </w:r>
    </w:p>
    <w:p w14:paraId="345B6CF7" w14:textId="32701C91" w:rsidR="0077299C" w:rsidRDefault="000211E8" w:rsidP="004F0B04">
      <w:pPr>
        <w:pStyle w:val="IBSG"/>
        <w:rPr>
          <w:rFonts w:hint="eastAsia"/>
        </w:rPr>
      </w:pPr>
      <w:bookmarkStart w:id="2" w:name="_Toc138235555"/>
      <w:r w:rsidRPr="000C72F5">
        <w:t>Abstract</w:t>
      </w:r>
      <w:r>
        <w:t>:</w:t>
      </w:r>
      <w:bookmarkEnd w:id="2"/>
      <w:r>
        <w:tab/>
      </w:r>
    </w:p>
    <w:p w14:paraId="5BA7F622" w14:textId="77777777" w:rsidR="0077299C" w:rsidRDefault="0077299C" w:rsidP="00560E7A">
      <w:pPr>
        <w:spacing w:line="360" w:lineRule="auto"/>
        <w:rPr>
          <w:rFonts w:eastAsia="宋体"/>
          <w:b/>
          <w:bCs/>
        </w:rPr>
      </w:pPr>
    </w:p>
    <w:p w14:paraId="1C8493A8" w14:textId="77777777" w:rsidR="0077299C" w:rsidRDefault="0077299C" w:rsidP="00560E7A">
      <w:pPr>
        <w:spacing w:line="360" w:lineRule="auto"/>
        <w:rPr>
          <w:rFonts w:eastAsia="宋体"/>
          <w:b/>
          <w:bCs/>
        </w:rPr>
      </w:pPr>
    </w:p>
    <w:p w14:paraId="483044D1" w14:textId="5C1DF6FF" w:rsidR="0077299C" w:rsidRPr="00CD464C" w:rsidRDefault="0077299C" w:rsidP="0077299C">
      <w:pPr>
        <w:pStyle w:val="NormalIndent"/>
        <w:spacing w:before="120"/>
        <w:ind w:firstLineChars="0" w:firstLine="0"/>
      </w:pPr>
      <w:r w:rsidRPr="00CD464C">
        <w:t>The number of transactions with the add-on strategy</w:t>
      </w:r>
      <w:r>
        <w:t xml:space="preserve"> led by the Private Equity funds</w:t>
      </w:r>
      <w:r w:rsidRPr="00CD464C">
        <w:t xml:space="preserve"> has rapidly increased in th</w:t>
      </w:r>
      <w:r>
        <w:t>e challenging macroeconomic environment</w:t>
      </w:r>
      <w:r w:rsidRPr="00CD464C">
        <w:t>. In the United States, add-on acquisitions accounted for 77% of PE t</w:t>
      </w:r>
      <w:r>
        <w:t>ransaction value</w:t>
      </w:r>
      <w:r w:rsidRPr="00CD464C">
        <w:t xml:space="preserve"> in 2022, significantly increasing from previous years.</w:t>
      </w:r>
      <w:r>
        <w:t xml:space="preserve"> This report summarizes the events and additionally discusses the following perspectives:</w:t>
      </w:r>
    </w:p>
    <w:p w14:paraId="369D2518" w14:textId="745D2813" w:rsidR="0077299C" w:rsidRPr="00705CB2" w:rsidRDefault="0077299C" w:rsidP="0077299C">
      <w:pPr>
        <w:pStyle w:val="NormalWeb"/>
        <w:spacing w:before="240" w:after="240" w:line="360" w:lineRule="auto"/>
        <w:ind w:firstLine="418"/>
        <w:rPr>
          <w:rFonts w:ascii="Times New Roman" w:hAnsi="Times New Roman" w:cs="Times New Roman"/>
          <w:color w:val="000000" w:themeColor="text1"/>
        </w:rPr>
      </w:pPr>
      <w:r w:rsidRPr="00705CB2">
        <w:rPr>
          <w:rFonts w:ascii="Times New Roman" w:hAnsi="Times New Roman" w:cs="Times New Roman" w:hint="eastAsia"/>
          <w:color w:val="000000" w:themeColor="text1"/>
        </w:rPr>
        <w:t>•</w:t>
      </w:r>
      <w:r w:rsidRPr="00705CB2">
        <w:rPr>
          <w:rFonts w:ascii="Times New Roman" w:hAnsi="Times New Roman" w:cs="Times New Roman"/>
          <w:color w:val="000000" w:themeColor="text1"/>
        </w:rPr>
        <w:tab/>
      </w:r>
      <w:r>
        <w:rPr>
          <w:rFonts w:ascii="Times New Roman" w:hAnsi="Times New Roman" w:cs="Times New Roman"/>
          <w:color w:val="000000" w:themeColor="text1"/>
        </w:rPr>
        <w:t>The history of the strategy in the United States.</w:t>
      </w:r>
    </w:p>
    <w:p w14:paraId="2316011C" w14:textId="75AD4178" w:rsidR="0077299C" w:rsidRPr="0077299C" w:rsidRDefault="0077299C" w:rsidP="0077299C">
      <w:pPr>
        <w:pStyle w:val="NormalWeb"/>
        <w:spacing w:before="240" w:after="240" w:line="360" w:lineRule="auto"/>
        <w:ind w:firstLine="418"/>
        <w:rPr>
          <w:rFonts w:ascii="Times New Roman" w:hAnsi="Times New Roman" w:cs="Times New Roman" w:hint="eastAsia"/>
          <w:color w:val="000000" w:themeColor="text1"/>
        </w:rPr>
      </w:pPr>
      <w:r w:rsidRPr="00705CB2">
        <w:rPr>
          <w:rFonts w:ascii="Times New Roman" w:hAnsi="Times New Roman" w:cs="Times New Roman" w:hint="eastAsia"/>
          <w:color w:val="000000" w:themeColor="text1"/>
        </w:rPr>
        <w:t>•</w:t>
      </w:r>
      <w:r w:rsidRPr="00705CB2">
        <w:rPr>
          <w:rFonts w:ascii="Times New Roman" w:hAnsi="Times New Roman" w:cs="Times New Roman"/>
          <w:color w:val="000000" w:themeColor="text1"/>
        </w:rPr>
        <w:tab/>
      </w:r>
      <w:r>
        <w:rPr>
          <w:rFonts w:ascii="Times New Roman" w:hAnsi="Times New Roman" w:cs="Times New Roman"/>
          <w:color w:val="000000" w:themeColor="text1"/>
        </w:rPr>
        <w:t>The future opportunity and implication to Chinese funds</w:t>
      </w:r>
      <w:r>
        <w:rPr>
          <w:rFonts w:ascii="Times New Roman" w:hAnsi="Times New Roman" w:cs="Times New Roman"/>
          <w:color w:val="000000" w:themeColor="text1"/>
        </w:rPr>
        <w:br w:type="page"/>
      </w:r>
    </w:p>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b w:val="0"/>
          <w:sz w:val="28"/>
          <w:szCs w:val="24"/>
          <w:lang w:val="en-HK"/>
        </w:rPr>
      </w:sdtEndPr>
      <w:sdtContent>
        <w:p w14:paraId="5B11777D" w14:textId="77777777" w:rsidR="00995CC4" w:rsidRPr="005953C7" w:rsidRDefault="000211E8" w:rsidP="005953C7">
          <w:pPr>
            <w:pStyle w:val="TOC1"/>
            <w:rPr>
              <w:rFonts w:ascii="Times New Roman" w:hAnsi="Times New Roman" w:cs="Times New Roman"/>
              <w:b/>
              <w:color w:val="003300"/>
              <w:kern w:val="2"/>
              <w:sz w:val="36"/>
              <w:szCs w:val="36"/>
            </w:rPr>
          </w:pPr>
          <w:r w:rsidRPr="005953C7">
            <w:rPr>
              <w:rFonts w:ascii="Times New Roman" w:hAnsi="Times New Roman" w:cs="Times New Roman"/>
              <w:b/>
              <w:color w:val="003300"/>
              <w:kern w:val="2"/>
              <w:sz w:val="36"/>
              <w:szCs w:val="36"/>
            </w:rPr>
            <w:t>Content:</w:t>
          </w:r>
        </w:p>
        <w:p w14:paraId="4821E920" w14:textId="77777777" w:rsidR="00995CC4" w:rsidRPr="005953C7" w:rsidRDefault="00995CC4" w:rsidP="005953C7">
          <w:pPr>
            <w:spacing w:line="360" w:lineRule="auto"/>
            <w:rPr>
              <w:rFonts w:eastAsiaTheme="minorEastAsia"/>
              <w:color w:val="000000" w:themeColor="text1"/>
              <w:szCs w:val="22"/>
            </w:rPr>
          </w:pPr>
        </w:p>
        <w:p w14:paraId="774BD632" w14:textId="3D37F303" w:rsidR="00560E7A" w:rsidRPr="00560E7A" w:rsidRDefault="000211E8">
          <w:pPr>
            <w:pStyle w:val="TOC1"/>
            <w:rPr>
              <w:rFonts w:ascii="Times New Roman" w:eastAsiaTheme="minorEastAsia" w:hAnsi="Times New Roman" w:cs="Times New Roman"/>
              <w:noProof/>
              <w:kern w:val="2"/>
              <w:sz w:val="21"/>
              <w:szCs w:val="22"/>
              <w14:ligatures w14:val="standardContextual"/>
            </w:rPr>
          </w:pPr>
          <w:r w:rsidRPr="005953C7">
            <w:rPr>
              <w:rFonts w:ascii="Times New Roman" w:hAnsi="Times New Roman" w:cs="Times New Roman"/>
              <w:sz w:val="28"/>
              <w:szCs w:val="28"/>
            </w:rPr>
            <w:fldChar w:fldCharType="begin"/>
          </w:r>
          <w:r w:rsidRPr="005953C7">
            <w:rPr>
              <w:rFonts w:ascii="Times New Roman" w:hAnsi="Times New Roman" w:cs="Times New Roman"/>
              <w:sz w:val="28"/>
              <w:szCs w:val="28"/>
            </w:rPr>
            <w:instrText xml:space="preserve"> TOC \o "1-3" \h \z \u </w:instrText>
          </w:r>
          <w:r w:rsidRPr="005953C7">
            <w:rPr>
              <w:rFonts w:ascii="Times New Roman" w:hAnsi="Times New Roman" w:cs="Times New Roman"/>
              <w:sz w:val="28"/>
              <w:szCs w:val="28"/>
            </w:rPr>
            <w:fldChar w:fldCharType="separate"/>
          </w:r>
          <w:hyperlink w:anchor="_Toc138235555" w:history="1">
            <w:r w:rsidR="00560E7A" w:rsidRPr="00560E7A">
              <w:rPr>
                <w:rStyle w:val="Hyperlink"/>
                <w:rFonts w:ascii="Times New Roman" w:hAnsi="Times New Roman" w:cs="Times New Roman"/>
                <w:noProof/>
              </w:rPr>
              <w:t>Abstract:</w:t>
            </w:r>
            <w:r w:rsidR="00560E7A" w:rsidRPr="00560E7A">
              <w:rPr>
                <w:rFonts w:ascii="Times New Roman" w:hAnsi="Times New Roman" w:cs="Times New Roman"/>
                <w:noProof/>
                <w:webHidden/>
              </w:rPr>
              <w:tab/>
            </w:r>
            <w:r w:rsidR="00560E7A" w:rsidRPr="00560E7A">
              <w:rPr>
                <w:rFonts w:ascii="Times New Roman" w:hAnsi="Times New Roman" w:cs="Times New Roman"/>
                <w:noProof/>
                <w:webHidden/>
              </w:rPr>
              <w:fldChar w:fldCharType="begin"/>
            </w:r>
            <w:r w:rsidR="00560E7A" w:rsidRPr="00560E7A">
              <w:rPr>
                <w:rFonts w:ascii="Times New Roman" w:hAnsi="Times New Roman" w:cs="Times New Roman"/>
                <w:noProof/>
                <w:webHidden/>
              </w:rPr>
              <w:instrText xml:space="preserve"> PAGEREF _Toc138235555 \h </w:instrText>
            </w:r>
            <w:r w:rsidR="00560E7A" w:rsidRPr="00560E7A">
              <w:rPr>
                <w:rFonts w:ascii="Times New Roman" w:hAnsi="Times New Roman" w:cs="Times New Roman"/>
                <w:noProof/>
                <w:webHidden/>
              </w:rPr>
            </w:r>
            <w:r w:rsidR="00560E7A" w:rsidRPr="00560E7A">
              <w:rPr>
                <w:rFonts w:ascii="Times New Roman" w:hAnsi="Times New Roman" w:cs="Times New Roman"/>
                <w:noProof/>
                <w:webHidden/>
              </w:rPr>
              <w:fldChar w:fldCharType="separate"/>
            </w:r>
            <w:r w:rsidR="00716613">
              <w:rPr>
                <w:rFonts w:ascii="Times New Roman" w:hAnsi="Times New Roman" w:cs="Times New Roman"/>
                <w:noProof/>
                <w:webHidden/>
              </w:rPr>
              <w:t>1</w:t>
            </w:r>
            <w:r w:rsidR="00560E7A" w:rsidRPr="00560E7A">
              <w:rPr>
                <w:rFonts w:ascii="Times New Roman" w:hAnsi="Times New Roman" w:cs="Times New Roman"/>
                <w:noProof/>
                <w:webHidden/>
              </w:rPr>
              <w:fldChar w:fldCharType="end"/>
            </w:r>
          </w:hyperlink>
        </w:p>
        <w:p w14:paraId="33653B78" w14:textId="2DBA66C5" w:rsidR="00560E7A" w:rsidRPr="00560E7A" w:rsidRDefault="00560E7A">
          <w:pPr>
            <w:pStyle w:val="TOC1"/>
            <w:rPr>
              <w:rFonts w:ascii="Times New Roman" w:eastAsiaTheme="minorEastAsia" w:hAnsi="Times New Roman" w:cs="Times New Roman"/>
              <w:noProof/>
              <w:kern w:val="2"/>
              <w:sz w:val="21"/>
              <w:szCs w:val="22"/>
              <w14:ligatures w14:val="standardContextual"/>
            </w:rPr>
          </w:pPr>
          <w:hyperlink w:anchor="_Toc138235556" w:history="1">
            <w:r w:rsidRPr="00560E7A">
              <w:rPr>
                <w:rStyle w:val="Hyperlink"/>
                <w:rFonts w:ascii="Times New Roman" w:hAnsi="Times New Roman" w:cs="Times New Roman"/>
                <w:noProof/>
              </w:rPr>
              <w:t>1. Background</w:t>
            </w:r>
            <w:r w:rsidRPr="00560E7A">
              <w:rPr>
                <w:rFonts w:ascii="Times New Roman" w:hAnsi="Times New Roman" w:cs="Times New Roman"/>
                <w:noProof/>
                <w:webHidden/>
              </w:rPr>
              <w:tab/>
            </w:r>
            <w:r w:rsidRPr="00560E7A">
              <w:rPr>
                <w:rFonts w:ascii="Times New Roman" w:hAnsi="Times New Roman" w:cs="Times New Roman"/>
                <w:noProof/>
                <w:webHidden/>
              </w:rPr>
              <w:fldChar w:fldCharType="begin"/>
            </w:r>
            <w:r w:rsidRPr="00560E7A">
              <w:rPr>
                <w:rFonts w:ascii="Times New Roman" w:hAnsi="Times New Roman" w:cs="Times New Roman"/>
                <w:noProof/>
                <w:webHidden/>
              </w:rPr>
              <w:instrText xml:space="preserve"> PAGEREF _Toc138235556 \h </w:instrText>
            </w:r>
            <w:r w:rsidRPr="00560E7A">
              <w:rPr>
                <w:rFonts w:ascii="Times New Roman" w:hAnsi="Times New Roman" w:cs="Times New Roman"/>
                <w:noProof/>
                <w:webHidden/>
              </w:rPr>
            </w:r>
            <w:r w:rsidRPr="00560E7A">
              <w:rPr>
                <w:rFonts w:ascii="Times New Roman" w:hAnsi="Times New Roman" w:cs="Times New Roman"/>
                <w:noProof/>
                <w:webHidden/>
              </w:rPr>
              <w:fldChar w:fldCharType="separate"/>
            </w:r>
            <w:r w:rsidR="00716613">
              <w:rPr>
                <w:rFonts w:ascii="Times New Roman" w:hAnsi="Times New Roman" w:cs="Times New Roman"/>
                <w:noProof/>
                <w:webHidden/>
              </w:rPr>
              <w:t>3</w:t>
            </w:r>
            <w:r w:rsidRPr="00560E7A">
              <w:rPr>
                <w:rFonts w:ascii="Times New Roman" w:hAnsi="Times New Roman" w:cs="Times New Roman"/>
                <w:noProof/>
                <w:webHidden/>
              </w:rPr>
              <w:fldChar w:fldCharType="end"/>
            </w:r>
          </w:hyperlink>
        </w:p>
        <w:p w14:paraId="4DA73572" w14:textId="622C017C" w:rsidR="00560E7A" w:rsidRPr="00560E7A" w:rsidRDefault="00560E7A">
          <w:pPr>
            <w:pStyle w:val="TOC1"/>
            <w:rPr>
              <w:rFonts w:ascii="Times New Roman" w:eastAsiaTheme="minorEastAsia" w:hAnsi="Times New Roman" w:cs="Times New Roman"/>
              <w:noProof/>
              <w:kern w:val="2"/>
              <w:sz w:val="21"/>
              <w:szCs w:val="22"/>
              <w14:ligatures w14:val="standardContextual"/>
            </w:rPr>
          </w:pPr>
          <w:hyperlink w:anchor="_Toc138235557" w:history="1">
            <w:r w:rsidRPr="00560E7A">
              <w:rPr>
                <w:rStyle w:val="Hyperlink"/>
                <w:rFonts w:ascii="Times New Roman" w:hAnsi="Times New Roman" w:cs="Times New Roman"/>
                <w:noProof/>
              </w:rPr>
              <w:t>2. History and Development Add-on Acquisitions</w:t>
            </w:r>
            <w:r w:rsidRPr="00560E7A">
              <w:rPr>
                <w:rFonts w:ascii="Times New Roman" w:hAnsi="Times New Roman" w:cs="Times New Roman"/>
                <w:noProof/>
                <w:webHidden/>
              </w:rPr>
              <w:tab/>
            </w:r>
            <w:r w:rsidRPr="00560E7A">
              <w:rPr>
                <w:rFonts w:ascii="Times New Roman" w:hAnsi="Times New Roman" w:cs="Times New Roman"/>
                <w:noProof/>
                <w:webHidden/>
              </w:rPr>
              <w:fldChar w:fldCharType="begin"/>
            </w:r>
            <w:r w:rsidRPr="00560E7A">
              <w:rPr>
                <w:rFonts w:ascii="Times New Roman" w:hAnsi="Times New Roman" w:cs="Times New Roman"/>
                <w:noProof/>
                <w:webHidden/>
              </w:rPr>
              <w:instrText xml:space="preserve"> PAGEREF _Toc138235557 \h </w:instrText>
            </w:r>
            <w:r w:rsidRPr="00560E7A">
              <w:rPr>
                <w:rFonts w:ascii="Times New Roman" w:hAnsi="Times New Roman" w:cs="Times New Roman"/>
                <w:noProof/>
                <w:webHidden/>
              </w:rPr>
            </w:r>
            <w:r w:rsidRPr="00560E7A">
              <w:rPr>
                <w:rFonts w:ascii="Times New Roman" w:hAnsi="Times New Roman" w:cs="Times New Roman"/>
                <w:noProof/>
                <w:webHidden/>
              </w:rPr>
              <w:fldChar w:fldCharType="separate"/>
            </w:r>
            <w:r w:rsidR="00716613">
              <w:rPr>
                <w:rFonts w:ascii="Times New Roman" w:hAnsi="Times New Roman" w:cs="Times New Roman"/>
                <w:noProof/>
                <w:webHidden/>
              </w:rPr>
              <w:t>4</w:t>
            </w:r>
            <w:r w:rsidRPr="00560E7A">
              <w:rPr>
                <w:rFonts w:ascii="Times New Roman" w:hAnsi="Times New Roman" w:cs="Times New Roman"/>
                <w:noProof/>
                <w:webHidden/>
              </w:rPr>
              <w:fldChar w:fldCharType="end"/>
            </w:r>
          </w:hyperlink>
        </w:p>
        <w:p w14:paraId="22BA41DD" w14:textId="75171D02" w:rsidR="00560E7A" w:rsidRDefault="00560E7A">
          <w:pPr>
            <w:pStyle w:val="TOC1"/>
            <w:rPr>
              <w:rFonts w:asciiTheme="minorHAnsi" w:eastAsiaTheme="minorEastAsia" w:hAnsiTheme="minorHAnsi" w:cstheme="minorBidi"/>
              <w:noProof/>
              <w:kern w:val="2"/>
              <w:sz w:val="21"/>
              <w:szCs w:val="22"/>
              <w14:ligatures w14:val="standardContextual"/>
            </w:rPr>
          </w:pPr>
          <w:hyperlink w:anchor="_Toc138235558" w:history="1">
            <w:r w:rsidRPr="00560E7A">
              <w:rPr>
                <w:rStyle w:val="Hyperlink"/>
                <w:rFonts w:ascii="Times New Roman" w:hAnsi="Times New Roman" w:cs="Times New Roman"/>
                <w:noProof/>
              </w:rPr>
              <w:t>3. Opportunities in China</w:t>
            </w:r>
            <w:r w:rsidRPr="00560E7A">
              <w:rPr>
                <w:rFonts w:ascii="Times New Roman" w:hAnsi="Times New Roman" w:cs="Times New Roman"/>
                <w:noProof/>
                <w:webHidden/>
              </w:rPr>
              <w:tab/>
            </w:r>
            <w:r w:rsidRPr="00560E7A">
              <w:rPr>
                <w:rFonts w:ascii="Times New Roman" w:hAnsi="Times New Roman" w:cs="Times New Roman"/>
                <w:noProof/>
                <w:webHidden/>
              </w:rPr>
              <w:fldChar w:fldCharType="begin"/>
            </w:r>
            <w:r w:rsidRPr="00560E7A">
              <w:rPr>
                <w:rFonts w:ascii="Times New Roman" w:hAnsi="Times New Roman" w:cs="Times New Roman"/>
                <w:noProof/>
                <w:webHidden/>
              </w:rPr>
              <w:instrText xml:space="preserve"> PAGEREF _Toc138235558 \h </w:instrText>
            </w:r>
            <w:r w:rsidRPr="00560E7A">
              <w:rPr>
                <w:rFonts w:ascii="Times New Roman" w:hAnsi="Times New Roman" w:cs="Times New Roman"/>
                <w:noProof/>
                <w:webHidden/>
              </w:rPr>
            </w:r>
            <w:r w:rsidRPr="00560E7A">
              <w:rPr>
                <w:rFonts w:ascii="Times New Roman" w:hAnsi="Times New Roman" w:cs="Times New Roman"/>
                <w:noProof/>
                <w:webHidden/>
              </w:rPr>
              <w:fldChar w:fldCharType="separate"/>
            </w:r>
            <w:r w:rsidR="00716613">
              <w:rPr>
                <w:rFonts w:ascii="Times New Roman" w:hAnsi="Times New Roman" w:cs="Times New Roman"/>
                <w:noProof/>
                <w:webHidden/>
              </w:rPr>
              <w:t>4</w:t>
            </w:r>
            <w:r w:rsidRPr="00560E7A">
              <w:rPr>
                <w:rFonts w:ascii="Times New Roman" w:hAnsi="Times New Roman" w:cs="Times New Roman"/>
                <w:noProof/>
                <w:webHidden/>
              </w:rPr>
              <w:fldChar w:fldCharType="end"/>
            </w:r>
          </w:hyperlink>
        </w:p>
        <w:p w14:paraId="6C4E4520" w14:textId="5E7D80E4" w:rsidR="00995CC4" w:rsidRDefault="000211E8" w:rsidP="005953C7">
          <w:pPr>
            <w:spacing w:line="360" w:lineRule="auto"/>
            <w:rPr>
              <w:sz w:val="28"/>
            </w:rPr>
          </w:pPr>
          <w:r w:rsidRPr="005953C7">
            <w:rPr>
              <w:sz w:val="28"/>
            </w:rPr>
            <w:fldChar w:fldCharType="end"/>
          </w:r>
        </w:p>
      </w:sdtContent>
    </w:sdt>
    <w:p w14:paraId="11BEC18F" w14:textId="77777777" w:rsidR="00995CC4" w:rsidRDefault="000211E8">
      <w:pPr>
        <w:spacing w:line="360" w:lineRule="auto"/>
        <w:rPr>
          <w:color w:val="003300"/>
          <w:sz w:val="44"/>
          <w:szCs w:val="44"/>
        </w:rPr>
      </w:pPr>
      <w:r>
        <w:rPr>
          <w:color w:val="003300"/>
          <w:sz w:val="44"/>
          <w:szCs w:val="44"/>
        </w:rPr>
        <w:br w:type="page"/>
      </w:r>
    </w:p>
    <w:p w14:paraId="5E143D60" w14:textId="38E1E871" w:rsidR="00DD20D9" w:rsidRDefault="00BC5053" w:rsidP="004F0B04">
      <w:pPr>
        <w:pStyle w:val="Heading1"/>
      </w:pPr>
      <w:bookmarkStart w:id="3" w:name="_Toc138235556"/>
      <w:r>
        <w:lastRenderedPageBreak/>
        <w:t xml:space="preserve">1. </w:t>
      </w:r>
      <w:r w:rsidR="00560E7A" w:rsidRPr="00560E7A">
        <w:t>Background</w:t>
      </w:r>
      <w:bookmarkEnd w:id="3"/>
    </w:p>
    <w:p w14:paraId="6D651DFF" w14:textId="77777777" w:rsidR="00560E7A" w:rsidRPr="00CD464C" w:rsidRDefault="00560E7A" w:rsidP="007E29E6">
      <w:pPr>
        <w:pStyle w:val="NormalIndent"/>
        <w:spacing w:before="120" w:afterLines="50" w:after="120"/>
        <w:ind w:firstLineChars="0" w:firstLine="0"/>
      </w:pPr>
      <w:r w:rsidRPr="00CD464C">
        <w:t>In 2022, under the backdrop of the pandemic, the world economy continued to decline, posing unprecedented challenges to PE firms' investments. The main impact comes from two aspects: firstly, the ECM is in a downturn due to the environment, with a sharp decrease in IPO numbers, making</w:t>
      </w:r>
      <w:r>
        <w:t xml:space="preserve"> an</w:t>
      </w:r>
      <w:r w:rsidRPr="00CD464C">
        <w:t xml:space="preserve"> exit difficult. Secondly, in 2022, the Fed's continuous rate hikes have significantly increased the financing costs of debt instruments, making it difficult to obtain bank financing and putting enormous pressure on LBO funds.</w:t>
      </w:r>
    </w:p>
    <w:p w14:paraId="5B3CBF17" w14:textId="77777777" w:rsidR="00560E7A" w:rsidRPr="00CD464C" w:rsidRDefault="00560E7A" w:rsidP="007E29E6">
      <w:pPr>
        <w:pStyle w:val="NormalIndent"/>
        <w:spacing w:before="120" w:afterLines="50" w:after="120"/>
        <w:ind w:firstLineChars="0" w:firstLine="0"/>
      </w:pPr>
      <w:r w:rsidRPr="00CD464C">
        <w:t>The number of transactions with the add-on strategy has rapidly increased in this environment. In the United States, add-on acquisitions accounted for 77% of PE t</w:t>
      </w:r>
      <w:r>
        <w:t>ransaction value</w:t>
      </w:r>
      <w:r w:rsidRPr="00CD464C">
        <w:t xml:space="preserve"> in 2022, significantly increasing from previous years.</w:t>
      </w:r>
    </w:p>
    <w:p w14:paraId="447BAE25" w14:textId="77777777" w:rsidR="00560E7A" w:rsidRPr="00CD464C" w:rsidRDefault="00560E7A" w:rsidP="007E29E6">
      <w:pPr>
        <w:pStyle w:val="NormalIndent"/>
        <w:spacing w:before="120" w:afterLines="50" w:after="120"/>
        <w:ind w:firstLineChars="0" w:firstLine="0"/>
      </w:pPr>
      <w:r w:rsidRPr="00CD464C">
        <w:t xml:space="preserve">The add-on acquisition strategy involves acquiring smaller companies and integrating them into existing portfolio companies, aiming to achieve synergies and leverage the integration value of private equity firms. This approach typically uses fewer debt instruments due to a smaller size. Through these transactions, buyout funds can help the acquired company to realize profit growth and valuation increase while accelerating the portfolio company's development and bringing the exit forward. </w:t>
      </w:r>
    </w:p>
    <w:p w14:paraId="1E770E00" w14:textId="77777777" w:rsidR="007E29E6" w:rsidRDefault="00560E7A" w:rsidP="007E29E6">
      <w:pPr>
        <w:pStyle w:val="NormalIndent"/>
        <w:spacing w:before="120" w:afterLines="50" w:after="120"/>
        <w:ind w:firstLineChars="0" w:firstLine="0"/>
      </w:pPr>
      <w:r w:rsidRPr="00CD464C">
        <w:t xml:space="preserve">Add-on acquisitions can be subdivided into tuck-in, bolt-on, and roll-up acquisitions based on integration strategies. </w:t>
      </w:r>
    </w:p>
    <w:p w14:paraId="13E1C1B6" w14:textId="77777777" w:rsidR="007E29E6" w:rsidRDefault="00560E7A" w:rsidP="007E29E6">
      <w:pPr>
        <w:pStyle w:val="NormalIndent"/>
        <w:spacing w:before="120" w:afterLines="50" w:after="120"/>
        <w:ind w:firstLineChars="0" w:firstLine="0"/>
      </w:pPr>
      <w:r w:rsidRPr="00CD464C">
        <w:t xml:space="preserve">Tuck-in acquisitions refer to acquiring a smaller company and integrating it into a platform company with a similar business. The acquired small company, due to a lack of specific resources or management experience, has reached its expansion limit, and integration into the platform company can release its profit space. </w:t>
      </w:r>
    </w:p>
    <w:p w14:paraId="2FC3E6BA" w14:textId="77777777" w:rsidR="007E29E6" w:rsidRDefault="00560E7A" w:rsidP="007E29E6">
      <w:pPr>
        <w:pStyle w:val="NormalIndent"/>
        <w:spacing w:before="120" w:afterLines="50" w:after="120"/>
        <w:ind w:firstLineChars="0" w:firstLine="0"/>
      </w:pPr>
      <w:r>
        <w:t>Through horizontal acquisitions, Bolt-on acquisitions aim to enrich the platform company's product line</w:t>
      </w:r>
      <w:r w:rsidRPr="00CD464C">
        <w:t xml:space="preserve">. The price of the acquired company in bolt-on acquisitions is usually higher, and the company typically can operate and develop well as a standalone company. Therefore, these acquired companies generally retain a certain degree of independence after integration. </w:t>
      </w:r>
    </w:p>
    <w:p w14:paraId="5F0238E4" w14:textId="56D11FF5" w:rsidR="00F979D3" w:rsidRPr="00560E7A" w:rsidRDefault="00560E7A" w:rsidP="007E29E6">
      <w:pPr>
        <w:pStyle w:val="NormalIndent"/>
        <w:spacing w:before="120" w:afterLines="50" w:after="120"/>
        <w:ind w:firstLineChars="0" w:firstLine="0"/>
        <w:rPr>
          <w:rFonts w:hint="eastAsia"/>
        </w:rPr>
      </w:pPr>
      <w:r w:rsidRPr="00CD464C">
        <w:t>Roll-up acquisitions are horizontal and focus more on achieving economies of scale. In roll-up acquisitions, the platform company usually has a well-established business model and can implement it in the acquired company to achieve economies of scale.</w:t>
      </w:r>
    </w:p>
    <w:p w14:paraId="6D7DE35D" w14:textId="69E78334" w:rsidR="007A7C57" w:rsidRPr="007A7C57" w:rsidRDefault="007A7C57" w:rsidP="004F0B04">
      <w:pPr>
        <w:pStyle w:val="Heading1"/>
      </w:pPr>
      <w:bookmarkStart w:id="4" w:name="_Toc138235557"/>
      <w:r w:rsidRPr="007A7C57">
        <w:lastRenderedPageBreak/>
        <w:t xml:space="preserve">2. </w:t>
      </w:r>
      <w:r w:rsidR="00560E7A" w:rsidRPr="00560E7A">
        <w:t>History and Development Add-on Acquisitions</w:t>
      </w:r>
      <w:bookmarkEnd w:id="4"/>
    </w:p>
    <w:p w14:paraId="5EE2F413" w14:textId="77777777" w:rsidR="007E29E6" w:rsidRPr="007E29E6" w:rsidRDefault="00560E7A" w:rsidP="007E29E6">
      <w:pPr>
        <w:pStyle w:val="NormalIndent"/>
        <w:spacing w:before="120" w:afterLines="50" w:after="120"/>
        <w:ind w:firstLineChars="0" w:firstLine="0"/>
      </w:pPr>
      <w:r w:rsidRPr="007E29E6">
        <w:t xml:space="preserve">The add-on acquisition strategy almost emerged along with the PE industry, but in the 70 years of history, the add-on acquisition strategy has never been as popular as it is today. The add-on acquisition strategy has also achieved considerable success in the past few decades of development. </w:t>
      </w:r>
    </w:p>
    <w:p w14:paraId="7EAB2768" w14:textId="0DC5232B" w:rsidR="007A7C57" w:rsidRPr="007E29E6" w:rsidRDefault="00560E7A" w:rsidP="007E29E6">
      <w:pPr>
        <w:pStyle w:val="NormalIndent"/>
        <w:spacing w:before="120" w:afterLines="50" w:after="120"/>
        <w:ind w:firstLineChars="0" w:firstLine="0"/>
      </w:pPr>
      <w:r w:rsidRPr="007E29E6">
        <w:t xml:space="preserve">One of the classic cases is the Bahrain alternative investment company </w:t>
      </w:r>
      <w:proofErr w:type="spellStart"/>
      <w:r w:rsidRPr="007E29E6">
        <w:t>Investcorp's</w:t>
      </w:r>
      <w:proofErr w:type="spellEnd"/>
      <w:r w:rsidRPr="007E29E6">
        <w:t xml:space="preserve"> acquisition of the leading packaging company, Berlin Packaging, for $410 million in 2007. Over the next seven years, Investcorp conducted four strategic acquisitions and integrated the acquired companies into Berlin Packaging. In 2014, Investcorp sold the entire company to Oak Hill for $1.43 billion, achieving a return of 3x. Some buyout funds also attempt to implement the add-on acquisition strategy by targeting large companies as acquisition targets. In 2018, Optiv, a KKR company, hired a general manager with extensive integration experience in the cybersecurity industry and hoped to create more value for shareholders through M&amp;A and integration with independent cybersecurity companies in Europe. In the following period, Optiv acquired four companies, including </w:t>
      </w:r>
      <w:proofErr w:type="spellStart"/>
      <w:r w:rsidRPr="007E29E6">
        <w:t>ClearShark</w:t>
      </w:r>
      <w:proofErr w:type="spellEnd"/>
      <w:r w:rsidRPr="007E29E6">
        <w:t>, to expand rapidly across Europe and the United States.</w:t>
      </w:r>
    </w:p>
    <w:p w14:paraId="2E458F5F" w14:textId="577E15A4" w:rsidR="00560E7A" w:rsidRDefault="00560E7A" w:rsidP="007E29E6">
      <w:pPr>
        <w:pStyle w:val="Heading1"/>
        <w:spacing w:before="50" w:afterLines="50" w:after="120"/>
      </w:pPr>
      <w:bookmarkStart w:id="5" w:name="_Toc138235558"/>
      <w:r>
        <w:t>3</w:t>
      </w:r>
      <w:r w:rsidRPr="007A7C57">
        <w:t>.</w:t>
      </w:r>
      <w:r w:rsidRPr="00560E7A">
        <w:t xml:space="preserve"> </w:t>
      </w:r>
      <w:r w:rsidRPr="00560E7A">
        <w:t>Opportunities in China</w:t>
      </w:r>
      <w:bookmarkEnd w:id="5"/>
    </w:p>
    <w:p w14:paraId="43B46E5C" w14:textId="77777777" w:rsidR="00560E7A" w:rsidRPr="00CD464C" w:rsidRDefault="00560E7A" w:rsidP="007E29E6">
      <w:pPr>
        <w:pStyle w:val="NormalIndent"/>
        <w:spacing w:before="120" w:afterLines="50" w:after="120"/>
        <w:ind w:firstLineChars="0" w:firstLine="0"/>
      </w:pPr>
      <w:r w:rsidRPr="00CD464C">
        <w:t xml:space="preserve">China has been less affected by this wave of add-on acquisition strategy mainly because </w:t>
      </w:r>
      <w:r>
        <w:t>LBO funds are</w:t>
      </w:r>
      <w:r w:rsidRPr="00CD464C">
        <w:t xml:space="preserve"> far less distributed in China.</w:t>
      </w:r>
      <w:r>
        <w:t xml:space="preserve"> PE</w:t>
      </w:r>
      <w:r w:rsidRPr="00CD464C">
        <w:t xml:space="preserve"> in China </w:t>
      </w:r>
      <w:r>
        <w:t>particular</w:t>
      </w:r>
      <w:r w:rsidRPr="00CD464C">
        <w:t xml:space="preserve">ly adopt a growth investment strategy </w:t>
      </w:r>
      <w:r>
        <w:t>that</w:t>
      </w:r>
      <w:r w:rsidRPr="00CD464C">
        <w:t xml:space="preserve"> </w:t>
      </w:r>
      <w:r>
        <w:t xml:space="preserve">seldom uses </w:t>
      </w:r>
      <w:r w:rsidRPr="00CD464C">
        <w:t xml:space="preserve">leverage, so they are less affected by this round of interest rate hike cycle. Therefore, there is no urgent need for a strategy shift. </w:t>
      </w:r>
      <w:r>
        <w:t>On the other hand, LBO fund</w:t>
      </w:r>
      <w:r w:rsidRPr="00CD464C">
        <w:t xml:space="preserve">s in Europe and the United States </w:t>
      </w:r>
      <w:r>
        <w:t>have better control over the company than Chinese funds, and they are</w:t>
      </w:r>
      <w:r w:rsidRPr="00CD464C">
        <w:t xml:space="preserve"> more motivat</w:t>
      </w:r>
      <w:r>
        <w:t>ed</w:t>
      </w:r>
      <w:r w:rsidRPr="00CD464C">
        <w:t xml:space="preserve"> to conduct post-investment capital operations.</w:t>
      </w:r>
    </w:p>
    <w:p w14:paraId="7BFA91B1" w14:textId="77777777" w:rsidR="00560E7A" w:rsidRPr="00CD464C" w:rsidRDefault="00560E7A" w:rsidP="007E29E6">
      <w:pPr>
        <w:pStyle w:val="NormalIndent"/>
        <w:spacing w:before="120" w:afterLines="50" w:after="120"/>
        <w:ind w:firstLineChars="0" w:firstLine="0"/>
      </w:pPr>
      <w:r w:rsidRPr="00CD464C">
        <w:t xml:space="preserve">We believe there will not be large-scale add-on acquisition transactions in China in </w:t>
      </w:r>
      <w:r>
        <w:t xml:space="preserve">the </w:t>
      </w:r>
      <w:r w:rsidRPr="00CD464C">
        <w:t>short to medium term</w:t>
      </w:r>
      <w:r>
        <w:t>. Still,</w:t>
      </w:r>
      <w:r w:rsidRPr="00CD464C">
        <w:t xml:space="preserve"> its unique integration value will be a choice for some institutions with platform companies and co</w:t>
      </w:r>
      <w:r>
        <w:t>mplementary</w:t>
      </w:r>
      <w:r w:rsidRPr="00CD464C">
        <w:t xml:space="preserve"> professional capabilities. Such opportunities will </w:t>
      </w:r>
      <w:r>
        <w:t>increase, and we believe</w:t>
      </w:r>
      <w:r w:rsidRPr="00CD464C">
        <w:t xml:space="preserve"> there will be more practices and explorations in China in the future.</w:t>
      </w:r>
    </w:p>
    <w:sectPr w:rsidR="00560E7A" w:rsidRPr="00CD464C">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DD4DB" w14:textId="77777777" w:rsidR="00D715BB" w:rsidRDefault="00D715BB">
      <w:r>
        <w:separator/>
      </w:r>
    </w:p>
  </w:endnote>
  <w:endnote w:type="continuationSeparator" w:id="0">
    <w:p w14:paraId="29EAE3B3" w14:textId="77777777" w:rsidR="00D715BB" w:rsidRDefault="00D7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Devanagari">
    <w:altName w:val="Segoe Print"/>
    <w:panose1 w:val="02040503050201020203"/>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AutoText"/>
      </w:docPartObj>
    </w:sdtPr>
    <w:sdtContent>
      <w:p w14:paraId="6863E2A8" w14:textId="77777777" w:rsidR="00995CC4" w:rsidRDefault="00CC64F4">
        <w:pPr>
          <w:pStyle w:val="Footer"/>
          <w:jc w:val="right"/>
        </w:pPr>
        <w:r>
          <w:rPr>
            <w:noProof/>
          </w:rPr>
          <mc:AlternateContent>
            <mc:Choice Requires="wps">
              <w:drawing>
                <wp:anchor distT="0" distB="0" distL="114300" distR="114300" simplePos="0" relativeHeight="251658752" behindDoc="0" locked="0" layoutInCell="1" allowOverlap="1" wp14:anchorId="474C5DB1" wp14:editId="57B31CA0">
                  <wp:simplePos x="0" y="0"/>
                  <wp:positionH relativeFrom="page">
                    <wp:posOffset>-76200</wp:posOffset>
                  </wp:positionH>
                  <wp:positionV relativeFrom="paragraph">
                    <wp:posOffset>191135</wp:posOffset>
                  </wp:positionV>
                  <wp:extent cx="2095500" cy="6604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78D5CF4" id="Rectangle 8" o:spid="_x0000_s1026" style="position:absolute;margin-left:-6pt;margin-top:15.05pt;width:165pt;height:5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9YCVvuUAAAAPAQAADwAA&#10;AGRycy9kb3ducmV2LnhtbEyPQWvDMAyF74P9B6PBbq2TZoySximl6yiD9bB069mN1SQ0lkPsJtm/&#10;n3baLgJJT0/vy9aTbcWAvW8cKYjnEQik0pmGKgWfx9fZEoQPmoxuHaGCb/Swzu/vMp0aN9IHDkWo&#10;BJuQT7WCOoQuldKXNVrt565D4t3F9VYHbvtKml6PbG5buYiiZ2l1Q/yh1h1uayyvxc0qeDvsT83B&#10;fo3V8bKd3ovrrhz2O6UeH6aXFZfNCkTAKfxdwC8D54ecg53djYwXrYJZvGCgoCCJYhAsSOIlD86s&#10;TJ5ikHkm/3PkPwAAAP//AwBQSwECLQAUAAYACAAAACEAtoM4kv4AAADhAQAAEwAAAAAAAAAAAAAA&#10;AAAAAAAAW0NvbnRlbnRfVHlwZXNdLnhtbFBLAQItABQABgAIAAAAIQA4/SH/1gAAAJQBAAALAAAA&#10;AAAAAAAAAAAAAC8BAABfcmVscy8ucmVsc1BLAQItABQABgAIAAAAIQANXq3cbwIAAGUFAAAOAAAA&#10;AAAAAAAAAAAAAC4CAABkcnMvZTJvRG9jLnhtbFBLAQItABQABgAIAAAAIQD1gJW+5QAAAA8BAAAP&#10;AAAAAAAAAAAAAAAAAMkEAABkcnMvZG93bnJldi54bWxQSwUGAAAAAAQABADzAAAA2wUAAAAA&#10;" fillcolor="#375623 [1609]" stroked="f" strokeweight="1pt">
                  <w10:wrap anchorx="page"/>
                </v:rect>
              </w:pict>
            </mc:Fallback>
          </mc:AlternateContent>
        </w:r>
        <w:r w:rsidR="000211E8">
          <w:fldChar w:fldCharType="begin"/>
        </w:r>
        <w:r w:rsidR="000211E8">
          <w:instrText xml:space="preserve"> PAGE   \* MERGEFORMAT </w:instrText>
        </w:r>
        <w:r w:rsidR="000211E8">
          <w:fldChar w:fldCharType="separate"/>
        </w:r>
        <w:r w:rsidR="000211E8">
          <w:t>2</w:t>
        </w:r>
        <w:r w:rsidR="000211E8">
          <w:fldChar w:fldCharType="end"/>
        </w:r>
      </w:p>
    </w:sdtContent>
  </w:sdt>
  <w:p w14:paraId="5AFB3E9E" w14:textId="77777777" w:rsidR="00995CC4" w:rsidRDefault="00995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A387" w14:textId="77777777" w:rsidR="00D715BB" w:rsidRDefault="00D715BB">
      <w:r>
        <w:separator/>
      </w:r>
    </w:p>
  </w:footnote>
  <w:footnote w:type="continuationSeparator" w:id="0">
    <w:p w14:paraId="2965A755" w14:textId="77777777" w:rsidR="00D715BB" w:rsidRDefault="00D71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7AB40" w14:textId="77777777" w:rsidR="00995CC4" w:rsidRDefault="00CC64F4">
    <w:pPr>
      <w:rPr>
        <w:rFonts w:ascii="Adobe Devanagari" w:hAnsi="Adobe Devanagari" w:cs="Adobe Devanagari"/>
        <w:b/>
        <w:bCs/>
        <w:color w:val="A8D08D" w:themeColor="accent6" w:themeTint="99"/>
        <w:sz w:val="36"/>
        <w:szCs w:val="32"/>
      </w:rPr>
    </w:pPr>
    <w:r>
      <w:rPr>
        <w:noProof/>
      </w:rPr>
      <mc:AlternateContent>
        <mc:Choice Requires="wps">
          <w:drawing>
            <wp:anchor distT="0" distB="0" distL="114300" distR="114300" simplePos="0" relativeHeight="251656704" behindDoc="0" locked="0" layoutInCell="1" allowOverlap="1" wp14:anchorId="77E8789A" wp14:editId="2C679AFE">
              <wp:simplePos x="0" y="0"/>
              <wp:positionH relativeFrom="page">
                <wp:posOffset>-76200</wp:posOffset>
              </wp:positionH>
              <wp:positionV relativeFrom="paragraph">
                <wp:posOffset>-486410</wp:posOffset>
              </wp:positionV>
              <wp:extent cx="2095500" cy="6604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F4F6896" id="Rectangle 9" o:spid="_x0000_s1026" style="position:absolute;margin-left:-6pt;margin-top:-38.3pt;width:165pt;height:5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3m8qYOQAAAAPAQAADwAA&#10;AGRycy9kb3ducmV2LnhtbEyPTU+DQBCG7yb+h82YeGsX0NCGsjSm1jQm9iC1PW9hCqTsLGG3gP/e&#10;8aSXyXy+8z7pejKtGLB3jSUF4TwAgVTYsqFKwdfhbbYE4bymUreWUME3Olhn93epTko70icOua8E&#10;i5BLtILa+y6R0hU1Gu3mtkPi2cX2Rnsu+0qWvR5Z3LQyCoJYGt0Qf6h1h5sai2t+Mwre97tTszfH&#10;sTpcNtNHft0Ww26r1OPD9Lri8LIC4XHyfxfwy8D+IWNjZ3uj0olWwSyMGMhzsohjELzxFC65c1YQ&#10;LZ5BZqn8z5H9AAAA//8DAFBLAQItABQABgAIAAAAIQC2gziS/gAAAOEBAAATAAAAAAAAAAAAAAAA&#10;AAAAAABbQ29udGVudF9UeXBlc10ueG1sUEsBAi0AFAAGAAgAAAAhADj9If/WAAAAlAEAAAsAAAAA&#10;AAAAAAAAAAAALwEAAF9yZWxzLy5yZWxzUEsBAi0AFAAGAAgAAAAhAA1erdxvAgAAZQUAAA4AAAAA&#10;AAAAAAAAAAAALgIAAGRycy9lMm9Eb2MueG1sUEsBAi0AFAAGAAgAAAAhAN5vKmDkAAAADwEAAA8A&#10;AAAAAAAAAAAAAAAAyQQAAGRycy9kb3ducmV2LnhtbFBLBQYAAAAABAAEAPMAAADaBQAAAAA=&#10;" fillcolor="#375623 [1609]" stroked="f" strokeweight="1pt">
              <w10:wrap anchorx="page"/>
            </v:rect>
          </w:pict>
        </mc:Fallback>
      </mc:AlternateContent>
    </w:r>
    <w:r w:rsidR="000211E8">
      <w:rPr>
        <w:rFonts w:ascii="Adobe Devanagari" w:hAnsi="Adobe Devanagari" w:cs="Adobe Devanagari"/>
        <w:b/>
        <w:bCs/>
        <w:noProof/>
        <w:color w:val="A8D08D" w:themeColor="accent6" w:themeTint="99"/>
        <w:sz w:val="36"/>
        <w:szCs w:val="32"/>
      </w:rPr>
      <w:drawing>
        <wp:anchor distT="0" distB="0" distL="114300" distR="114300" simplePos="0" relativeHeight="251657728" behindDoc="0" locked="0" layoutInCell="1" allowOverlap="1" wp14:anchorId="1DB1BD3F" wp14:editId="46B5CB7D">
          <wp:simplePos x="0" y="0"/>
          <wp:positionH relativeFrom="column">
            <wp:posOffset>3652520</wp:posOffset>
          </wp:positionH>
          <wp:positionV relativeFrom="paragraph">
            <wp:posOffset>-290195</wp:posOffset>
          </wp:positionV>
          <wp:extent cx="2850515" cy="56896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2561A393" w14:textId="77777777" w:rsidR="00995CC4" w:rsidRDefault="00995CC4">
    <w:pPr>
      <w:rPr>
        <w:rFonts w:ascii="Adobe Devanagari" w:hAnsi="Adobe Devanagari" w:cs="Adobe Devanagari"/>
        <w:b/>
        <w:bCs/>
        <w:color w:val="A8D08D" w:themeColor="accent6" w:themeTint="99"/>
        <w:sz w:val="36"/>
        <w:szCs w:val="32"/>
      </w:rPr>
    </w:pPr>
  </w:p>
  <w:p w14:paraId="2DCCF27B" w14:textId="77777777" w:rsidR="00995CC4" w:rsidRDefault="00995CC4">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B28"/>
    <w:multiLevelType w:val="hybridMultilevel"/>
    <w:tmpl w:val="AAB0CE48"/>
    <w:lvl w:ilvl="0" w:tplc="F59276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55DD7"/>
    <w:multiLevelType w:val="multilevel"/>
    <w:tmpl w:val="14D55D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69F1608"/>
    <w:multiLevelType w:val="hybridMultilevel"/>
    <w:tmpl w:val="E84C6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A1797"/>
    <w:multiLevelType w:val="hybridMultilevel"/>
    <w:tmpl w:val="BBF8B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8002F"/>
    <w:multiLevelType w:val="hybridMultilevel"/>
    <w:tmpl w:val="25220D8A"/>
    <w:lvl w:ilvl="0" w:tplc="9B045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DE6C32"/>
    <w:multiLevelType w:val="multilevel"/>
    <w:tmpl w:val="4EDE6C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4531293"/>
    <w:multiLevelType w:val="hybridMultilevel"/>
    <w:tmpl w:val="EDE2B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8641A"/>
    <w:multiLevelType w:val="hybridMultilevel"/>
    <w:tmpl w:val="D1CC3878"/>
    <w:lvl w:ilvl="0" w:tplc="DE482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5D54B6"/>
    <w:multiLevelType w:val="hybridMultilevel"/>
    <w:tmpl w:val="106EAA9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D101718"/>
    <w:multiLevelType w:val="hybridMultilevel"/>
    <w:tmpl w:val="6F42B7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DBB4FFA"/>
    <w:multiLevelType w:val="hybridMultilevel"/>
    <w:tmpl w:val="F2C65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3845768">
    <w:abstractNumId w:val="1"/>
  </w:num>
  <w:num w:numId="2" w16cid:durableId="1596085743">
    <w:abstractNumId w:val="5"/>
  </w:num>
  <w:num w:numId="3" w16cid:durableId="511995032">
    <w:abstractNumId w:val="3"/>
  </w:num>
  <w:num w:numId="4" w16cid:durableId="1681203811">
    <w:abstractNumId w:val="6"/>
  </w:num>
  <w:num w:numId="5" w16cid:durableId="940185907">
    <w:abstractNumId w:val="7"/>
  </w:num>
  <w:num w:numId="6" w16cid:durableId="1200168157">
    <w:abstractNumId w:val="0"/>
  </w:num>
  <w:num w:numId="7" w16cid:durableId="2016301954">
    <w:abstractNumId w:val="2"/>
  </w:num>
  <w:num w:numId="8" w16cid:durableId="980115133">
    <w:abstractNumId w:val="4"/>
  </w:num>
  <w:num w:numId="9" w16cid:durableId="326061223">
    <w:abstractNumId w:val="10"/>
  </w:num>
  <w:num w:numId="10" w16cid:durableId="1251618281">
    <w:abstractNumId w:val="9"/>
  </w:num>
  <w:num w:numId="11" w16cid:durableId="18256637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3NDQ3NzKzNDM3NLJQ0lEKTi0uzszPAykwNqoFAIfbvi8tAAAA"/>
    <w:docVar w:name="commondata" w:val="eyJoZGlkIjoiZjNlY2M5ZjdmNTAzNjg4NmY3YThhMTVhNTc3YzNmOGUifQ=="/>
  </w:docVars>
  <w:rsids>
    <w:rsidRoot w:val="00C17C0B"/>
    <w:rsid w:val="0000633E"/>
    <w:rsid w:val="00013D1D"/>
    <w:rsid w:val="000140A9"/>
    <w:rsid w:val="00017F27"/>
    <w:rsid w:val="000211E8"/>
    <w:rsid w:val="00030EAC"/>
    <w:rsid w:val="0003635E"/>
    <w:rsid w:val="00056E8B"/>
    <w:rsid w:val="00072466"/>
    <w:rsid w:val="000740A7"/>
    <w:rsid w:val="000754E6"/>
    <w:rsid w:val="00075FEF"/>
    <w:rsid w:val="0007755E"/>
    <w:rsid w:val="000859DB"/>
    <w:rsid w:val="00096FA0"/>
    <w:rsid w:val="000A2B74"/>
    <w:rsid w:val="000A2C2B"/>
    <w:rsid w:val="000A34AF"/>
    <w:rsid w:val="000A7413"/>
    <w:rsid w:val="000B0113"/>
    <w:rsid w:val="000B3CEF"/>
    <w:rsid w:val="000B6A35"/>
    <w:rsid w:val="000B79D4"/>
    <w:rsid w:val="000C3FE9"/>
    <w:rsid w:val="000C72F5"/>
    <w:rsid w:val="000D1839"/>
    <w:rsid w:val="000D25B4"/>
    <w:rsid w:val="000D5BA7"/>
    <w:rsid w:val="000E08D0"/>
    <w:rsid w:val="000E0B02"/>
    <w:rsid w:val="000E55C9"/>
    <w:rsid w:val="000F19E8"/>
    <w:rsid w:val="000F29FF"/>
    <w:rsid w:val="000F33AC"/>
    <w:rsid w:val="000F4398"/>
    <w:rsid w:val="00107389"/>
    <w:rsid w:val="001206A3"/>
    <w:rsid w:val="00122021"/>
    <w:rsid w:val="001227C8"/>
    <w:rsid w:val="001306C3"/>
    <w:rsid w:val="00135B1D"/>
    <w:rsid w:val="001634E2"/>
    <w:rsid w:val="00166CC1"/>
    <w:rsid w:val="001679B4"/>
    <w:rsid w:val="00172A04"/>
    <w:rsid w:val="0018669E"/>
    <w:rsid w:val="001915CA"/>
    <w:rsid w:val="001A2704"/>
    <w:rsid w:val="001A5311"/>
    <w:rsid w:val="001A5619"/>
    <w:rsid w:val="001A74D7"/>
    <w:rsid w:val="001B1D37"/>
    <w:rsid w:val="001B1DAC"/>
    <w:rsid w:val="001B55DF"/>
    <w:rsid w:val="001B7DE4"/>
    <w:rsid w:val="001C2800"/>
    <w:rsid w:val="001D1E51"/>
    <w:rsid w:val="001E007A"/>
    <w:rsid w:val="001E08A2"/>
    <w:rsid w:val="001E1D32"/>
    <w:rsid w:val="001E3868"/>
    <w:rsid w:val="00201213"/>
    <w:rsid w:val="0020171E"/>
    <w:rsid w:val="00207D5E"/>
    <w:rsid w:val="00207EA2"/>
    <w:rsid w:val="0021036F"/>
    <w:rsid w:val="002135A4"/>
    <w:rsid w:val="00214BA5"/>
    <w:rsid w:val="002204E3"/>
    <w:rsid w:val="00222DC0"/>
    <w:rsid w:val="0022411D"/>
    <w:rsid w:val="00225529"/>
    <w:rsid w:val="002270FE"/>
    <w:rsid w:val="00230D2C"/>
    <w:rsid w:val="00246DBD"/>
    <w:rsid w:val="00252C52"/>
    <w:rsid w:val="00264C51"/>
    <w:rsid w:val="00277420"/>
    <w:rsid w:val="0029506C"/>
    <w:rsid w:val="002A0790"/>
    <w:rsid w:val="002A2718"/>
    <w:rsid w:val="002A3908"/>
    <w:rsid w:val="002C01CA"/>
    <w:rsid w:val="002C038A"/>
    <w:rsid w:val="002C12E0"/>
    <w:rsid w:val="002C3DD6"/>
    <w:rsid w:val="002D08A0"/>
    <w:rsid w:val="002D26F9"/>
    <w:rsid w:val="002D4D42"/>
    <w:rsid w:val="002D7B92"/>
    <w:rsid w:val="002D7E9C"/>
    <w:rsid w:val="002F3F05"/>
    <w:rsid w:val="00305606"/>
    <w:rsid w:val="00315897"/>
    <w:rsid w:val="00315D77"/>
    <w:rsid w:val="00320C81"/>
    <w:rsid w:val="00322580"/>
    <w:rsid w:val="00330C20"/>
    <w:rsid w:val="00332136"/>
    <w:rsid w:val="00335C7F"/>
    <w:rsid w:val="00345AA2"/>
    <w:rsid w:val="0035535B"/>
    <w:rsid w:val="00361D41"/>
    <w:rsid w:val="003648E9"/>
    <w:rsid w:val="00364FF2"/>
    <w:rsid w:val="0036704C"/>
    <w:rsid w:val="003731D8"/>
    <w:rsid w:val="003755E3"/>
    <w:rsid w:val="00376551"/>
    <w:rsid w:val="00382237"/>
    <w:rsid w:val="00383BE9"/>
    <w:rsid w:val="00383C98"/>
    <w:rsid w:val="0039408A"/>
    <w:rsid w:val="003946A6"/>
    <w:rsid w:val="0039668C"/>
    <w:rsid w:val="00397848"/>
    <w:rsid w:val="003A1D12"/>
    <w:rsid w:val="003A1FAB"/>
    <w:rsid w:val="003A4E1A"/>
    <w:rsid w:val="003A7E43"/>
    <w:rsid w:val="003B15C6"/>
    <w:rsid w:val="003B396F"/>
    <w:rsid w:val="003C42DC"/>
    <w:rsid w:val="003C4345"/>
    <w:rsid w:val="003D3215"/>
    <w:rsid w:val="003E23C0"/>
    <w:rsid w:val="003E5AF6"/>
    <w:rsid w:val="003F1A8C"/>
    <w:rsid w:val="003F5787"/>
    <w:rsid w:val="00406E16"/>
    <w:rsid w:val="00406E25"/>
    <w:rsid w:val="00411D33"/>
    <w:rsid w:val="00414605"/>
    <w:rsid w:val="0042206A"/>
    <w:rsid w:val="004248ED"/>
    <w:rsid w:val="00426C6E"/>
    <w:rsid w:val="00427BE0"/>
    <w:rsid w:val="004314D8"/>
    <w:rsid w:val="0043494C"/>
    <w:rsid w:val="004377DD"/>
    <w:rsid w:val="00445717"/>
    <w:rsid w:val="00453235"/>
    <w:rsid w:val="004555F3"/>
    <w:rsid w:val="004564BD"/>
    <w:rsid w:val="00462956"/>
    <w:rsid w:val="00462E4C"/>
    <w:rsid w:val="0046520F"/>
    <w:rsid w:val="00466179"/>
    <w:rsid w:val="00473FBC"/>
    <w:rsid w:val="00481FA7"/>
    <w:rsid w:val="00482901"/>
    <w:rsid w:val="004830A2"/>
    <w:rsid w:val="00484A75"/>
    <w:rsid w:val="004873CF"/>
    <w:rsid w:val="004926F3"/>
    <w:rsid w:val="00495652"/>
    <w:rsid w:val="004A14C7"/>
    <w:rsid w:val="004B02B7"/>
    <w:rsid w:val="004C3936"/>
    <w:rsid w:val="004C5751"/>
    <w:rsid w:val="004C69BF"/>
    <w:rsid w:val="004D22F4"/>
    <w:rsid w:val="004D4FD1"/>
    <w:rsid w:val="004D5A99"/>
    <w:rsid w:val="004D5CC6"/>
    <w:rsid w:val="004D71C1"/>
    <w:rsid w:val="004F0B04"/>
    <w:rsid w:val="004F438A"/>
    <w:rsid w:val="004F6C28"/>
    <w:rsid w:val="004F7F35"/>
    <w:rsid w:val="0050654F"/>
    <w:rsid w:val="00513F14"/>
    <w:rsid w:val="00516335"/>
    <w:rsid w:val="00522731"/>
    <w:rsid w:val="00525405"/>
    <w:rsid w:val="00527E63"/>
    <w:rsid w:val="00532D01"/>
    <w:rsid w:val="00536309"/>
    <w:rsid w:val="0054067F"/>
    <w:rsid w:val="00543EC5"/>
    <w:rsid w:val="005533E1"/>
    <w:rsid w:val="00554FDE"/>
    <w:rsid w:val="00555E6E"/>
    <w:rsid w:val="00560510"/>
    <w:rsid w:val="00560E7A"/>
    <w:rsid w:val="00565EF5"/>
    <w:rsid w:val="00572823"/>
    <w:rsid w:val="005728D2"/>
    <w:rsid w:val="00575553"/>
    <w:rsid w:val="00576733"/>
    <w:rsid w:val="00576C09"/>
    <w:rsid w:val="00576F04"/>
    <w:rsid w:val="0058199C"/>
    <w:rsid w:val="00584616"/>
    <w:rsid w:val="00593CA1"/>
    <w:rsid w:val="00595389"/>
    <w:rsid w:val="005953C7"/>
    <w:rsid w:val="005A64B3"/>
    <w:rsid w:val="005B035F"/>
    <w:rsid w:val="005C4A8D"/>
    <w:rsid w:val="005C7A5C"/>
    <w:rsid w:val="005D7653"/>
    <w:rsid w:val="005D7E96"/>
    <w:rsid w:val="005E0062"/>
    <w:rsid w:val="005E1254"/>
    <w:rsid w:val="005E1B7F"/>
    <w:rsid w:val="005E52DB"/>
    <w:rsid w:val="005F47A4"/>
    <w:rsid w:val="005F53A0"/>
    <w:rsid w:val="005F61F6"/>
    <w:rsid w:val="005F75D1"/>
    <w:rsid w:val="0060554B"/>
    <w:rsid w:val="006137C4"/>
    <w:rsid w:val="00615801"/>
    <w:rsid w:val="006165AF"/>
    <w:rsid w:val="00623B14"/>
    <w:rsid w:val="00623C89"/>
    <w:rsid w:val="00632CB9"/>
    <w:rsid w:val="00655330"/>
    <w:rsid w:val="00657ED6"/>
    <w:rsid w:val="006633C4"/>
    <w:rsid w:val="006633E7"/>
    <w:rsid w:val="00667BEE"/>
    <w:rsid w:val="00671AF2"/>
    <w:rsid w:val="00671E96"/>
    <w:rsid w:val="006720DB"/>
    <w:rsid w:val="00675AF7"/>
    <w:rsid w:val="00680F11"/>
    <w:rsid w:val="006863E3"/>
    <w:rsid w:val="006944C4"/>
    <w:rsid w:val="006A5D2D"/>
    <w:rsid w:val="006B4423"/>
    <w:rsid w:val="006C1391"/>
    <w:rsid w:val="006C176C"/>
    <w:rsid w:val="006C17C3"/>
    <w:rsid w:val="006C1FEB"/>
    <w:rsid w:val="006E64FA"/>
    <w:rsid w:val="006F02AD"/>
    <w:rsid w:val="006F4855"/>
    <w:rsid w:val="006F725E"/>
    <w:rsid w:val="00704327"/>
    <w:rsid w:val="00704941"/>
    <w:rsid w:val="00704994"/>
    <w:rsid w:val="00716613"/>
    <w:rsid w:val="007237FB"/>
    <w:rsid w:val="007359BF"/>
    <w:rsid w:val="00743ADE"/>
    <w:rsid w:val="0074602B"/>
    <w:rsid w:val="00750F4D"/>
    <w:rsid w:val="00753598"/>
    <w:rsid w:val="00754A3D"/>
    <w:rsid w:val="00754F41"/>
    <w:rsid w:val="007556F1"/>
    <w:rsid w:val="00761699"/>
    <w:rsid w:val="00764425"/>
    <w:rsid w:val="00764B19"/>
    <w:rsid w:val="00766228"/>
    <w:rsid w:val="0077299C"/>
    <w:rsid w:val="00775F12"/>
    <w:rsid w:val="0078494C"/>
    <w:rsid w:val="00786A7E"/>
    <w:rsid w:val="007905AB"/>
    <w:rsid w:val="00790D46"/>
    <w:rsid w:val="00791724"/>
    <w:rsid w:val="007A02DD"/>
    <w:rsid w:val="007A7C57"/>
    <w:rsid w:val="007B2BBA"/>
    <w:rsid w:val="007C5CCD"/>
    <w:rsid w:val="007C7123"/>
    <w:rsid w:val="007D5789"/>
    <w:rsid w:val="007D7658"/>
    <w:rsid w:val="007E09BD"/>
    <w:rsid w:val="007E281C"/>
    <w:rsid w:val="007E29E6"/>
    <w:rsid w:val="007E47D0"/>
    <w:rsid w:val="007E4B07"/>
    <w:rsid w:val="007F5012"/>
    <w:rsid w:val="008021DC"/>
    <w:rsid w:val="008024FC"/>
    <w:rsid w:val="008066FA"/>
    <w:rsid w:val="00822B1B"/>
    <w:rsid w:val="00832993"/>
    <w:rsid w:val="00837FC2"/>
    <w:rsid w:val="00840D23"/>
    <w:rsid w:val="00841799"/>
    <w:rsid w:val="008525EA"/>
    <w:rsid w:val="00857E13"/>
    <w:rsid w:val="00867485"/>
    <w:rsid w:val="00875752"/>
    <w:rsid w:val="00875D18"/>
    <w:rsid w:val="00876DFF"/>
    <w:rsid w:val="00877791"/>
    <w:rsid w:val="0088015D"/>
    <w:rsid w:val="00890C99"/>
    <w:rsid w:val="00892446"/>
    <w:rsid w:val="00897B7A"/>
    <w:rsid w:val="008A0C3E"/>
    <w:rsid w:val="008A202F"/>
    <w:rsid w:val="008A7D0D"/>
    <w:rsid w:val="008B0AB0"/>
    <w:rsid w:val="008C1D65"/>
    <w:rsid w:val="008C446B"/>
    <w:rsid w:val="008C578F"/>
    <w:rsid w:val="008C6275"/>
    <w:rsid w:val="008D129F"/>
    <w:rsid w:val="008D2D60"/>
    <w:rsid w:val="008E1340"/>
    <w:rsid w:val="008E671C"/>
    <w:rsid w:val="008F313C"/>
    <w:rsid w:val="008F3E7C"/>
    <w:rsid w:val="008F5926"/>
    <w:rsid w:val="0091193B"/>
    <w:rsid w:val="00913975"/>
    <w:rsid w:val="00916490"/>
    <w:rsid w:val="00922E2E"/>
    <w:rsid w:val="00926475"/>
    <w:rsid w:val="00926B91"/>
    <w:rsid w:val="00927698"/>
    <w:rsid w:val="009322E5"/>
    <w:rsid w:val="009405A0"/>
    <w:rsid w:val="009505C1"/>
    <w:rsid w:val="00951108"/>
    <w:rsid w:val="00951900"/>
    <w:rsid w:val="00954038"/>
    <w:rsid w:val="00955698"/>
    <w:rsid w:val="0097283B"/>
    <w:rsid w:val="00972D3E"/>
    <w:rsid w:val="00991484"/>
    <w:rsid w:val="00992187"/>
    <w:rsid w:val="00995CC4"/>
    <w:rsid w:val="009A1229"/>
    <w:rsid w:val="009B1D4F"/>
    <w:rsid w:val="009B2DA6"/>
    <w:rsid w:val="009B3F51"/>
    <w:rsid w:val="009B6362"/>
    <w:rsid w:val="009C14CA"/>
    <w:rsid w:val="009D0286"/>
    <w:rsid w:val="009D0803"/>
    <w:rsid w:val="009D20CD"/>
    <w:rsid w:val="009D3F9E"/>
    <w:rsid w:val="009D5491"/>
    <w:rsid w:val="009E32AB"/>
    <w:rsid w:val="009F186A"/>
    <w:rsid w:val="009F1EE0"/>
    <w:rsid w:val="009F37B7"/>
    <w:rsid w:val="00A01035"/>
    <w:rsid w:val="00A02068"/>
    <w:rsid w:val="00A039EE"/>
    <w:rsid w:val="00A125A2"/>
    <w:rsid w:val="00A2331A"/>
    <w:rsid w:val="00A3721E"/>
    <w:rsid w:val="00A37350"/>
    <w:rsid w:val="00A4094E"/>
    <w:rsid w:val="00A51397"/>
    <w:rsid w:val="00A520C1"/>
    <w:rsid w:val="00A52385"/>
    <w:rsid w:val="00A52447"/>
    <w:rsid w:val="00A52AF8"/>
    <w:rsid w:val="00A55F26"/>
    <w:rsid w:val="00A625B6"/>
    <w:rsid w:val="00A6429B"/>
    <w:rsid w:val="00A644C9"/>
    <w:rsid w:val="00A67C31"/>
    <w:rsid w:val="00A73967"/>
    <w:rsid w:val="00A82228"/>
    <w:rsid w:val="00A843EE"/>
    <w:rsid w:val="00A85819"/>
    <w:rsid w:val="00A93A26"/>
    <w:rsid w:val="00A95FE7"/>
    <w:rsid w:val="00AA0037"/>
    <w:rsid w:val="00AA1964"/>
    <w:rsid w:val="00AA42FE"/>
    <w:rsid w:val="00AB114E"/>
    <w:rsid w:val="00AB1B41"/>
    <w:rsid w:val="00AB5DE9"/>
    <w:rsid w:val="00AB7437"/>
    <w:rsid w:val="00AB7CF7"/>
    <w:rsid w:val="00AC3456"/>
    <w:rsid w:val="00AC3A71"/>
    <w:rsid w:val="00AC4BA9"/>
    <w:rsid w:val="00AC55C1"/>
    <w:rsid w:val="00AC6CEC"/>
    <w:rsid w:val="00AD129C"/>
    <w:rsid w:val="00AD2AEC"/>
    <w:rsid w:val="00AE0479"/>
    <w:rsid w:val="00AF07D8"/>
    <w:rsid w:val="00AF165B"/>
    <w:rsid w:val="00B1619E"/>
    <w:rsid w:val="00B23439"/>
    <w:rsid w:val="00B23D25"/>
    <w:rsid w:val="00B25D09"/>
    <w:rsid w:val="00B26634"/>
    <w:rsid w:val="00B26D57"/>
    <w:rsid w:val="00B2721A"/>
    <w:rsid w:val="00B35E40"/>
    <w:rsid w:val="00B40593"/>
    <w:rsid w:val="00B4520F"/>
    <w:rsid w:val="00B63C40"/>
    <w:rsid w:val="00B63E07"/>
    <w:rsid w:val="00B66D5F"/>
    <w:rsid w:val="00B70498"/>
    <w:rsid w:val="00B719E6"/>
    <w:rsid w:val="00B743B7"/>
    <w:rsid w:val="00B748F8"/>
    <w:rsid w:val="00B7755D"/>
    <w:rsid w:val="00B84342"/>
    <w:rsid w:val="00B95F90"/>
    <w:rsid w:val="00BA684C"/>
    <w:rsid w:val="00BA7F58"/>
    <w:rsid w:val="00BB25DC"/>
    <w:rsid w:val="00BB4A74"/>
    <w:rsid w:val="00BB529D"/>
    <w:rsid w:val="00BC1296"/>
    <w:rsid w:val="00BC5053"/>
    <w:rsid w:val="00BC58FB"/>
    <w:rsid w:val="00BD0AD1"/>
    <w:rsid w:val="00BD2E2F"/>
    <w:rsid w:val="00BD33F0"/>
    <w:rsid w:val="00BD50BF"/>
    <w:rsid w:val="00BD5FB7"/>
    <w:rsid w:val="00BE6C8B"/>
    <w:rsid w:val="00BF756A"/>
    <w:rsid w:val="00C00DF2"/>
    <w:rsid w:val="00C028FA"/>
    <w:rsid w:val="00C06A51"/>
    <w:rsid w:val="00C12C7B"/>
    <w:rsid w:val="00C1339B"/>
    <w:rsid w:val="00C1430D"/>
    <w:rsid w:val="00C158D7"/>
    <w:rsid w:val="00C16F3D"/>
    <w:rsid w:val="00C17C0B"/>
    <w:rsid w:val="00C24ACE"/>
    <w:rsid w:val="00C34A16"/>
    <w:rsid w:val="00C37C48"/>
    <w:rsid w:val="00C62835"/>
    <w:rsid w:val="00C64B75"/>
    <w:rsid w:val="00C70A6A"/>
    <w:rsid w:val="00C71503"/>
    <w:rsid w:val="00C76B3B"/>
    <w:rsid w:val="00C817BB"/>
    <w:rsid w:val="00CA28F6"/>
    <w:rsid w:val="00CA5CC6"/>
    <w:rsid w:val="00CB038D"/>
    <w:rsid w:val="00CB4830"/>
    <w:rsid w:val="00CC0A55"/>
    <w:rsid w:val="00CC5F5A"/>
    <w:rsid w:val="00CC64F4"/>
    <w:rsid w:val="00CC6E76"/>
    <w:rsid w:val="00CC7303"/>
    <w:rsid w:val="00CE134E"/>
    <w:rsid w:val="00CE5139"/>
    <w:rsid w:val="00CE68C0"/>
    <w:rsid w:val="00CF14DA"/>
    <w:rsid w:val="00CF7275"/>
    <w:rsid w:val="00CF72A8"/>
    <w:rsid w:val="00D02174"/>
    <w:rsid w:val="00D049B4"/>
    <w:rsid w:val="00D06E84"/>
    <w:rsid w:val="00D07D57"/>
    <w:rsid w:val="00D141A3"/>
    <w:rsid w:val="00D14F00"/>
    <w:rsid w:val="00D14FB6"/>
    <w:rsid w:val="00D25FE8"/>
    <w:rsid w:val="00D30826"/>
    <w:rsid w:val="00D467BD"/>
    <w:rsid w:val="00D47939"/>
    <w:rsid w:val="00D518F6"/>
    <w:rsid w:val="00D529F0"/>
    <w:rsid w:val="00D54B30"/>
    <w:rsid w:val="00D602F7"/>
    <w:rsid w:val="00D70D7B"/>
    <w:rsid w:val="00D70FBC"/>
    <w:rsid w:val="00D715BB"/>
    <w:rsid w:val="00D7254D"/>
    <w:rsid w:val="00D72567"/>
    <w:rsid w:val="00D74B49"/>
    <w:rsid w:val="00D76469"/>
    <w:rsid w:val="00D845E9"/>
    <w:rsid w:val="00D86FFF"/>
    <w:rsid w:val="00D94750"/>
    <w:rsid w:val="00DA0E8D"/>
    <w:rsid w:val="00DC1BD4"/>
    <w:rsid w:val="00DC2B02"/>
    <w:rsid w:val="00DC716C"/>
    <w:rsid w:val="00DC7B99"/>
    <w:rsid w:val="00DD13F1"/>
    <w:rsid w:val="00DD20D9"/>
    <w:rsid w:val="00DD49DF"/>
    <w:rsid w:val="00DD748E"/>
    <w:rsid w:val="00DF0A73"/>
    <w:rsid w:val="00DF610A"/>
    <w:rsid w:val="00E00C53"/>
    <w:rsid w:val="00E0109D"/>
    <w:rsid w:val="00E04D57"/>
    <w:rsid w:val="00E110D2"/>
    <w:rsid w:val="00E26C8F"/>
    <w:rsid w:val="00E34310"/>
    <w:rsid w:val="00E417AC"/>
    <w:rsid w:val="00E41CE4"/>
    <w:rsid w:val="00E50F34"/>
    <w:rsid w:val="00E50FDF"/>
    <w:rsid w:val="00E622C0"/>
    <w:rsid w:val="00E66ADC"/>
    <w:rsid w:val="00E6721D"/>
    <w:rsid w:val="00E72F99"/>
    <w:rsid w:val="00E73C8F"/>
    <w:rsid w:val="00E747D5"/>
    <w:rsid w:val="00E82ABE"/>
    <w:rsid w:val="00E84766"/>
    <w:rsid w:val="00E85F65"/>
    <w:rsid w:val="00E87BD2"/>
    <w:rsid w:val="00E93F5E"/>
    <w:rsid w:val="00E961C3"/>
    <w:rsid w:val="00EA259A"/>
    <w:rsid w:val="00EB6036"/>
    <w:rsid w:val="00EB6E25"/>
    <w:rsid w:val="00EC3198"/>
    <w:rsid w:val="00EC33AE"/>
    <w:rsid w:val="00EC3DC8"/>
    <w:rsid w:val="00EC4A12"/>
    <w:rsid w:val="00EC51BC"/>
    <w:rsid w:val="00EC5699"/>
    <w:rsid w:val="00ED0FF4"/>
    <w:rsid w:val="00ED48A1"/>
    <w:rsid w:val="00ED5209"/>
    <w:rsid w:val="00EE1005"/>
    <w:rsid w:val="00EF7486"/>
    <w:rsid w:val="00EF798F"/>
    <w:rsid w:val="00F00B52"/>
    <w:rsid w:val="00F01977"/>
    <w:rsid w:val="00F13017"/>
    <w:rsid w:val="00F134F3"/>
    <w:rsid w:val="00F20046"/>
    <w:rsid w:val="00F2047A"/>
    <w:rsid w:val="00F2094E"/>
    <w:rsid w:val="00F2196D"/>
    <w:rsid w:val="00F4740F"/>
    <w:rsid w:val="00F47AEF"/>
    <w:rsid w:val="00F5132D"/>
    <w:rsid w:val="00F67A2F"/>
    <w:rsid w:val="00F74592"/>
    <w:rsid w:val="00F80AD0"/>
    <w:rsid w:val="00F902F7"/>
    <w:rsid w:val="00F906BF"/>
    <w:rsid w:val="00F979D3"/>
    <w:rsid w:val="00FB05AD"/>
    <w:rsid w:val="00FB1153"/>
    <w:rsid w:val="00FB3BD6"/>
    <w:rsid w:val="00FC0A73"/>
    <w:rsid w:val="00FD053D"/>
    <w:rsid w:val="00FD3302"/>
    <w:rsid w:val="00FD3840"/>
    <w:rsid w:val="00FD78AE"/>
    <w:rsid w:val="00FE0419"/>
    <w:rsid w:val="00FE3F43"/>
    <w:rsid w:val="00FF06C1"/>
    <w:rsid w:val="00FF1F6A"/>
    <w:rsid w:val="05479AB3"/>
    <w:rsid w:val="06761A47"/>
    <w:rsid w:val="07352503"/>
    <w:rsid w:val="0E47EB06"/>
    <w:rsid w:val="112D4B79"/>
    <w:rsid w:val="1AF1E8A8"/>
    <w:rsid w:val="20D04BE2"/>
    <w:rsid w:val="22D559E0"/>
    <w:rsid w:val="25DFE6B2"/>
    <w:rsid w:val="297CAD9A"/>
    <w:rsid w:val="2AF20B1F"/>
    <w:rsid w:val="2B7904C4"/>
    <w:rsid w:val="3089B221"/>
    <w:rsid w:val="36DA09CC"/>
    <w:rsid w:val="38744696"/>
    <w:rsid w:val="3B763302"/>
    <w:rsid w:val="3C7AFDFB"/>
    <w:rsid w:val="442444B4"/>
    <w:rsid w:val="453E7964"/>
    <w:rsid w:val="4D98ECAE"/>
    <w:rsid w:val="56264E1F"/>
    <w:rsid w:val="57C2B5F8"/>
    <w:rsid w:val="5F7A6F0C"/>
    <w:rsid w:val="62AA3EAB"/>
    <w:rsid w:val="69C7FDFA"/>
    <w:rsid w:val="6F3867D7"/>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6482432"/>
  <w15:docId w15:val="{B79E0984-1575-4820-9A3D-B66F8D23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84"/>
    <w:rPr>
      <w:rFonts w:ascii="Times New Roman" w:eastAsia="Times New Roman" w:hAnsi="Times New Roman" w:cs="Times New Roman"/>
      <w:sz w:val="24"/>
      <w:szCs w:val="24"/>
      <w:lang w:val="en-HK"/>
    </w:rPr>
  </w:style>
  <w:style w:type="paragraph" w:styleId="Heading1">
    <w:name w:val="heading 1"/>
    <w:basedOn w:val="Normal"/>
    <w:next w:val="Normal"/>
    <w:link w:val="Heading1Char"/>
    <w:uiPriority w:val="9"/>
    <w:qFormat/>
    <w:rsid w:val="004F0B04"/>
    <w:pPr>
      <w:keepNext/>
      <w:keepLines/>
      <w:spacing w:before="240" w:line="360" w:lineRule="auto"/>
      <w:outlineLvl w:val="0"/>
    </w:pPr>
    <w:rPr>
      <w:rFonts w:eastAsiaTheme="majorEastAsia"/>
      <w:b/>
      <w:color w:val="003300"/>
      <w:sz w:val="36"/>
      <w:szCs w:val="36"/>
      <w:lang w:val="en-US"/>
    </w:rPr>
  </w:style>
  <w:style w:type="paragraph" w:styleId="Heading2">
    <w:name w:val="heading 2"/>
    <w:basedOn w:val="Normal"/>
    <w:next w:val="Normal"/>
    <w:link w:val="Heading2Char"/>
    <w:uiPriority w:val="9"/>
    <w:unhideWhenUsed/>
    <w:qFormat/>
    <w:rsid w:val="004F0B04"/>
    <w:pPr>
      <w:keepNext/>
      <w:keepLines/>
      <w:spacing w:before="40" w:line="360" w:lineRule="auto"/>
      <w:outlineLvl w:val="1"/>
    </w:pPr>
    <w:rPr>
      <w:rFonts w:eastAsia="宋体"/>
      <w:bCs/>
      <w:color w:val="003300"/>
      <w:lang w:val="en-US"/>
    </w:rPr>
  </w:style>
  <w:style w:type="paragraph" w:styleId="Heading3">
    <w:name w:val="heading 3"/>
    <w:basedOn w:val="Normal"/>
    <w:next w:val="Normal"/>
    <w:link w:val="Heading3Char"/>
    <w:uiPriority w:val="9"/>
    <w:unhideWhenUsed/>
    <w:qFormat/>
    <w:pPr>
      <w:keepNext/>
      <w:keepLines/>
      <w:spacing w:before="40"/>
      <w:outlineLvl w:val="2"/>
    </w:pPr>
    <w:rPr>
      <w:rFonts w:ascii="宋体" w:eastAsiaTheme="majorEastAsia" w:hAnsi="宋体" w:cstheme="majorBidi"/>
      <w:color w:val="1F3864" w:themeColor="accent1" w:themeShade="80"/>
      <w:lang w:val="en-US"/>
    </w:rPr>
  </w:style>
  <w:style w:type="paragraph" w:styleId="Heading4">
    <w:name w:val="heading 4"/>
    <w:basedOn w:val="Normal"/>
    <w:next w:val="Normal"/>
    <w:link w:val="Heading4Char"/>
    <w:uiPriority w:val="9"/>
    <w:unhideWhenUsed/>
    <w:qFormat/>
    <w:pPr>
      <w:keepNext/>
      <w:keepLines/>
      <w:spacing w:before="40"/>
      <w:outlineLvl w:val="3"/>
    </w:pPr>
    <w:rPr>
      <w:rFonts w:ascii="宋体" w:eastAsiaTheme="majorEastAsia" w:hAnsi="宋体"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rPr>
      <w:rFonts w:ascii="宋体" w:eastAsia="宋体" w:hAnsi="宋体" w:cs="宋体"/>
      <w:sz w:val="20"/>
      <w:szCs w:val="20"/>
      <w:lang w:val="en-US"/>
    </w:rPr>
  </w:style>
  <w:style w:type="paragraph" w:styleId="TOC3">
    <w:name w:val="toc 3"/>
    <w:basedOn w:val="Normal"/>
    <w:next w:val="Normal"/>
    <w:uiPriority w:val="39"/>
    <w:unhideWhenUsed/>
    <w:qFormat/>
    <w:pPr>
      <w:spacing w:after="100"/>
      <w:ind w:left="480"/>
    </w:pPr>
    <w:rPr>
      <w:rFonts w:ascii="宋体" w:eastAsia="宋体" w:hAnsi="宋体" w:cs="宋体"/>
      <w:lang w:val="en-US"/>
    </w:rPr>
  </w:style>
  <w:style w:type="paragraph" w:styleId="Footer">
    <w:name w:val="footer"/>
    <w:basedOn w:val="Normal"/>
    <w:link w:val="FooterChar"/>
    <w:uiPriority w:val="99"/>
    <w:unhideWhenUsed/>
    <w:qFormat/>
    <w:pPr>
      <w:tabs>
        <w:tab w:val="center" w:pos="4513"/>
        <w:tab w:val="right" w:pos="9026"/>
      </w:tabs>
    </w:pPr>
    <w:rPr>
      <w:rFonts w:ascii="宋体" w:eastAsia="宋体" w:hAnsi="宋体" w:cs="宋体"/>
      <w:lang w:val="en-US"/>
    </w:rPr>
  </w:style>
  <w:style w:type="paragraph" w:styleId="Header">
    <w:name w:val="header"/>
    <w:basedOn w:val="Normal"/>
    <w:link w:val="HeaderChar"/>
    <w:uiPriority w:val="99"/>
    <w:unhideWhenUsed/>
    <w:pPr>
      <w:tabs>
        <w:tab w:val="center" w:pos="4513"/>
        <w:tab w:val="right" w:pos="9026"/>
      </w:tabs>
    </w:pPr>
    <w:rPr>
      <w:rFonts w:ascii="宋体" w:eastAsia="宋体" w:hAnsi="宋体" w:cs="宋体"/>
      <w:lang w:val="en-US"/>
    </w:rPr>
  </w:style>
  <w:style w:type="paragraph" w:styleId="TOC1">
    <w:name w:val="toc 1"/>
    <w:basedOn w:val="Normal"/>
    <w:next w:val="Normal"/>
    <w:uiPriority w:val="39"/>
    <w:unhideWhenUsed/>
    <w:qFormat/>
    <w:pPr>
      <w:tabs>
        <w:tab w:val="right" w:leader="dot" w:pos="9016"/>
      </w:tabs>
      <w:spacing w:after="100" w:line="360" w:lineRule="auto"/>
      <w:jc w:val="both"/>
    </w:pPr>
    <w:rPr>
      <w:rFonts w:ascii="宋体" w:eastAsia="宋体" w:hAnsi="宋体" w:cs="宋体"/>
      <w:lang w:val="en-US"/>
    </w:rPr>
  </w:style>
  <w:style w:type="paragraph" w:styleId="TOC2">
    <w:name w:val="toc 2"/>
    <w:basedOn w:val="Normal"/>
    <w:next w:val="Normal"/>
    <w:uiPriority w:val="39"/>
    <w:unhideWhenUsed/>
    <w:qFormat/>
    <w:pPr>
      <w:tabs>
        <w:tab w:val="right" w:leader="dot" w:pos="9016"/>
      </w:tabs>
      <w:spacing w:after="100" w:line="480" w:lineRule="auto"/>
      <w:ind w:left="240"/>
    </w:pPr>
    <w:rPr>
      <w:rFonts w:ascii="宋体" w:eastAsia="宋体" w:hAnsi="宋体" w:cs="宋体"/>
      <w:lang w:val="en-US"/>
    </w:rPr>
  </w:style>
  <w:style w:type="paragraph" w:styleId="NormalWeb">
    <w:name w:val="Normal (Web)"/>
    <w:basedOn w:val="Normal"/>
    <w:uiPriority w:val="99"/>
    <w:unhideWhenUsed/>
    <w:qFormat/>
    <w:pPr>
      <w:spacing w:before="100" w:beforeAutospacing="1" w:after="100" w:afterAutospacing="1"/>
    </w:pPr>
    <w:rPr>
      <w:rFonts w:ascii="宋体" w:eastAsia="宋体" w:hAnsi="宋体" w:cs="宋体"/>
      <w:lang w:val="en-US"/>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lang w:val="en-US"/>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sid w:val="004F0B04"/>
    <w:rPr>
      <w:rFonts w:ascii="Times New Roman" w:eastAsiaTheme="majorEastAsia" w:hAnsi="Times New Roman" w:cs="Times New Roman"/>
      <w:b/>
      <w:color w:val="003300"/>
      <w:sz w:val="36"/>
      <w:szCs w:val="36"/>
    </w:rPr>
  </w:style>
  <w:style w:type="character" w:customStyle="1" w:styleId="HeaderChar">
    <w:name w:val="Header Char"/>
    <w:basedOn w:val="DefaultParagraphFont"/>
    <w:link w:val="Header"/>
    <w:uiPriority w:val="99"/>
    <w:rPr>
      <w:rFonts w:ascii="宋体" w:eastAsia="宋体" w:hAnsi="宋体" w:cs="宋体"/>
      <w:sz w:val="24"/>
      <w:szCs w:val="24"/>
      <w:lang w:val="en-US"/>
    </w:rPr>
  </w:style>
  <w:style w:type="character" w:customStyle="1" w:styleId="FooterChar">
    <w:name w:val="Footer Char"/>
    <w:basedOn w:val="DefaultParagraphFont"/>
    <w:link w:val="Footer"/>
    <w:uiPriority w:val="99"/>
    <w:rPr>
      <w:rFonts w:ascii="宋体" w:eastAsia="宋体" w:hAnsi="宋体" w:cs="宋体"/>
      <w:sz w:val="24"/>
      <w:szCs w:val="24"/>
      <w:lang w:val="en-US"/>
    </w:rPr>
  </w:style>
  <w:style w:type="paragraph" w:customStyle="1" w:styleId="TOCHeading1">
    <w:name w:val="TOC Heading1"/>
    <w:basedOn w:val="Heading1"/>
    <w:next w:val="Normal"/>
    <w:uiPriority w:val="39"/>
    <w:unhideWhenUsed/>
    <w:qFormat/>
    <w:pPr>
      <w:outlineLvl w:val="9"/>
    </w:pPr>
    <w:rPr>
      <w:rFonts w:asciiTheme="majorHAnsi" w:hAnsiTheme="majorHAnsi"/>
      <w:lang w:eastAsia="en-US"/>
    </w:rPr>
  </w:style>
  <w:style w:type="paragraph" w:customStyle="1" w:styleId="paragraph">
    <w:name w:val="paragraph"/>
    <w:basedOn w:val="Normal"/>
    <w:link w:val="paragraphChar"/>
    <w:pPr>
      <w:spacing w:before="100" w:beforeAutospacing="1" w:after="100" w:afterAutospacing="1"/>
    </w:pPr>
    <w:rPr>
      <w:rFonts w:ascii="宋体" w:hAnsi="宋体"/>
      <w:lang w:val="en-US"/>
    </w:rPr>
  </w:style>
  <w:style w:type="character" w:customStyle="1" w:styleId="eop">
    <w:name w:val="eop"/>
    <w:basedOn w:val="DefaultParagraphFont"/>
  </w:style>
  <w:style w:type="character" w:customStyle="1" w:styleId="normaltextrun">
    <w:name w:val="normaltextrun"/>
    <w:basedOn w:val="DefaultParagraphFon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Normal"/>
    <w:link w:val="illustrationChar"/>
    <w:qFormat/>
    <w:pPr>
      <w:jc w:val="center"/>
    </w:pPr>
    <w:rPr>
      <w:rFonts w:ascii="Open Sans" w:eastAsia="宋体" w:hAnsi="Open Sans" w:cs="Calibri"/>
      <w:bCs/>
      <w:color w:val="B2B2B2"/>
      <w:sz w:val="20"/>
      <w:lang w:val="en-US"/>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qFormat/>
    <w:rPr>
      <w:rFonts w:ascii="Open Sans" w:hAnsi="Open Sans" w:cs="Calibri"/>
      <w:bCs/>
      <w:color w:val="B2B2B2"/>
      <w:sz w:val="20"/>
      <w:lang w:val="en-US"/>
    </w:rPr>
  </w:style>
  <w:style w:type="character" w:customStyle="1" w:styleId="Heading2Char">
    <w:name w:val="Heading 2 Char"/>
    <w:basedOn w:val="DefaultParagraphFont"/>
    <w:link w:val="Heading2"/>
    <w:uiPriority w:val="9"/>
    <w:qFormat/>
    <w:rsid w:val="004F0B04"/>
    <w:rPr>
      <w:rFonts w:ascii="Times New Roman" w:eastAsia="宋体" w:hAnsi="Times New Roman" w:cs="Times New Roman"/>
      <w:bCs/>
      <w:color w:val="003300"/>
      <w:sz w:val="24"/>
      <w:szCs w:val="24"/>
    </w:rPr>
  </w:style>
  <w:style w:type="character" w:customStyle="1" w:styleId="paragraphChar">
    <w:name w:val="paragraph Char"/>
    <w:basedOn w:val="DefaultParagraphFont"/>
    <w:link w:val="paragraph"/>
    <w:qFormat/>
    <w:rPr>
      <w:rFonts w:ascii="宋体" w:eastAsia="Times New Roman" w:hAnsi="宋体"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ListParagraph">
    <w:name w:val="List Paragraph"/>
    <w:basedOn w:val="Normal"/>
    <w:uiPriority w:val="34"/>
    <w:qFormat/>
    <w:pPr>
      <w:ind w:left="720"/>
      <w:contextualSpacing/>
    </w:pPr>
    <w:rPr>
      <w:rFonts w:ascii="宋体" w:eastAsia="宋体" w:hAnsi="宋体" w:cs="宋体"/>
      <w:lang w:val="en-US"/>
    </w:rPr>
  </w:style>
  <w:style w:type="character" w:customStyle="1" w:styleId="CommentTextChar">
    <w:name w:val="Comment Text Char"/>
    <w:basedOn w:val="DefaultParagraphFont"/>
    <w:link w:val="CommentText"/>
    <w:uiPriority w:val="99"/>
    <w:qFormat/>
    <w:rPr>
      <w:rFonts w:ascii="宋体" w:eastAsia="宋体" w:hAnsi="宋体" w:cs="宋体"/>
      <w:sz w:val="20"/>
      <w:szCs w:val="20"/>
      <w:lang w:val="en-US"/>
    </w:rPr>
  </w:style>
  <w:style w:type="character" w:customStyle="1" w:styleId="CommentSubjectChar">
    <w:name w:val="Comment Subject Char"/>
    <w:basedOn w:val="CommentTextChar"/>
    <w:link w:val="CommentSubject"/>
    <w:uiPriority w:val="99"/>
    <w:semiHidden/>
    <w:qFormat/>
    <w:rPr>
      <w:rFonts w:ascii="Times New Roman" w:eastAsia="宋体" w:hAnsi="Times New Roman" w:cs="宋体"/>
      <w:b/>
      <w:bCs/>
      <w:color w:val="000000" w:themeColor="text1"/>
      <w:sz w:val="20"/>
      <w:szCs w:val="20"/>
      <w:lang w:val="en-US"/>
    </w:rPr>
  </w:style>
  <w:style w:type="character" w:customStyle="1" w:styleId="Heading3Char">
    <w:name w:val="Heading 3 Char"/>
    <w:basedOn w:val="DefaultParagraphFont"/>
    <w:link w:val="Heading3"/>
    <w:uiPriority w:val="9"/>
    <w:qFormat/>
    <w:rPr>
      <w:rFonts w:ascii="宋体" w:eastAsiaTheme="majorEastAsia" w:hAnsi="宋体" w:cstheme="majorBidi"/>
      <w:color w:val="1F3864" w:themeColor="accent1" w:themeShade="80"/>
      <w:sz w:val="24"/>
      <w:szCs w:val="24"/>
      <w:lang w:val="en-US"/>
    </w:rPr>
  </w:style>
  <w:style w:type="character" w:customStyle="1" w:styleId="Heading4Char">
    <w:name w:val="Heading 4 Char"/>
    <w:basedOn w:val="DefaultParagraphFont"/>
    <w:link w:val="Heading4"/>
    <w:uiPriority w:val="9"/>
    <w:qFormat/>
    <w:rPr>
      <w:rFonts w:ascii="宋体" w:eastAsiaTheme="majorEastAsia" w:hAnsi="宋体" w:cstheme="majorBidi"/>
      <w:i/>
      <w:iCs/>
      <w:color w:val="2F5496" w:themeColor="accent1" w:themeShade="BF"/>
      <w:sz w:val="24"/>
      <w:szCs w:val="24"/>
      <w:lang w:val="en-US"/>
    </w:r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qFormat/>
  </w:style>
  <w:style w:type="character" w:styleId="PlaceholderText">
    <w:name w:val="Placeholder Text"/>
    <w:basedOn w:val="DefaultParagraphFont"/>
    <w:uiPriority w:val="99"/>
    <w:semiHidden/>
    <w:qFormat/>
    <w:rPr>
      <w:color w:val="808080"/>
    </w:r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TableNormal"/>
    <w:uiPriority w:val="99"/>
    <w:qFormat/>
    <w:rPr>
      <w:rFonts w:ascii="Times New Roman" w:eastAsia="宋体"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pPr>
      <w:widowControl w:val="0"/>
    </w:pPr>
    <w:rPr>
      <w:rFonts w:eastAsia="宋体"/>
      <w:kern w:val="2"/>
      <w:sz w:val="32"/>
    </w:rPr>
  </w:style>
  <w:style w:type="character" w:customStyle="1" w:styleId="IBSG0">
    <w:name w:val="IBSG 一级标题 字符"/>
    <w:basedOn w:val="DefaultParagraphFont"/>
    <w:link w:val="IBSG"/>
    <w:qFormat/>
    <w:rPr>
      <w:rFonts w:ascii="宋体" w:eastAsia="宋体" w:hAnsi="宋体"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styleId="Revision">
    <w:name w:val="Revision"/>
    <w:hidden/>
    <w:uiPriority w:val="99"/>
    <w:semiHidden/>
    <w:rsid w:val="009D0803"/>
    <w:rPr>
      <w:rFonts w:ascii="宋体" w:eastAsia="宋体" w:hAnsi="宋体" w:cs="宋体"/>
      <w:sz w:val="24"/>
      <w:szCs w:val="24"/>
    </w:rPr>
  </w:style>
  <w:style w:type="paragraph" w:customStyle="1" w:styleId="1">
    <w:name w:val="正文1"/>
    <w:rsid w:val="00225529"/>
    <w:pPr>
      <w:widowControl w:val="0"/>
      <w:jc w:val="both"/>
    </w:pPr>
    <w:rPr>
      <w:rFonts w:ascii="等线" w:eastAsia="等线" w:hAnsi="等线" w:cs="Times New Roman"/>
      <w:kern w:val="2"/>
      <w:sz w:val="21"/>
      <w:szCs w:val="21"/>
    </w:rPr>
  </w:style>
  <w:style w:type="paragraph" w:customStyle="1" w:styleId="Default">
    <w:name w:val="Default"/>
    <w:rsid w:val="000C72F5"/>
    <w:pPr>
      <w:widowControl w:val="0"/>
      <w:autoSpaceDE w:val="0"/>
      <w:autoSpaceDN w:val="0"/>
      <w:adjustRightInd w:val="0"/>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B63E07"/>
    <w:rPr>
      <w:rFonts w:asciiTheme="majorHAnsi" w:eastAsia="黑体" w:hAnsiTheme="majorHAnsi" w:cstheme="majorBidi"/>
      <w:sz w:val="20"/>
      <w:szCs w:val="20"/>
      <w:lang w:val="en-US"/>
    </w:rPr>
  </w:style>
  <w:style w:type="table" w:customStyle="1" w:styleId="IBSG1">
    <w:name w:val="IBSG"/>
    <w:basedOn w:val="TableNormal"/>
    <w:uiPriority w:val="99"/>
    <w:rsid w:val="00B63E07"/>
    <w:rPr>
      <w:rFonts w:ascii="Times New Roman" w:eastAsiaTheme="majorEastAsia" w:hAnsi="Times New Roman" w:cs="Times New Roman"/>
      <w:kern w:val="2"/>
      <w:sz w:val="21"/>
      <w:szCs w:val="24"/>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 w:type="paragraph" w:customStyle="1" w:styleId="IBSG2">
    <w:name w:val="IBSG二级标题"/>
    <w:basedOn w:val="IBSG"/>
    <w:link w:val="IBSG3"/>
    <w:qFormat/>
    <w:rsid w:val="00AA42FE"/>
    <w:pPr>
      <w:jc w:val="both"/>
    </w:pPr>
    <w:rPr>
      <w:bCs/>
      <w:sz w:val="24"/>
    </w:rPr>
  </w:style>
  <w:style w:type="paragraph" w:customStyle="1" w:styleId="IBSG4">
    <w:name w:val="IBSG 三级标题"/>
    <w:basedOn w:val="Heading3"/>
    <w:link w:val="IBSG5"/>
    <w:qFormat/>
    <w:rsid w:val="00AA42FE"/>
    <w:pPr>
      <w:widowControl w:val="0"/>
      <w:spacing w:before="260" w:after="260" w:line="416" w:lineRule="auto"/>
      <w:jc w:val="both"/>
    </w:pPr>
    <w:rPr>
      <w:rFonts w:ascii="Times New Roman" w:eastAsia="宋体" w:hAnsi="Times New Roman"/>
      <w:color w:val="1F3763"/>
      <w:kern w:val="2"/>
      <w:szCs w:val="32"/>
    </w:rPr>
  </w:style>
  <w:style w:type="character" w:customStyle="1" w:styleId="IBSG3">
    <w:name w:val="IBSG二级标题 字符"/>
    <w:basedOn w:val="IBSG0"/>
    <w:link w:val="IBSG2"/>
    <w:rsid w:val="00AA42FE"/>
    <w:rPr>
      <w:rFonts w:ascii="Times New Roman" w:eastAsia="宋体" w:hAnsi="Times New Roman" w:cstheme="majorBidi"/>
      <w:b/>
      <w:bCs/>
      <w:color w:val="003300"/>
      <w:kern w:val="2"/>
      <w:sz w:val="24"/>
      <w:szCs w:val="32"/>
      <w:lang w:val="en-US"/>
    </w:rPr>
  </w:style>
  <w:style w:type="character" w:customStyle="1" w:styleId="IBSG5">
    <w:name w:val="IBSG 三级标题 字符"/>
    <w:basedOn w:val="IBSG0"/>
    <w:link w:val="IBSG4"/>
    <w:rsid w:val="00AA42FE"/>
    <w:rPr>
      <w:rFonts w:ascii="Times New Roman" w:eastAsia="宋体" w:hAnsi="Times New Roman" w:cstheme="majorBidi"/>
      <w:b w:val="0"/>
      <w:color w:val="1F3763"/>
      <w:kern w:val="2"/>
      <w:sz w:val="24"/>
      <w:szCs w:val="32"/>
      <w:lang w:val="en-US"/>
    </w:rPr>
  </w:style>
  <w:style w:type="paragraph" w:styleId="FootnoteText">
    <w:name w:val="footnote text"/>
    <w:basedOn w:val="Normal"/>
    <w:link w:val="FootnoteTextChar"/>
    <w:uiPriority w:val="99"/>
    <w:semiHidden/>
    <w:unhideWhenUsed/>
    <w:rsid w:val="00B40593"/>
    <w:pPr>
      <w:snapToGrid w:val="0"/>
    </w:pPr>
    <w:rPr>
      <w:sz w:val="18"/>
      <w:szCs w:val="18"/>
      <w:lang w:val="en-US"/>
    </w:rPr>
  </w:style>
  <w:style w:type="character" w:customStyle="1" w:styleId="FootnoteTextChar">
    <w:name w:val="Footnote Text Char"/>
    <w:basedOn w:val="DefaultParagraphFont"/>
    <w:link w:val="FootnoteText"/>
    <w:uiPriority w:val="99"/>
    <w:semiHidden/>
    <w:rsid w:val="00B40593"/>
    <w:rPr>
      <w:rFonts w:ascii="Times New Roman" w:eastAsia="Times New Roman" w:hAnsi="Times New Roman" w:cs="Times New Roman"/>
      <w:sz w:val="18"/>
      <w:szCs w:val="18"/>
    </w:rPr>
  </w:style>
  <w:style w:type="character" w:styleId="FootnoteReference">
    <w:name w:val="footnote reference"/>
    <w:basedOn w:val="DefaultParagraphFont"/>
    <w:uiPriority w:val="99"/>
    <w:semiHidden/>
    <w:unhideWhenUsed/>
    <w:rsid w:val="00B40593"/>
    <w:rPr>
      <w:vertAlign w:val="superscript"/>
    </w:rPr>
  </w:style>
  <w:style w:type="paragraph" w:styleId="NormalIndent">
    <w:name w:val="Normal Indent"/>
    <w:autoRedefine/>
    <w:qFormat/>
    <w:rsid w:val="00560E7A"/>
    <w:pPr>
      <w:spacing w:beforeLines="50" w:before="180" w:line="360" w:lineRule="auto"/>
      <w:ind w:firstLineChars="200" w:firstLine="480"/>
      <w:jc w:val="both"/>
    </w:pPr>
    <w:rPr>
      <w:rFonts w:ascii="Times New Roman" w:eastAsia="宋体" w:hAnsi="Times New Roman" w:cs="Times New Roman"/>
      <w:kern w:val="2"/>
      <w:sz w:val="24"/>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260">
      <w:bodyDiv w:val="1"/>
      <w:marLeft w:val="0"/>
      <w:marRight w:val="0"/>
      <w:marTop w:val="0"/>
      <w:marBottom w:val="0"/>
      <w:divBdr>
        <w:top w:val="none" w:sz="0" w:space="0" w:color="auto"/>
        <w:left w:val="none" w:sz="0" w:space="0" w:color="auto"/>
        <w:bottom w:val="none" w:sz="0" w:space="0" w:color="auto"/>
        <w:right w:val="none" w:sz="0" w:space="0" w:color="auto"/>
      </w:divBdr>
    </w:div>
    <w:div w:id="101265604">
      <w:bodyDiv w:val="1"/>
      <w:marLeft w:val="0"/>
      <w:marRight w:val="0"/>
      <w:marTop w:val="0"/>
      <w:marBottom w:val="0"/>
      <w:divBdr>
        <w:top w:val="none" w:sz="0" w:space="0" w:color="auto"/>
        <w:left w:val="none" w:sz="0" w:space="0" w:color="auto"/>
        <w:bottom w:val="none" w:sz="0" w:space="0" w:color="auto"/>
        <w:right w:val="none" w:sz="0" w:space="0" w:color="auto"/>
      </w:divBdr>
    </w:div>
    <w:div w:id="375349117">
      <w:bodyDiv w:val="1"/>
      <w:marLeft w:val="0"/>
      <w:marRight w:val="0"/>
      <w:marTop w:val="0"/>
      <w:marBottom w:val="0"/>
      <w:divBdr>
        <w:top w:val="none" w:sz="0" w:space="0" w:color="auto"/>
        <w:left w:val="none" w:sz="0" w:space="0" w:color="auto"/>
        <w:bottom w:val="none" w:sz="0" w:space="0" w:color="auto"/>
        <w:right w:val="none" w:sz="0" w:space="0" w:color="auto"/>
      </w:divBdr>
    </w:div>
    <w:div w:id="414400301">
      <w:bodyDiv w:val="1"/>
      <w:marLeft w:val="0"/>
      <w:marRight w:val="0"/>
      <w:marTop w:val="0"/>
      <w:marBottom w:val="0"/>
      <w:divBdr>
        <w:top w:val="none" w:sz="0" w:space="0" w:color="auto"/>
        <w:left w:val="none" w:sz="0" w:space="0" w:color="auto"/>
        <w:bottom w:val="none" w:sz="0" w:space="0" w:color="auto"/>
        <w:right w:val="none" w:sz="0" w:space="0" w:color="auto"/>
      </w:divBdr>
    </w:div>
    <w:div w:id="508955289">
      <w:bodyDiv w:val="1"/>
      <w:marLeft w:val="0"/>
      <w:marRight w:val="0"/>
      <w:marTop w:val="0"/>
      <w:marBottom w:val="0"/>
      <w:divBdr>
        <w:top w:val="none" w:sz="0" w:space="0" w:color="auto"/>
        <w:left w:val="none" w:sz="0" w:space="0" w:color="auto"/>
        <w:bottom w:val="none" w:sz="0" w:space="0" w:color="auto"/>
        <w:right w:val="none" w:sz="0" w:space="0" w:color="auto"/>
      </w:divBdr>
    </w:div>
    <w:div w:id="557667598">
      <w:bodyDiv w:val="1"/>
      <w:marLeft w:val="0"/>
      <w:marRight w:val="0"/>
      <w:marTop w:val="0"/>
      <w:marBottom w:val="0"/>
      <w:divBdr>
        <w:top w:val="none" w:sz="0" w:space="0" w:color="auto"/>
        <w:left w:val="none" w:sz="0" w:space="0" w:color="auto"/>
        <w:bottom w:val="none" w:sz="0" w:space="0" w:color="auto"/>
        <w:right w:val="none" w:sz="0" w:space="0" w:color="auto"/>
      </w:divBdr>
    </w:div>
    <w:div w:id="608245119">
      <w:bodyDiv w:val="1"/>
      <w:marLeft w:val="0"/>
      <w:marRight w:val="0"/>
      <w:marTop w:val="0"/>
      <w:marBottom w:val="0"/>
      <w:divBdr>
        <w:top w:val="none" w:sz="0" w:space="0" w:color="auto"/>
        <w:left w:val="none" w:sz="0" w:space="0" w:color="auto"/>
        <w:bottom w:val="none" w:sz="0" w:space="0" w:color="auto"/>
        <w:right w:val="none" w:sz="0" w:space="0" w:color="auto"/>
      </w:divBdr>
    </w:div>
    <w:div w:id="775714337">
      <w:bodyDiv w:val="1"/>
      <w:marLeft w:val="0"/>
      <w:marRight w:val="0"/>
      <w:marTop w:val="0"/>
      <w:marBottom w:val="0"/>
      <w:divBdr>
        <w:top w:val="none" w:sz="0" w:space="0" w:color="auto"/>
        <w:left w:val="none" w:sz="0" w:space="0" w:color="auto"/>
        <w:bottom w:val="none" w:sz="0" w:space="0" w:color="auto"/>
        <w:right w:val="none" w:sz="0" w:space="0" w:color="auto"/>
      </w:divBdr>
    </w:div>
    <w:div w:id="838428229">
      <w:bodyDiv w:val="1"/>
      <w:marLeft w:val="0"/>
      <w:marRight w:val="0"/>
      <w:marTop w:val="0"/>
      <w:marBottom w:val="0"/>
      <w:divBdr>
        <w:top w:val="none" w:sz="0" w:space="0" w:color="auto"/>
        <w:left w:val="none" w:sz="0" w:space="0" w:color="auto"/>
        <w:bottom w:val="none" w:sz="0" w:space="0" w:color="auto"/>
        <w:right w:val="none" w:sz="0" w:space="0" w:color="auto"/>
      </w:divBdr>
    </w:div>
    <w:div w:id="839926246">
      <w:bodyDiv w:val="1"/>
      <w:marLeft w:val="0"/>
      <w:marRight w:val="0"/>
      <w:marTop w:val="0"/>
      <w:marBottom w:val="0"/>
      <w:divBdr>
        <w:top w:val="none" w:sz="0" w:space="0" w:color="auto"/>
        <w:left w:val="none" w:sz="0" w:space="0" w:color="auto"/>
        <w:bottom w:val="none" w:sz="0" w:space="0" w:color="auto"/>
        <w:right w:val="none" w:sz="0" w:space="0" w:color="auto"/>
      </w:divBdr>
    </w:div>
    <w:div w:id="1030449540">
      <w:bodyDiv w:val="1"/>
      <w:marLeft w:val="0"/>
      <w:marRight w:val="0"/>
      <w:marTop w:val="0"/>
      <w:marBottom w:val="0"/>
      <w:divBdr>
        <w:top w:val="none" w:sz="0" w:space="0" w:color="auto"/>
        <w:left w:val="none" w:sz="0" w:space="0" w:color="auto"/>
        <w:bottom w:val="none" w:sz="0" w:space="0" w:color="auto"/>
        <w:right w:val="none" w:sz="0" w:space="0" w:color="auto"/>
      </w:divBdr>
    </w:div>
    <w:div w:id="1036614574">
      <w:bodyDiv w:val="1"/>
      <w:marLeft w:val="0"/>
      <w:marRight w:val="0"/>
      <w:marTop w:val="0"/>
      <w:marBottom w:val="0"/>
      <w:divBdr>
        <w:top w:val="none" w:sz="0" w:space="0" w:color="auto"/>
        <w:left w:val="none" w:sz="0" w:space="0" w:color="auto"/>
        <w:bottom w:val="none" w:sz="0" w:space="0" w:color="auto"/>
        <w:right w:val="none" w:sz="0" w:space="0" w:color="auto"/>
      </w:divBdr>
    </w:div>
    <w:div w:id="1115949710">
      <w:bodyDiv w:val="1"/>
      <w:marLeft w:val="0"/>
      <w:marRight w:val="0"/>
      <w:marTop w:val="0"/>
      <w:marBottom w:val="0"/>
      <w:divBdr>
        <w:top w:val="none" w:sz="0" w:space="0" w:color="auto"/>
        <w:left w:val="none" w:sz="0" w:space="0" w:color="auto"/>
        <w:bottom w:val="none" w:sz="0" w:space="0" w:color="auto"/>
        <w:right w:val="none" w:sz="0" w:space="0" w:color="auto"/>
      </w:divBdr>
    </w:div>
    <w:div w:id="1255549375">
      <w:bodyDiv w:val="1"/>
      <w:marLeft w:val="0"/>
      <w:marRight w:val="0"/>
      <w:marTop w:val="0"/>
      <w:marBottom w:val="0"/>
      <w:divBdr>
        <w:top w:val="none" w:sz="0" w:space="0" w:color="auto"/>
        <w:left w:val="none" w:sz="0" w:space="0" w:color="auto"/>
        <w:bottom w:val="none" w:sz="0" w:space="0" w:color="auto"/>
        <w:right w:val="none" w:sz="0" w:space="0" w:color="auto"/>
      </w:divBdr>
    </w:div>
    <w:div w:id="1595044968">
      <w:bodyDiv w:val="1"/>
      <w:marLeft w:val="0"/>
      <w:marRight w:val="0"/>
      <w:marTop w:val="0"/>
      <w:marBottom w:val="0"/>
      <w:divBdr>
        <w:top w:val="none" w:sz="0" w:space="0" w:color="auto"/>
        <w:left w:val="none" w:sz="0" w:space="0" w:color="auto"/>
        <w:bottom w:val="none" w:sz="0" w:space="0" w:color="auto"/>
        <w:right w:val="none" w:sz="0" w:space="0" w:color="auto"/>
      </w:divBdr>
    </w:div>
    <w:div w:id="1820881974">
      <w:bodyDiv w:val="1"/>
      <w:marLeft w:val="0"/>
      <w:marRight w:val="0"/>
      <w:marTop w:val="0"/>
      <w:marBottom w:val="0"/>
      <w:divBdr>
        <w:top w:val="none" w:sz="0" w:space="0" w:color="auto"/>
        <w:left w:val="none" w:sz="0" w:space="0" w:color="auto"/>
        <w:bottom w:val="none" w:sz="0" w:space="0" w:color="auto"/>
        <w:right w:val="none" w:sz="0" w:space="0" w:color="auto"/>
      </w:divBdr>
    </w:div>
    <w:div w:id="1915966847">
      <w:bodyDiv w:val="1"/>
      <w:marLeft w:val="0"/>
      <w:marRight w:val="0"/>
      <w:marTop w:val="0"/>
      <w:marBottom w:val="0"/>
      <w:divBdr>
        <w:top w:val="none" w:sz="0" w:space="0" w:color="auto"/>
        <w:left w:val="none" w:sz="0" w:space="0" w:color="auto"/>
        <w:bottom w:val="none" w:sz="0" w:space="0" w:color="auto"/>
        <w:right w:val="none" w:sz="0" w:space="0" w:color="auto"/>
      </w:divBdr>
    </w:div>
    <w:div w:id="1995454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4</Pages>
  <Words>873</Words>
  <Characters>4623</Characters>
  <Application>Microsoft Office Word</Application>
  <DocSecurity>0</DocSecurity>
  <Lines>82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dc:description/>
  <cp:lastModifiedBy>Hart YS LI</cp:lastModifiedBy>
  <cp:revision>9</cp:revision>
  <cp:lastPrinted>2023-06-21T02:40:00Z</cp:lastPrinted>
  <dcterms:created xsi:type="dcterms:W3CDTF">2023-04-13T11:34:00Z</dcterms:created>
  <dcterms:modified xsi:type="dcterms:W3CDTF">2023-06-21T12:49:00Z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2052-11.1.0.11744</vt:lpwstr>
  </property>
  <property fmtid="{D5CDD505-2E9C-101B-9397-08002B2CF9AE}" pid="5" name="ICV">
    <vt:lpwstr>01FE97A65B8E4512BB34F6EE1E03FF4D</vt:lpwstr>
  </property>
  <property fmtid="{D5CDD505-2E9C-101B-9397-08002B2CF9AE}" pid="6" name="BD_Revisions_Count">
    <vt:lpwstr>334</vt:lpwstr>
  </property>
  <property fmtid="{D5CDD505-2E9C-101B-9397-08002B2CF9AE}" pid="7" name="BD_IsTrackRevisions">
    <vt:lpwstr>1</vt:lpwstr>
  </property>
  <property fmtid="{D5CDD505-2E9C-101B-9397-08002B2CF9AE}" pid="8" name="BD_Word_FileSize">
    <vt:lpwstr>3766987</vt:lpwstr>
  </property>
  <property fmtid="{D5CDD505-2E9C-101B-9397-08002B2CF9AE}" pid="9" name="BD_Report_Pages">
    <vt:lpwstr>5</vt:lpwstr>
  </property>
  <property fmtid="{D5CDD505-2E9C-101B-9397-08002B2CF9AE}" pid="10" name="BD_Report_Characters">
    <vt:lpwstr>1313</vt:lpwstr>
  </property>
  <property fmtid="{D5CDD505-2E9C-101B-9397-08002B2CF9AE}" pid="11" name="BD_CompareCompanyModel">
    <vt:lpwstr/>
  </property>
  <property fmtid="{D5CDD505-2E9C-101B-9397-08002B2CF9AE}" pid="12" name="BD_WORD_Version">
    <vt:lpwstr>16.0.15726.20174</vt:lpwstr>
  </property>
  <property fmtid="{D5CDD505-2E9C-101B-9397-08002B2CF9AE}" pid="13" name="BD_Word_Protection_Status">
    <vt:lpwstr>0</vt:lpwstr>
  </property>
  <property fmtid="{D5CDD505-2E9C-101B-9397-08002B2CF9AE}" pid="14" name="BD_Word_Remind_Lock">
    <vt:lpwstr>0</vt:lpwstr>
  </property>
  <property fmtid="{D5CDD505-2E9C-101B-9397-08002B2CF9AE}" pid="15" name="GrammarlyDocumentId">
    <vt:lpwstr>8bc874834dd792cfbcbe7ce5cfe4800f383f4018849a2282bd09cc062b36c6bc</vt:lpwstr>
  </property>
</Properties>
</file>