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1F4D78"/>
          <w:sz w:val="40"/>
        </w:rPr>
        <w:t>2026-07-11 附件15场单场分析报告</w:t>
      </w:r>
    </w:p>
    <w:p/>
    <w:p>
      <w:r>
        <w:rPr>
          <w:rFonts w:ascii="Arial Unicode MS" w:hAnsi="Arial Unicode MS" w:eastAsia="Arial Unicode MS"/>
          <w:color w:val="555555"/>
          <w:sz w:val="18"/>
        </w:rPr>
        <w:t xml:space="preserve">生成时间：2026-07-11T00:31:40+08:00 </w:t>
      </w:r>
    </w:p>
    <w:p>
      <w:r>
        <w:rPr>
          <w:rFonts w:ascii="Arial Unicode MS" w:hAnsi="Arial Unicode MS" w:eastAsia="Arial Unicode MS"/>
          <w:color w:val="555555"/>
          <w:sz w:val="18"/>
        </w:rPr>
        <w:t xml:space="preserve">数据源：用户附件 `/Users/jamesm/Desktop/7.docx` + Titan007 当日赛程、欧赔、亚盘、大小球页面。 </w:t>
      </w:r>
    </w:p>
    <w:p>
      <w:r>
        <w:rPr>
          <w:rFonts w:ascii="Arial Unicode MS" w:hAnsi="Arial Unicode MS" w:eastAsia="Arial Unicode MS"/>
          <w:color w:val="555555"/>
          <w:sz w:val="18"/>
        </w:rPr>
        <w:t xml:space="preserve">口径：赛前90分钟常规时间；两场标记推迟的中超只留档，不执行。 </w:t>
      </w:r>
    </w:p>
    <w:p>
      <w:r>
        <w:rPr>
          <w:rFonts w:ascii="Arial Unicode MS" w:hAnsi="Arial Unicode MS" w:eastAsia="Arial Unicode MS"/>
          <w:color w:val="555555"/>
          <w:sz w:val="18"/>
        </w:rPr>
        <w:t>重要审计：未取得500精确比分/半全场表、Flashscore/AiScore临场首发与真实xG，比分和总球已按 proxy 层降权。</w:t>
      </w:r>
    </w:p>
    <w:p/>
    <w:p>
      <w:pPr>
        <w:pStyle w:val="Heading1"/>
      </w:pPr>
      <w:r>
        <w:t>主推优先级</w:t>
      </w:r>
    </w:p>
    <w:p/>
    <w:p>
      <w:r>
        <w:rPr>
          <w:rFonts w:ascii="Arial Unicode MS" w:hAnsi="Arial Unicode MS" w:eastAsia="Arial Unicode MS"/>
          <w:sz w:val="16"/>
        </w:rPr>
        <w:t>| 优先 | 比赛 | 主推 | 概率 | 总球 | 风险 |</w:t>
      </w:r>
    </w:p>
    <w:p>
      <w:r>
        <w:rPr>
          <w:rFonts w:ascii="Arial Unicode MS" w:hAnsi="Arial Unicode MS" w:eastAsia="Arial Unicode MS"/>
          <w:sz w:val="16"/>
        </w:rPr>
        <w:t>|---:|---|---|---:|---|---|</w:t>
      </w:r>
    </w:p>
    <w:p>
      <w:r>
        <w:rPr>
          <w:rFonts w:ascii="Arial Unicode MS" w:hAnsi="Arial Unicode MS" w:eastAsia="Arial Unicode MS"/>
          <w:sz w:val="16"/>
        </w:rPr>
        <w:t>| 1 | 格尼斯坦 vs 玛丽港 | 格尼斯坦胜 | 63.7% | 小3 | 中 |</w:t>
      </w:r>
    </w:p>
    <w:p>
      <w:r>
        <w:rPr>
          <w:rFonts w:ascii="Arial Unicode MS" w:hAnsi="Arial Unicode MS" w:eastAsia="Arial Unicode MS"/>
          <w:sz w:val="16"/>
        </w:rPr>
        <w:t>| 2 | 成都蓉城 vs 重庆铜梁龙 | 成都蓉城胜 | 63.2% | 小3 | 中 |</w:t>
      </w:r>
    </w:p>
    <w:p>
      <w:r>
        <w:rPr>
          <w:rFonts w:ascii="Arial Unicode MS" w:hAnsi="Arial Unicode MS" w:eastAsia="Arial Unicode MS"/>
          <w:sz w:val="16"/>
        </w:rPr>
        <w:t>| 3 | 奥尔格里特 vs 赫根 | 赫根胜 | 60.8% | 小3.25 | 低 |</w:t>
      </w:r>
    </w:p>
    <w:p>
      <w:r>
        <w:rPr>
          <w:rFonts w:ascii="Arial Unicode MS" w:hAnsi="Arial Unicode MS" w:eastAsia="Arial Unicode MS"/>
          <w:sz w:val="16"/>
        </w:rPr>
        <w:t>| 4 | 光州FC vs 浦项制铁 | 浦项制铁胜 | 58.6% | 小2.25 | 低 |</w:t>
      </w:r>
    </w:p>
    <w:p>
      <w:r>
        <w:rPr>
          <w:rFonts w:ascii="Arial Unicode MS" w:hAnsi="Arial Unicode MS" w:eastAsia="Arial Unicode MS"/>
          <w:sz w:val="16"/>
        </w:rPr>
        <w:t>| 5 | 特罗姆瑟 vs 瓦勒伦加 | 特罗姆瑟胜 | 53.6% | 大2.75 | 中 |</w:t>
      </w:r>
    </w:p>
    <w:p/>
    <w:p>
      <w:pPr>
        <w:pStyle w:val="Heading1"/>
      </w:pPr>
      <w:r>
        <w:t>步骤审计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已实际解析用户 DOCX 附件，识别15场，其中武汉三镇 vs 河南队、上海申花 vs 北京国安标记推迟。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已抓取 Titan007 `Next_20260711.htm`，页面更新时间为2026-07-10 22:00，并匹配每场 sId。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已抓取 Titan007 欧赔 JS、亚盘页、大小球页；分析页返回442空体，未作为基本面来源。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已运行市场去水与贝叶斯融合；赔率变化层读取项目规则后按 phase1_shadow_mode 处理，只进入风险说明。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API-Football 未能通过 Titan sId 直接映射 fixture id；本批未把 API 伤停/首发写入概率层。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Flashscore/AiScore 临场源未接入本批离线赛前报告；正式临场前需复核首发、红黄牌、即时统计和盘口跨档。</w:t>
      </w:r>
    </w:p>
    <w:p/>
    <w:p>
      <w:pPr>
        <w:pStyle w:val="Heading1"/>
      </w:pPr>
      <w:r>
        <w:t>单场报告</w:t>
      </w:r>
    </w:p>
    <w:p/>
    <w:p>
      <w:pPr>
        <w:pStyle w:val="Heading1"/>
      </w:pPr>
      <w:r>
        <w:t>01. 韩K联 金泉尚武 vs 富川FC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18:30；状态：正常；Titan sId：2929651；排名：金泉尚武[11] vs 富川FC[9]。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1.99/3.25/3.55；亚盘 半球，主流水位均值 None/None；大小球 2/2.5，大/小均值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去水后赛果：金泉尚武胜 45.1%，平 29.0%，富川FC胜 25.9%。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让球层：半球 口径下，打出 44.2%，卡线 0.0%，失败/受让 55.8%。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2.25；大2.25 39.1%，小2.25 60.9%。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比分Top5：1-1(13.8%)，1-0(13.0%)，0-0(11.3%)，0-1(9.1%)，2-0(9.0%)。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场地天气：Jinquan comprehensive sports ground；温度 31°C。真实天气、阵容和临场首发未取得，已按风险项降权。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核心建议：金泉尚武胜（45.1%）；保守方向：金泉尚武不败；让球：受让方方向（55.8%）；总球：小2.25（60.9%）。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02. 韩K联 光州FC vs 浦项制铁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18:30；状态：正常；Titan sId：2929652；排名：光州FC[12] vs 浦项制铁[5]。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5.48/3.60/1.59；亚盘 * 一球，主流水位均值 None/None；大小球 2/2.5，大/小均值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去水后赛果：光州FC胜 15.6%，平 25.8%，浦项制铁胜 58.6%。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一球 口径下，打出 40.6%，卡线 26.6%，失败/受让 32.8%。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2.25；大2.25 39.1%，小2.25 60.9%。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比分Top5：0-1(16.1%)，0-2(13.4%)，1-1(11.7%)，0-0(11.2%)，1-2(8.8%)。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场地天气：Gwangju Soccer Stadium；温度 30°C。真实天气、阵容和临场首发未取得，已按风险项降权。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核心建议：浦项制铁胜（58.6%）；保守方向：浦项制铁不败；让球：让球方打出（40.6%）；总球：小2.25（60.9%）。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风险等级：低。主要风险：欧赔/亚盘公司分歧、真实xG缺失、首发伤停未临场确认；若开赛前盘口跨档或首发异常，需要重新计算。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03. 韩K联 蔚山HD vs 全北现代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18:30；状态：正常；Titan sId：2929653；排名：蔚山HD[2] vs 全北现代[4]。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2.46/3.24/2.65；亚盘 平手，主流水位均值 None/None；大小球 2.5，大/小均值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去水后赛果：蔚山HD胜 37.2%，平 28.4%，全北现代胜 34.4%。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让球层：平手 口径下，打出 37.2%，卡线 28.5%，失败/受让 34.2%。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2.50；大2.5 45.6%，小2.5 54.4%。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比分Top5：1-1(13.6%)，1-0(9.7%)，0-1(9.2%)，0-0(9.0%)，2-1(8.2%)。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场地天气：Ulsan Big Crown Stadium；温度 29°C。真实天气、阵容和临场首发未取得，已按风险项降权。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核心建议：蔚山HD胜（37.2%）；保守方向：蔚山HD不败；让球：让球方打出（37.2%）；总球：小2.5（54.4%）。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风险等级：高。主要风险：欧赔/亚盘公司分歧、真实xG缺失、首发伤停未临场确认；若开赛前盘口跨档或首发异常，需要重新计算。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04. 中超 武汉三镇 vs 河南队</w:t>
      </w:r>
    </w:p>
    <w:p/>
    <w:p>
      <w:r>
        <w:rPr>
          <w:rFonts w:ascii="Arial Unicode MS" w:hAnsi="Arial Unicode MS" w:eastAsia="Arial Unicode MS"/>
          <w:color w:val="555555"/>
          <w:sz w:val="18"/>
        </w:rPr>
        <w:t>状态：本场已标记推迟，本报告只做信息留档，不给投注执行。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19:00；状态：推迟；Titan sId：2944744；排名：武汉三镇[16] vs 河南队[13]。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2.87/3.38/2.19；亚盘 * 平/半，主流水位均值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去水后赛果：武汉三镇胜 31.3%，平 26.8%，河南队胜 41.9%。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平/半 口径下，打出 57.6%，卡线 0.0%，失败/受让 42.4%。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比分Top5：1-1(12.7%)，1-2(9.0%)，0-1(8.9%)，2-1(7.5%)，1-0(7.3%)。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场地天气：wuhan sports center；温度 -。真实天气、阵容和临场首发未取得，已按风险项降权。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核心建议：比赛推迟，不执行（-）；保守方向：跳过；让球：跳过（-）；总球：跳过（-）。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风险等级：postponed。主要风险：欧赔/亚盘公司分歧、真实xG缺失、首发伤停未临场确认；若开赛前盘口跨档或首发异常，需要重新计算。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05. 中超 上海申花 vs 北京国安</w:t>
      </w:r>
    </w:p>
    <w:p/>
    <w:p>
      <w:r>
        <w:rPr>
          <w:rFonts w:ascii="Arial Unicode MS" w:hAnsi="Arial Unicode MS" w:eastAsia="Arial Unicode MS"/>
          <w:color w:val="555555"/>
          <w:sz w:val="18"/>
        </w:rPr>
        <w:t>状态：本场已标记推迟，本报告只做信息留档，不给投注执行。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19:35；状态：推迟；Titan sId：2944746；排名：上海申花[9] vs 北京国安[6]。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2.27/3.72/2.57；亚盘 平/半，主流水位均值 None/None；大小球 3/3.5，大/小均值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去水后赛果：上海申花胜 39.9%，平 24.4%，北京国安胜 35.6%。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让球层：平/半 口径下，打出 39.7%，卡线 0.0%，失败/受让 60.3%。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3.25；大3.25 40.9%，小3.25 59.1%。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比分Top5：1-1(10.8%)，2-1(8.5%)，1-2(8.1%)，2-2(6.7%)，1-0(5.9%)。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场地天气：Shanghai Stadium；温度 29°C。真实天气、阵容和临场首发未取得，已按风险项降权。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核心建议：比赛推迟，不执行（-）；保守方向：跳过；让球：跳过（-）；总球：跳过（-）。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风险等级：postponed。主要风险：欧赔/亚盘公司分歧、真实xG缺失、首发伤停未临场确认；若开赛前盘口跨档或首发异常，需要重新计算。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06. 中超 深圳新鹏城 vs 青岛西海岸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19:35；状态：正常；Titan sId：2944747；排名：深圳新鹏城[11] vs 青岛西海岸[5]。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-；亚盘 平手，主流水位均值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去水后赛果：深圳新鹏城胜 31.0%，平 26.8%，青岛西海岸胜 42.2%。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让球层：平手 口径下，打出 31.0%，卡线 26.8%，失败/受让 42.2%。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比分Top5：1-1(12.7%)，1-2(9.0%)，0-1(8.9%)，2-1(7.5%)，1-0(7.3%)。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场地天气：-；温度 -。真实天气、阵容和临场首发未取得，已按风险项降权。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核心建议：青岛西海岸胜（42.2%）；保守方向：青岛西海岸不败；让球：受让方方向（42.2%）；总球：大2.75（51.9%）。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风险等级：高。主要风险：欧赔/亚盘公司分歧、真实xG缺失、首发伤停未临场确认；若开赛前盘口跨档或首发异常，需要重新计算。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07. 中超 成都蓉城 vs 重庆铜梁龙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20:00；状态：正常；Titan sId：2944748；排名：成都蓉城[1] vs 重庆铜梁龙[2]。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1.33/4.80/7.55；亚盘 一/球半，主流水位均值 None/None；大小球 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去水后赛果：成都蓉城胜 63.2%，平 21.0%，重庆铜梁龙胜 15.8%。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让球层：一/球半 口径下，打出 57.6%，卡线 0.0%，失败/受让 42.4%。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3.00；大3 35.3%，小3 42.3%。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比分Top5：1-1(10.8%)，2-1(9.9%)，2-0(9.5%)，1-0(9.1%)，3-1(6.5%)。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场地天气：Wuliangye Cultural Sports Center；温度 30°C。真实天气、阵容和临场首发未取得，已按风险项降权。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核心建议：成都蓉城胜（63.2%）；保守方向：成都蓉城不败；让球：让球方打出（57.6%）；总球：小3（42.3%）。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08. 芬超 拉赫蒂 vs 赫尔辛基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20:00；状态：正常；Titan sId：2913661；排名：拉赫蒂[8] vs 赫尔辛基[5]。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3.00/3.58/2.10；亚盘 * 平/半，主流水位均值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去水后赛果：拉赫蒂胜 30.4%，平 26.2%，赫尔辛基胜 43.4%。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平/半 口径下，打出 56.8%，卡线 0.0%，失败/受让 43.2%。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比分Top5：1-1(12.7%)，1-2(9.1%)，0-1(9.0%)，0-2(7.4%)，2-1(7.4%)。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场地天气：Lahden Stadion；温度 26°C。真实天气、阵容和临场首发未取得，已按风险项降权。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核心建议：赫尔辛基胜（43.4%）；保守方向：赫尔辛基不败；让球：让球方打出（56.8%）；总球：大2.75（51.9%）。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09. 挪超 腓特烈斯塔 vs 利勒斯特罗姆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20:00；状态：正常；Titan sId：2912828；排名：腓特烈斯塔[10] vs 利勒斯特罗姆[4]。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2.83/3.39/2.31；亚盘 * 平/半，主流水位均值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去水后赛果：腓特烈斯塔胜 31.5%，平 27.0%，利勒斯特罗姆胜 41.5%。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平/半 口径下，打出 57.0%，卡线 0.0%，失败/受让 43.0%。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比分Top5：1-1(12.7%)，1-2(9.1%)，0-1(9.0%)，2-1(7.4%)，0-2(7.3%)。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场地天气：Fredrikstad Stadion；温度 24°C。真实天气、阵容和临场首发未取得，已按风险项降权。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核心建议：利勒斯特罗姆胜（41.5%）；保守方向：利勒斯特罗姆不败；让球：让球方打出（57.0%）；总球：大2.75（51.9%）。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风险等级：高。主要风险：欧赔/亚盘公司分歧、真实xG缺失、首发伤停未临场确认；若开赛前盘口跨档或首发异常，需要重新计算。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10. 瑞典超 米亚尔比 vs 索尔纳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21:00；状态：正常；Titan sId：2912200；排名：米亚尔比[7] vs 索尔纳[11]。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1.95/3.57/3.44；亚盘 半球，主流水位均值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去水后赛果：米亚尔比胜 47.5%，平 26.0%，索尔纳胜 26.5%。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让球层：半球 口径下，打出 47.7%，卡线 0.0%，失败/受让 52.3%。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比分Top5：1-1(12.4%)，1-0(9.6%)，2-1(9.5%)，2-0(8.3%)，0-0(7.1%)。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场地天气：Strandvallen；温度 21°C。真实天气、阵容和临场首发未取得，已按风险项降权。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核心建议：米亚尔比胜（47.5%）；保守方向：米亚尔比不败；让球：受让方方向（52.3%）；总球：大2.75（51.9%）。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11. 芬超 格尼斯坦 vs 玛丽港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22:00；状态：正常；Titan sId：2913662；排名：格尼斯坦[6] vs 玛丽港[12]。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1.32/5.01/7.72；亚盘 球半，主流水位均值 None/None；大小球 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去水后赛果：格尼斯坦胜 63.7%，平 20.7%，玛丽港胜 15.6%。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让球层：球半 口径下，打出 57.8%，卡线 0.0%，失败/受让 42.2%。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3.00；大3 35.3%，小3 42.3%。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比分Top5：1-1(10.8%)，2-1(9.9%)，2-0(9.5%)，1-0(9.1%)，3-1(6.5%)。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场地天气：-；温度 26°C。真实天气、阵容和临场首发未取得，已按风险项降权。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核心建议：格尼斯坦胜（63.7%）；保守方向：格尼斯坦不败；让球：让球方打出（57.8%）；总球：小3（42.3%）。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12. 芬超 TPS土尔库 vs 奥卢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22:00；状态：正常；Titan sId：2913663；排名：TPS土尔库[7] vs 奥卢[3]。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2.71/3.31/2.40；亚盘 * 平/半，主流水位均值 None/None；大小球 2.5，大/小均值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去水后赛果：TPS土尔库胜 32.3%，平 28.1%，奥卢胜 39.6%。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平/半 口径下，打出 59.1%，卡线 0.0%，失败/受让 40.9%。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2.50；大2.5 45.6%，小2.5 54.4%。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比分Top5：1-1(13.5%)，0-1(10.4%)，0-0(9.0%)，1-2(8.6%)，1-0(8.6%)。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场地天气：-；温度 25°C。真实天气、阵容和临场首发未取得，已按风险项降权。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核心建议：奥卢胜（39.6%）；保守方向：奥卢不败；让球：让球方打出（59.1%）；总球：小2.5（54.4%）。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风险等级：高。主要风险：欧赔/亚盘公司分歧、真实xG缺失、首发伤停未临场确认；若开赛前盘口跨档或首发异常，需要重新计算。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13. 挪超 奥勒松 vs 莫尔德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22:00；状态：正常；Titan sId：2912826；排名：奥勒松[13] vs 莫尔德[5]。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3.01/3.65/2.09；亚盘 * 半球，主流水位均值 None/None；大小球 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去水后赛果：奥勒松胜 28.9%，平 25.1%，莫尔德胜 46.0%。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半球 口径下，打出 52.1%，卡线 0.0%，失败/受让 47.9%。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3.00；大3 35.3%，小3 42.3%。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比分Top5：1-1(11.6%)，1-2(9.5%)，0-1(8.0%)，0-2(7.5%)，2-1(6.9%)。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场地天气：Color Line Stadion；温度 15°C。真实天气、阵容和临场首发未取得，已按风险项降权。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核心建议：莫尔德胜（46.0%）；保守方向：莫尔德不败；让球：让球方打出（52.1%）；总球：小3（42.3%）。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14. 瑞典超 奥尔格里特 vs 赫根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比赛信息：7-11 23:30；状态：正常；Titan sId：2912201；排名：奥尔格里特[16] vs 赫根[3]。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5.05/4.37/1.52；亚盘 * 一球，主流水位均值 None/None；大小球 3/3.5，大/小均值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去水后赛果：奥尔格里特胜 18.1%，平 21.1%，赫根胜 60.8%。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让球层：* 一球 口径下，打出 39.0%，卡线 22.4%，失败/受让 38.5%。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3.24；大3.25 40.8%，小3.25 59.2%。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比分Top5：1-2(9.9%)，1-1(9.7%)，0-2(9.0%)，0-1(7.8%)，1-3(7.1%)。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场地天气：-；温度 -。真实天气、阵容和临场首发未取得，已按风险项降权。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核心建议：赫根胜（60.8%）；保守方向：赫根不败；让球：让球方打出（39.0%）；总球：小3.25（59.2%）。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风险等级：低。主要风险：欧赔/亚盘公司分歧、真实xG缺失、首发伤停未临场确认；若开赛前盘口跨档或首发异常，需要重新计算。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15. 挪超 特罗姆瑟 vs 瓦勒伦加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比赛信息：7-12 00:00；状态：正常；Titan sId：2912833；排名：特罗姆瑟[2] vs 瓦勒伦加[9]。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市场截面：欧赔主流即时均值 1.74/3.71/4.22；亚盘 半/一，主流水位均值 None/None；大小球 2.5/3，大/小均值 None/None。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去水后赛果：特罗姆瑟胜 53.6%，平 24.9%，瓦勒伦加胜 21.5%。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让球层：半/一 口径下，打出 54.1%，卡线 0.0%，失败/受让 45.9%。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总球层：模型均值 2.75；大2.75 51.9%，小2.75 48.1%。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比分Top5：1-1(11.9%)，1-0(10.5%)，2-1(9.8%)，2-0(9.7%)，0-0(7.1%)。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场地天气：Alfheim Stadion；温度 -。真实天气、阵容和临场首发未取得，已按风险项降权。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核心建议：特罗姆瑟胜（53.6%）；保守方向：特罗姆瑟不败；让球：让球方打出（54.1%）；总球：大2.75（51.9%）。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风险等级：中。主要风险：欧赔/亚盘公司分歧、真实xG缺失、首发伤停未临场确认；若开赛前盘口跨档或首发异常，需要重新计算。</w:t>
      </w:r>
    </w:p>
    <w:p/>
    <w:p>
      <w:pPr>
        <w:pStyle w:val="Heading1"/>
      </w:pPr>
      <w:r>
        <w:t>来源</w:t>
      </w:r>
    </w:p>
    <w:p/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Titan007赛程：https://bf.titan007.com/football/Next_20260711.htm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Titan007欧赔：`https://1x2d.titan007.com/{sId}.js`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Titan007亚盘：`https://vip.titan007.com/AsianOdds_n.aspx?id={sId}&amp;l=0`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Titan007大小球：`https://vip.titan007.com/OverDown_n.aspx?id={sId}&amp;l=0`</w:t>
      </w:r>
    </w:p>
    <w:p>
      <w:pPr>
        <w:ind w:left="259" w:hanging="259"/>
      </w:pPr>
      <w:r>
        <w:rPr>
          <w:rFonts w:ascii="Arial Unicode MS" w:hAnsi="Arial Unicode MS" w:eastAsia="Arial Unicode MS"/>
          <w:sz w:val="20"/>
        </w:rPr>
        <w:t>• 用户附件：/Users/jamesm/Desktop/7.docx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