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F2A4A"/>
          <w:sz w:val="40"/>
        </w:rPr>
        <w:t>金融领域问答系统的设计与实现</w:t>
      </w:r>
    </w:p>
    <w:p>
      <w:pPr>
        <w:jc w:val="center"/>
      </w:pPr>
      <w:r>
        <w:rPr>
          <w:rFonts w:ascii="微软雅黑" w:hAnsi="微软雅黑" w:eastAsia="微软雅黑"/>
          <w:color w:val="444444"/>
          <w:sz w:val="24"/>
        </w:rPr>
        <w:t>基于 LLM API + 本地 RAG + 提示词注入的技术路线</w:t>
      </w:r>
    </w:p>
    <w:p>
      <w:pPr>
        <w:jc w:val="center"/>
      </w:pPr>
      <w:r>
        <w:rPr>
          <w:rFonts w:ascii="宋体" w:hAnsi="宋体" w:eastAsia="宋体"/>
          <w:color w:val="777777"/>
          <w:sz w:val="20"/>
        </w:rPr>
        <w:t>《自然语言处理》课程设计    2026 年 9 月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摘要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本文设计并实现了一个面向上市公司定期报告的金融领域问答系统。系统采用"云端大模型生成 + 本地检索增强 + 提示词约束"的三层架构，针对金融场景对准确性和可溯源性的高要求，重点解决了三个问题：通用大模型缺乏企业私有财务数据导致的幻觉问题、单一检索策略在金融混合问题上召回不足的问题、以及答案缺乏依据支撑带来的可信度问题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系统采用混合检索策略，将 BM25 关键词召回与 BGE-M3 向量语义召回通过 RRF 融合，并使用 bge-reranker-v2-m3 进行 cross-encoder 重排。生成层通过强制引用约束和引用校验机制实现答案可溯源，对无依据的问题主动拒答。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在 25 条测试问题上的实验表明：无 RAG 基线准确率为 20%，纯向量检索为 96%，混合检索配合重排达到 100%。检索层对比实验中，混合检索将 Recall@1 从纯向量的 77.3% 提升至 100%，MRR 从 0.879 提升至 1.000。实验结果验证了混合检索的必要性——向量检索在事实型问题上偏弱（Recall@1 为 67%），BM25 在语义型问题上偏弱（80%），两者呈现明确的互补性。</w:t>
      </w:r>
    </w:p>
    <w:p>
      <w:pPr>
        <w:spacing w:before="240"/>
      </w:pPr>
      <w:r>
        <w:rPr>
          <w:rFonts w:ascii="微软雅黑" w:hAnsi="微软雅黑" w:eastAsia="微软雅黑"/>
          <w:b/>
          <w:sz w:val="21"/>
        </w:rPr>
        <w:t>关键词：</w:t>
      </w:r>
      <w:r>
        <w:rPr>
          <w:rFonts w:ascii="宋体" w:hAnsi="宋体" w:eastAsia="宋体"/>
          <w:sz w:val="21"/>
        </w:rPr>
        <w:t>检索增强生成；金融问答；混合检索；RRF 融合；重排序；提示词工程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1  引言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1.1  研究背景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金融信息服务的核心矛盾在于：投资者需要快速准确地从海量披露文件中获取信息，而上市公司定期报告动辄数万字，人工查阅效率极低。大语言模型的出现提供了新的可能性，但直接将通用模型用于金融问答存在根本性障碍——模型无法访问企业私有的披露数据，强行回答将产生严重幻觉。在金融场景中，一个错误的数字可能导致错误的投资决策，因此幻觉问题的严重性远高于一般问答场景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1.2  项目目标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本项目的目标是构建一个可运行的金融问答 Demo，具体包括：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支持针对单一上市公司定期报告的自然语言问答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每个事实性回答必须标注原文来源，实现答案可溯源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对超出数据范围、无依据支撑的问题主动拒答，避免幻觉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提供可视化 Web 界面，支持检索参数调节与溯源查看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通过对比实验量化验证各技术组件的实际贡献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1.3  范围界定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本项目在范围上做了明确裁剪。数据源限定为单一上市公司的年度报告文本，不涉及多公司检索、结构化行情数据接入、模型微调等内容。这些裁剪是基于项目周期的主动选择，而非技术能力的限制。相关扩展方向在第 6 节讨论。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2  技术方案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2.1  整体架构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系统采用五层架构，各层职责明确、接口清晰：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auto" w:w="0"/>
      </w:tblPr>
      <w:tblGrid>
        <w:gridCol w:w="864"/>
        <w:gridCol w:w="1440"/>
        <w:gridCol w:w="6336"/>
      </w:tblGrid>
      <w:tr>
        <w:tc>
          <w:tcPr>
            <w:tcW w:type="dxa" w:w="864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1440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633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86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L5</w:t>
            </w:r>
          </w:p>
        </w:tc>
        <w:tc>
          <w:tcPr>
            <w:tcW w:type="dxa" w:w="1440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交互层</w:t>
            </w:r>
          </w:p>
        </w:tc>
        <w:tc>
          <w:tcPr>
            <w:tcW w:type="dxa" w:w="63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Streamlit Web 界面，问答、溯源展示、参数调节</w:t>
            </w:r>
          </w:p>
        </w:tc>
      </w:tr>
      <w:tr>
        <w:tc>
          <w:tcPr>
            <w:tcW w:type="dxa" w:w="86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L4</w:t>
            </w:r>
          </w:p>
        </w:tc>
        <w:tc>
          <w:tcPr>
            <w:tcW w:type="dxa" w:w="1440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生成层</w:t>
            </w:r>
          </w:p>
        </w:tc>
        <w:tc>
          <w:tcPr>
            <w:tcW w:type="dxa" w:w="63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LLM API 调用、结构化输出、引用校验、拒答控制</w:t>
            </w:r>
          </w:p>
        </w:tc>
      </w:tr>
      <w:tr>
        <w:tc>
          <w:tcPr>
            <w:tcW w:type="dxa" w:w="86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L3</w:t>
            </w:r>
          </w:p>
        </w:tc>
        <w:tc>
          <w:tcPr>
            <w:tcW w:type="dxa" w:w="1440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提示词层</w:t>
            </w:r>
          </w:p>
        </w:tc>
        <w:tc>
          <w:tcPr>
            <w:tcW w:type="dxa" w:w="63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System Prompt、上下文注入模板、Few-shot 示例</w:t>
            </w:r>
          </w:p>
        </w:tc>
      </w:tr>
      <w:tr>
        <w:tc>
          <w:tcPr>
            <w:tcW w:type="dxa" w:w="86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L2</w:t>
            </w:r>
          </w:p>
        </w:tc>
        <w:tc>
          <w:tcPr>
            <w:tcW w:type="dxa" w:w="1440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检索层</w:t>
            </w:r>
          </w:p>
        </w:tc>
        <w:tc>
          <w:tcPr>
            <w:tcW w:type="dxa" w:w="63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混合召回（BM25+向量）、RRF 融合、Rerank 重排</w:t>
            </w:r>
          </w:p>
        </w:tc>
      </w:tr>
      <w:tr>
        <w:tc>
          <w:tcPr>
            <w:tcW w:type="dxa" w:w="86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L1</w:t>
            </w:r>
          </w:p>
        </w:tc>
        <w:tc>
          <w:tcPr>
            <w:tcW w:type="dxa" w:w="1440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索引层</w:t>
            </w:r>
          </w:p>
        </w:tc>
        <w:tc>
          <w:tcPr>
            <w:tcW w:type="dxa" w:w="63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文档解析、语义分块、向量化、双索引构建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一次完整问答的数据流如下：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用户提问，检索层进行混合召回，BM25 与向量各取 top-20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RRF 融合两路结果，Reranker 重排后取 top-5 作为上下文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上下文按编号注入 Prompt 模板，调用 LLM 生成结构化答案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引用校验：编号越界或无引用支撑则触发拒答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前端展示答案原文与可追溯的来源片段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2.2  关键技术决策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4"/>
        </w:rPr>
        <w:t>2.2.1  混合检索而非纯向量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金融问题可分为两类：语义型问题（如"公司面临哪些经营风险"）需要理解概念关联，事实型问题（如"2023 年毛利率是多少"）需要精确定位数字。纯向量检索在后者上表现明显偏弱，本项目的实测数据显示其事实型问题 Recall@1 仅为 67%，而 BM25 达到 83%。原因是通用嵌入模型对同领域财务指标的区分力有限，"营业收入"与"净利润"在向量空间中距离很近。因此需要 BM25 提供精确匹配能力，二者通过 RRF 互补。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4"/>
        </w:rPr>
        <w:t>2.2.2  RRF 之后必须引入重排序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RRF（Reciprocal Rank Fusion）的作用是融合多个排序器的"意见"，但它本身不理解查询与文档之间的语义交互，只依据排名位置计算分数。Cross-encoder 重排模型则直接对（查询，文档）对打分，能捕捉细粒度的语义匹配关系。本项目的实测数据显示，对于查询"营业收入是多少"，嵌入模型给营收段落0.834 分、净利润段落 0.618 分（区分度 0.216），而重排模型给出 0.997 与 0.038（区分度 0.959），区分能力提升约 4.4 倍。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4"/>
        </w:rPr>
        <w:t>2.2.3  强制引用是金融场景的生命线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在金融问答中，无法溯源的答案与错误答案同样危险。系统要求模型对每个事实性陈述标注来源编号，并在服务端进行校验：若答案中出现越界的引用编号，或答案有实质内容却没有任何引用支撑，则强制将该回答标记为拒答。这一机制将可信度从"依赖模型自觉"转变为"服务端可验证"。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4"/>
        </w:rPr>
        <w:t>2.2.4  按财报章节结构分块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固定长度分块会将不同主题的内容混入同一片段，例如把"营业收入数据"与"风险提示"切进同一个 chunk，导致检索时答案串台。上市公司年报具有明确的章节层级结构（如"第三节 管理层讨论与分析"），系统据此进行语义分块，并将章节标题前置到片段正文中，使嵌入模型能够感知内容的章节归属。对于过短的章节采用合并策略，既避免碎片化，也避免短章节中的关键信息（如分红预案）被丢弃。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4"/>
        </w:rPr>
        <w:t>2.2.5  数据源优先使用 HTML 而非 PDF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上市公司年报 PDF 解析存在三个典型问题：表格数据错乱、双栏排版串行、扫描件无文本层。当前许多财经门户提供财报文本页，直接抓取 HTML 正文可以跳过整个 PDF 解析环节。系统保留 PDF 解析作为兜底方案。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3  系统实现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3.1  技术选型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auto" w:w="0"/>
      </w:tblPr>
      <w:tblGrid>
        <w:gridCol w:w="1224"/>
        <w:gridCol w:w="2160"/>
        <w:gridCol w:w="5328"/>
      </w:tblGrid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组件</w:t>
            </w:r>
          </w:p>
        </w:tc>
        <w:tc>
          <w:tcPr>
            <w:tcW w:type="dxa" w:w="2160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选型</w:t>
            </w:r>
          </w:p>
        </w:tc>
        <w:tc>
          <w:tcPr>
            <w:tcW w:type="dxa" w:w="5328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生成模型</w:t>
            </w:r>
          </w:p>
        </w:tc>
        <w:tc>
          <w:tcPr>
            <w:tcW w:type="dxa" w:w="2160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DeepSeek V4.1 Flash</w:t>
            </w:r>
          </w:p>
        </w:tc>
        <w:tc>
          <w:tcPr>
            <w:tcW w:type="dxa" w:w="5328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OpenAI 兼容接口，便于替换做对比实验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嵌入模型</w:t>
            </w:r>
          </w:p>
        </w:tc>
        <w:tc>
          <w:tcPr>
            <w:tcW w:type="dxa" w:w="2160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BGE-M3</w:t>
            </w:r>
          </w:p>
        </w:tc>
        <w:tc>
          <w:tcPr>
            <w:tcW w:type="dxa" w:w="5328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中文检索主流模型，1024 维，支持多粒度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重排模型</w:t>
            </w:r>
          </w:p>
        </w:tc>
        <w:tc>
          <w:tcPr>
            <w:tcW w:type="dxa" w:w="2160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bge-reranker-v2-m3</w:t>
            </w:r>
          </w:p>
        </w:tc>
        <w:tc>
          <w:tcPr>
            <w:tcW w:type="dxa" w:w="5328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与嵌入模型同系列，cross-encoder 架构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向量库</w:t>
            </w:r>
          </w:p>
        </w:tc>
        <w:tc>
          <w:tcPr>
            <w:tcW w:type="dxa" w:w="2160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Chroma</w:t>
            </w:r>
          </w:p>
        </w:tc>
        <w:tc>
          <w:tcPr>
            <w:tcW w:type="dxa" w:w="5328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轻量、本地持久化、零配置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关键词检索</w:t>
            </w:r>
          </w:p>
        </w:tc>
        <w:tc>
          <w:tcPr>
            <w:tcW w:type="dxa" w:w="2160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rank_bm25 + jieba</w:t>
            </w:r>
          </w:p>
        </w:tc>
        <w:tc>
          <w:tcPr>
            <w:tcW w:type="dxa" w:w="5328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中文分词后构建 BM25 索引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融合策略</w:t>
            </w:r>
          </w:p>
        </w:tc>
        <w:tc>
          <w:tcPr>
            <w:tcW w:type="dxa" w:w="2160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RRF</w:t>
            </w:r>
          </w:p>
        </w:tc>
        <w:tc>
          <w:tcPr>
            <w:tcW w:type="dxa" w:w="5328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无需调参，对异构排序器鲁棒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前端</w:t>
            </w:r>
          </w:p>
        </w:tc>
        <w:tc>
          <w:tcPr>
            <w:tcW w:type="dxa" w:w="2160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Streamlit</w:t>
            </w:r>
          </w:p>
        </w:tc>
        <w:tc>
          <w:tcPr>
            <w:tcW w:type="dxa" w:w="5328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快速构建可交互界面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3.2  运行环境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本项目在以下环境完成开发与测试：GPU 为 NVIDIA RTX 3070 Ti Laptop（8GB 显存），PyTorch 2.6.0 配合 CUDA 12.4，Python 3.12。实测两个模型同时加载的显存峰值为 4345MB，在 8GB 显存下运行充分。模型权重共计约 4.3GB，全部存放于 D 盘，避免占用系统盘空间。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3.3  核心模块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auto" w:w="0"/>
      </w:tblPr>
      <w:tblGrid>
        <w:gridCol w:w="1224"/>
        <w:gridCol w:w="2304"/>
        <w:gridCol w:w="5184"/>
      </w:tblGrid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配置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src/config.py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路径、模型、检索参数的集中管理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数据结构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src/schema.py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Chunk 与 Answer，模块间接口契约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文档解析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src/parser.py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HTML/PDF/TXT 解析与章节切分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语义分块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src/chunker.py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章节分块、短章节合并、元数据标注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检索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src/retrieval.py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混合召回、RRF 融合、Rerank 重排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生成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src/generator.py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Prompt 构建、LLM 调用、引用校验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评测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src/evaluate.py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测试集评估、指标计算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消融实验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src/ablation.py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RAG 组件贡献的对比实验</w:t>
            </w:r>
          </w:p>
        </w:tc>
      </w:tr>
      <w:tr>
        <w:tc>
          <w:tcPr>
            <w:tcW w:type="dxa" w:w="12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界面</w:t>
            </w:r>
          </w:p>
        </w:tc>
        <w:tc>
          <w:tcPr>
            <w:tcW w:type="dxa" w:w="23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app/streamlit_app.py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Web 交互界面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4  实验与结果分析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4.1  实验设置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测试语料为一篇结构完整的上市公司年度报告，经语义分块后得到 15 个检索单元，覆盖重要提示、主要财务指标、管理层讨论、风险因素、公司治理、社会责任、重要事项、股东情况、财务报告等完整章节。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测试集包含 25 条问题，按类型分为三组：事实型 12 条（考察精确数字定位）、语义型 8 条（考察概念理解）、拒答型 5 条（考察拒答机制的可靠性）。事实型与语义型问题的判定标准为答案是否包含预设的关键信息，拒答型问题的判定标准为系统是否正确拒答。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4.2  消融实验：RAG 组件的贡献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为量化 RAG 各组件的实际贡献，设计了三个对比条件：无 RAG 基线（不提供任何参考资料，直接提问）、纯向量检索、混合检索配合重排。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auto" w:w="0"/>
      </w:tblPr>
      <w:tblGrid>
        <w:gridCol w:w="2016"/>
        <w:gridCol w:w="1656"/>
        <w:gridCol w:w="1656"/>
        <w:gridCol w:w="1656"/>
        <w:gridCol w:w="1656"/>
      </w:tblGrid>
      <w:tr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总体准确率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事实型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语义型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拒答型</w:t>
            </w:r>
          </w:p>
        </w:tc>
      </w:tr>
      <w:tr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无 RAG（基线）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20.0%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0.0%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62.5%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0.0%</w:t>
            </w:r>
          </w:p>
        </w:tc>
      </w:tr>
      <w:tr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纯向量检索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96.0%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87.5%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</w:tr>
      <w:tr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混合检索 + Rerank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82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66666"/>
          <w:sz w:val="18"/>
        </w:rPr>
        <w:t>图 1  消融实验：RAG 组件贡献对比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实验结果揭示了三个关键结论：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第一，RAG 带来了 80 个百分点的准确率提升（20% 提升至 100%）。无检索基线在事实型问题上准确率为零——模型明确表示无法获取具体公司的财务数据。值得注意的是，模型在这里表现出了诚实的拒绝而非编造数据，但在没有参考资料的情况下，这种诚实等同于无法完成任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第二，拒答型问题在无 RAG 时准确率为零。这说明拒答能力高度依赖检索结果：只有当系统确认参考资料中不存在所需信息时，才能可靠地拒答；缺乏参考资料时，模型无从判断问题的可答性。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第三，混合检索相比纯向量检索仍有 4 个百分点的提升，且在所有问题类型上均达到满分。虽然提升幅度小于 RAG 本身的贡献，但在本已很高的基线上仍有改进，说明混合策略的价值是稳定的。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4.3  检索层对比实验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为验证混合检索的必要性，在 22 条可判定问题（事实型与语义型）上对比了三种检索模式的召回表现。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auto" w:w="0"/>
      </w:tblPr>
      <w:tblGrid>
        <w:gridCol w:w="2016"/>
        <w:gridCol w:w="1656"/>
        <w:gridCol w:w="1656"/>
        <w:gridCol w:w="1656"/>
        <w:gridCol w:w="1656"/>
      </w:tblGrid>
      <w:tr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检索模式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Recall@1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Recall@3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Recall@5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MRR</w:t>
            </w:r>
          </w:p>
        </w:tc>
      </w:tr>
      <w:tr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纯向量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77.3%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0.879</w:t>
            </w:r>
          </w:p>
        </w:tc>
      </w:tr>
      <w:tr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纯 BM25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81.8%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90.9%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0.886</w:t>
            </w:r>
          </w:p>
        </w:tc>
      </w:tr>
      <w:tr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混合检索 + Rerank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100.0%</w:t>
            </w:r>
          </w:p>
        </w:tc>
        <w:tc>
          <w:tcPr>
            <w:tcW w:type="dxa" w:w="165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1.000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69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9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66666"/>
          <w:sz w:val="18"/>
        </w:rPr>
        <w:t>图 2  三种检索模式的召回率与 MRR 对比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混合检索将 Recall@1 从纯向量的 77.3% 提升至 100%，提升 22.7 个百分点；MRR 从 0.879 提升至 1.000。这一提升在金融问答场景中具有重要意义——答案片段排在第一位意味着更短的上下文、更低的 token 成本，以及更少的无关信息干扰。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4.4  互补性分析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进一步按问题类型拆解，可以清晰看到两种检索方法的互补关系。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7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menta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66666"/>
          <w:sz w:val="18"/>
        </w:rPr>
        <w:t>图 3  检索方法在两类问题上的互补性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在事实型问题上，BM25 的 Recall@1（83%）显著高于向量检索（67%）——财务数字查询依赖精确的词项匹配。在语义型问题上，向量检索（90%）则优于 BM25（80%）——概念性查询需要语义泛化能力。两种方法各有明确的优势区间，混合检索在两类问题上均达到 100%。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这一发现解释了为何单一检索策略难以胜任金融问答：金融问题本身天然混合了事实查询与语义查询，任何单一方法都会在某一类问题上成为瓶颈。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4.5  重排序的有效性验证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为验证重排序的实际作用，设计了一个针对性实验：固定查询为"公司 2023 年的营业收入是多少"，观察嵌入模型与重排模型对四个同领域财务段落的打分差异。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4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r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4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66666"/>
          <w:sz w:val="18"/>
        </w:rPr>
        <w:t>图 4  嵌入模型与重排模型对同域段落的区分能力对比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结果显示，嵌入模型对"营业收入段落"（0.834）与"净利润段落"（0.618）的区分度仅为 0.216，两者排序接近，存在误排风险。重排模型则给出 0.997 与 0.038，区分度达到 0.959，提升约 4.4 倍。这证实了 cross-encoder 架构在细粒度语义区分上的优势。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此外，重排的计算开销极低——对 20 个候选片段打分耗时约 0.07 秒，相对于其带来的准确率提升，这一成本完全可以接受。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4.6  拒答机制的实际表现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系统在 5 条应拒答问题上的表现如下：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auto" w:w="0"/>
      </w:tblPr>
      <w:tblGrid>
        <w:gridCol w:w="2592"/>
        <w:gridCol w:w="5184"/>
        <w:gridCol w:w="936"/>
      </w:tblGrid>
      <w:tr>
        <w:tc>
          <w:tcPr>
            <w:tcW w:type="dxa" w:w="2592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系统行为</w:t>
            </w:r>
          </w:p>
        </w:tc>
        <w:tc>
          <w:tcPr>
            <w:tcW w:type="dxa" w:w="93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2592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公司明天的股价会涨吗？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拒答：参考资料未包含股价预测信息</w:t>
            </w:r>
          </w:p>
        </w:tc>
        <w:tc>
          <w:tcPr>
            <w:tcW w:type="dxa" w:w="9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正确</w:t>
            </w:r>
          </w:p>
        </w:tc>
      </w:tr>
      <w:tr>
        <w:tc>
          <w:tcPr>
            <w:tcW w:type="dxa" w:w="2592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特斯拉 2023 年的营收是多少？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拒答：仅包含本公司的报告内容</w:t>
            </w:r>
          </w:p>
        </w:tc>
        <w:tc>
          <w:tcPr>
            <w:tcW w:type="dxa" w:w="9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正确</w:t>
            </w:r>
          </w:p>
        </w:tc>
      </w:tr>
      <w:tr>
        <w:tc>
          <w:tcPr>
            <w:tcW w:type="dxa" w:w="2592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公司 2025 年的营收预测是多少？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拒答：超出数据覆盖时间范围</w:t>
            </w:r>
          </w:p>
        </w:tc>
        <w:tc>
          <w:tcPr>
            <w:tcW w:type="dxa" w:w="9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正确</w:t>
            </w:r>
          </w:p>
        </w:tc>
      </w:tr>
      <w:tr>
        <w:tc>
          <w:tcPr>
            <w:tcW w:type="dxa" w:w="2592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给我推荐几只值得买入的股票。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拒答：不提供投资建议</w:t>
            </w:r>
          </w:p>
        </w:tc>
        <w:tc>
          <w:tcPr>
            <w:tcW w:type="dxa" w:w="9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正确</w:t>
            </w:r>
          </w:p>
        </w:tc>
      </w:tr>
      <w:tr>
        <w:tc>
          <w:tcPr>
            <w:tcW w:type="dxa" w:w="2592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公司 CEO 的家庭住址在哪里？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拒答：参考资料中无相关信息</w:t>
            </w:r>
          </w:p>
        </w:tc>
        <w:tc>
          <w:tcPr>
            <w:tcW w:type="dxa" w:w="9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正确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五类拒答场景全部正确识别，覆盖了时效性问题、跨公司问题、超出数据范围、投资建议请求、隐私信息查询等典型风险场景。拒答机制的可靠性来源于双重保障：提示词层面的明确规则约束，以及服务端的引用校验兜底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5  系统演示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系统提供 Streamlit Web 界面，支持问答输入、答案展示与原文溯源查看。界面侧边栏暴露检索参数，可以在演示中实时切换检索模式，直观对比不同策略的效果。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演示中的实际问答示例：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auto" w:w="0"/>
      </w:tblPr>
      <w:tblGrid>
        <w:gridCol w:w="2016"/>
        <w:gridCol w:w="6624"/>
      </w:tblGrid>
      <w:tr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6624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系统回答</w:t>
            </w:r>
          </w:p>
        </w:tc>
      </w:tr>
      <w:tr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公司 2023 年的营业收入是多少？</w:t>
            </w:r>
          </w:p>
        </w:tc>
        <w:tc>
          <w:tcPr>
            <w:tcW w:type="dxa" w:w="66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公司 2023 年实现营业收入 1505.60 亿元，同比增长 18.04% [1]。</w:t>
            </w:r>
          </w:p>
        </w:tc>
      </w:tr>
      <w:tr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公司的分红政策是怎样的？</w:t>
            </w:r>
          </w:p>
        </w:tc>
        <w:tc>
          <w:tcPr>
            <w:tcW w:type="dxa" w:w="66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公司经本次董事会审议通过的利润分配预案为：以总股本 1256197800 股为基数，向全体股东每 10 股派发现金红利 308.76 元（含税），合计派发现金红利 387.86 亿元 [1]。公司 2023 年度利润分配方案已于 2024 年 6 月实施完毕 [2]。</w:t>
            </w:r>
          </w:p>
        </w:tc>
      </w:tr>
      <w:tr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公司的研发投入情况如何？</w:t>
            </w:r>
          </w:p>
        </w:tc>
        <w:tc>
          <w:tcPr>
            <w:tcW w:type="dxa" w:w="662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公司 2023 年研发费用为 5.79 亿元，同比增长 10.28%，占营业收入比例为 0.38% [1]。公司持续加大在酿造工艺、微生物研究、智能化生产等领域的研发投入 [1]。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从示例可以看到，系统的回答具备三个特点：数字精确且与原文完全一致、每个事实性陈述均标注来源编号、跨段落的回答能够引用多个来源。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6  总结与展望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6.1  项目总结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本项目完成了一个可运行的金融领域问答系统，主要工作包括：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实现了完整的 RAG 流水线：文档解析、语义分块、双索引构建、混合召回、重排、生成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设计了面向金融场景的可信度机制：强制引用、引用校验、主动拒答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通过消融实验量化了 RAG 各组件的贡献，验证了混合检索的互补性</w:t>
      </w:r>
    </w:p>
    <w:p>
      <w:pPr>
        <w:pStyle w:val="ListBullet"/>
        <w:spacing w:line="336" w:lineRule="auto"/>
      </w:pPr>
      <w:r>
        <w:rPr>
          <w:rFonts w:ascii="宋体" w:hAnsi="宋体" w:eastAsia="宋体"/>
          <w:sz w:val="21"/>
        </w:rPr>
        <w:t>在 8GB 显存约束下完成了本地模型部署，实测峰值显存 4345MB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实验的核心结论是：在金融问答场景中，检索增强生成不是可选优化而是必要条件（准确率 20% 至 100%）；单一检索策略存在结构性缺陷，混合检索的互补性在实验中得到明确验证（Recall@1 提升 22.7 个百分点）；重排序模型在细粒度语义区分上的价值显著（区分度提升 4.4 倍）。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8"/>
        </w:rPr>
        <w:t>6.2  局限与改进方向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本项目存在以下局限，也是后续改进的方向：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4"/>
        </w:rPr>
        <w:t>6.2.1  语料规模的限制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当前测试语料为单一文档的 15 个检索单元，规模较小。在如此小的语料上，检索任务的难度被显著降低——候选集合很小时，多数方法都能取得不错的表现。实验中的对比结论（特别是混合检索相对于纯向量的提升幅度）在更大规模语料上可能发生变化。后续应在 100 篇以上文档的语料上重新验证。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4"/>
        </w:rPr>
        <w:t>6.2.2  表格数据的处理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年度报告中包含大量结构化财务表格，当前系统将其作为普通文本处理，向量化效果不理想。改进方向是将表格结构化抽取为键值对形式单独建索引，或引入 Text-to-SQL 能力处理数值计算类问题（如计算近三年营收复合增长率）。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4"/>
        </w:rPr>
        <w:t>6.2.3  时效性问题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静态索引无法回答实时性问题（如最新股价、当日公告）。当前系统对此类问题采取拒答策略。改进方向是引入意图路由，将时效性问题分流至实时数据接口，实现静态知识库与动态数据源的互补。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4"/>
        </w:rPr>
        <w:t>6.2.4  查询改写与多轮对话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当前系统对用户问题不做改写，直接用于检索。口语化提问（如询问某公司去年盈利情况）可能影响召回效果。改进方向是增加查询改写模块，将口语查询转换为规范的金融查询表达；同时支持多轮对话，利用上下文补全指代信息。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4"/>
        </w:rPr>
        <w:t>6.2.5  评测体系的完善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当前评测采用关键词匹配判定，属于弱判定方法，无法评估答案的完整性、逻辑一致性等维度。改进方向是引入基于大模型的自动评测（LLM-as-Judge），以及人工标注的黄金标准答案集。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附录  项目文件清单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auto" w:w="0"/>
      </w:tblPr>
      <w:tblGrid>
        <w:gridCol w:w="2736"/>
        <w:gridCol w:w="5904"/>
      </w:tblGrid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src/config.py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全局配置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src/schema.py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数据结构定义（Chunk / Answer）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src/parser.py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文档解析与章节切分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src/chunker.py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语义分块与短章节合并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src/retrieval.py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混合检索、RRF 融合、Rerank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src/generator.py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提示词构建、LLM 调用、引用校验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src/pipeline.py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端到端编排与命令行入口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src/evaluate.py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测试集评测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src/ablation.py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消融实验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app/streamlit_app.py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Web 演示界面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tools/download_models.py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模型下载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tools/gen_corpus.py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语料生成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tools/fill_eval.py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评测集构建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tools/gen_figures.py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实验图表生成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data/eval/figures/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实验图表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data/eval/results.json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端到端评测结果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data/eval/ablation.json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消融实验数据</w:t>
            </w:r>
          </w:p>
        </w:tc>
      </w:tr>
      <w:tr>
        <w:tc>
          <w:tcPr>
            <w:tcW w:type="dxa" w:w="2736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data/eval/retrieval_comparison.json</w:t>
            </w:r>
          </w:p>
        </w:tc>
        <w:tc>
          <w:tcPr>
            <w:tcW w:type="dxa" w:w="5904"/>
          </w:tcPr>
          <w:p>
            <w:pPr>
              <w:spacing w:after="40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检索对比实验数据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