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D0CF4">
      <w:pPr>
        <w:jc w:val="center"/>
        <w:rPr>
          <w:b/>
          <w:sz w:val="44"/>
          <w:szCs w:val="44"/>
        </w:rPr>
      </w:pPr>
    </w:p>
    <w:p w14:paraId="2F96D22B">
      <w:pPr>
        <w:jc w:val="center"/>
        <w:rPr>
          <w:b/>
          <w:sz w:val="44"/>
          <w:szCs w:val="44"/>
        </w:rPr>
      </w:pPr>
    </w:p>
    <w:p w14:paraId="48099A2E">
      <w:pPr>
        <w:jc w:val="center"/>
        <w:rPr>
          <w:b/>
          <w:sz w:val="44"/>
          <w:szCs w:val="44"/>
        </w:rPr>
      </w:pPr>
    </w:p>
    <w:p w14:paraId="336CB965">
      <w:pPr>
        <w:jc w:val="center"/>
        <w:rPr>
          <w:b/>
          <w:sz w:val="44"/>
          <w:szCs w:val="44"/>
        </w:rPr>
      </w:pPr>
    </w:p>
    <w:p w14:paraId="6D1113A2">
      <w:pPr>
        <w:jc w:val="center"/>
        <w:rPr>
          <w:b/>
          <w:sz w:val="44"/>
          <w:szCs w:val="44"/>
        </w:rPr>
      </w:pPr>
    </w:p>
    <w:p w14:paraId="432B13AE">
      <w:pPr>
        <w:jc w:val="center"/>
        <w:rPr>
          <w:b/>
          <w:sz w:val="44"/>
          <w:szCs w:val="44"/>
        </w:rPr>
      </w:pPr>
    </w:p>
    <w:p w14:paraId="669ECE5A">
      <w:pPr>
        <w:jc w:val="center"/>
        <w:rPr>
          <w:b/>
          <w:sz w:val="44"/>
          <w:szCs w:val="44"/>
        </w:rPr>
      </w:pPr>
    </w:p>
    <w:p w14:paraId="64E23463">
      <w:pPr>
        <w:jc w:val="center"/>
        <w:rPr>
          <w:sz w:val="44"/>
          <w:szCs w:val="44"/>
        </w:rPr>
      </w:pPr>
      <w:r>
        <w:rPr>
          <w:rFonts w:hint="eastAsia"/>
          <w:sz w:val="44"/>
          <w:szCs w:val="44"/>
          <w:u w:val="single"/>
        </w:rPr>
        <w:t>车路云一体化</w:t>
      </w:r>
      <w:r>
        <w:rPr>
          <w:rFonts w:hint="eastAsia"/>
          <w:sz w:val="44"/>
          <w:szCs w:val="44"/>
        </w:rPr>
        <w:t>项目采购合同</w:t>
      </w:r>
    </w:p>
    <w:p w14:paraId="2F3F4C7A">
      <w:pPr>
        <w:jc w:val="center"/>
        <w:rPr>
          <w:rFonts w:hint="eastAsia"/>
          <w:b/>
          <w:sz w:val="44"/>
          <w:szCs w:val="44"/>
        </w:rPr>
      </w:pPr>
      <w:r>
        <w:rPr>
          <w:rFonts w:hint="eastAsia"/>
          <w:sz w:val="44"/>
          <w:szCs w:val="44"/>
        </w:rPr>
        <w:t>低速物流车</w:t>
      </w:r>
    </w:p>
    <w:p w14:paraId="5500B885">
      <w:pPr>
        <w:rPr>
          <w:b/>
          <w:sz w:val="21"/>
        </w:rPr>
      </w:pPr>
    </w:p>
    <w:p w14:paraId="17B39824">
      <w:pPr>
        <w:rPr>
          <w:b/>
          <w:sz w:val="21"/>
        </w:rPr>
      </w:pPr>
    </w:p>
    <w:p w14:paraId="5FE05E0A">
      <w:pPr>
        <w:rPr>
          <w:b/>
          <w:sz w:val="21"/>
        </w:rPr>
      </w:pPr>
    </w:p>
    <w:p w14:paraId="3D8491FB">
      <w:pPr>
        <w:rPr>
          <w:b/>
          <w:sz w:val="21"/>
        </w:rPr>
      </w:pPr>
    </w:p>
    <w:p w14:paraId="21E116B0">
      <w:pPr>
        <w:rPr>
          <w:b/>
          <w:sz w:val="21"/>
        </w:rPr>
      </w:pPr>
    </w:p>
    <w:p w14:paraId="533022DF">
      <w:pPr>
        <w:rPr>
          <w:b/>
          <w:sz w:val="21"/>
        </w:rPr>
      </w:pPr>
    </w:p>
    <w:p w14:paraId="78B6A30B">
      <w:pPr>
        <w:rPr>
          <w:b/>
          <w:sz w:val="21"/>
        </w:rPr>
      </w:pPr>
    </w:p>
    <w:p w14:paraId="1199DBA1">
      <w:pPr>
        <w:autoSpaceDE w:val="0"/>
        <w:autoSpaceDN w:val="0"/>
        <w:spacing w:line="500" w:lineRule="exact"/>
        <w:ind w:firstLine="993" w:firstLineChars="331"/>
        <w:textAlignment w:val="bottom"/>
        <w:rPr>
          <w:rFonts w:ascii="黑体" w:hAnsi="黑体" w:eastAsia="黑体"/>
          <w:b/>
          <w:sz w:val="30"/>
          <w:szCs w:val="30"/>
        </w:rPr>
      </w:pPr>
      <w:r>
        <w:rPr>
          <w:rFonts w:hint="eastAsia" w:ascii="黑体" w:hAnsi="黑体" w:eastAsia="黑体"/>
          <w:sz w:val="30"/>
          <w:szCs w:val="30"/>
        </w:rPr>
        <w:t>甲方（发包人）： 江苏天安智联科技股份有限公司</w:t>
      </w:r>
    </w:p>
    <w:p w14:paraId="568B61EA">
      <w:pPr>
        <w:autoSpaceDE w:val="0"/>
        <w:autoSpaceDN w:val="0"/>
        <w:spacing w:line="500" w:lineRule="exact"/>
        <w:ind w:firstLine="993" w:firstLineChars="331"/>
        <w:textAlignment w:val="bottom"/>
        <w:rPr>
          <w:rFonts w:ascii="黑体" w:hAnsi="黑体" w:eastAsia="黑体"/>
          <w:b/>
          <w:sz w:val="30"/>
          <w:szCs w:val="30"/>
        </w:rPr>
      </w:pPr>
      <w:r>
        <w:rPr>
          <w:rFonts w:hint="eastAsia" w:ascii="黑体" w:hAnsi="黑体" w:eastAsia="黑体"/>
          <w:sz w:val="30"/>
          <w:szCs w:val="30"/>
        </w:rPr>
        <w:t>乙方（承包人）：</w:t>
      </w:r>
      <w:r>
        <w:rPr>
          <w:rFonts w:ascii="黑体" w:hAnsi="黑体" w:eastAsia="黑体"/>
          <w:sz w:val="30"/>
          <w:szCs w:val="30"/>
        </w:rPr>
        <w:t xml:space="preserve"> </w:t>
      </w:r>
      <w:r>
        <w:rPr>
          <w:rFonts w:hint="eastAsia" w:ascii="黑体" w:hAnsi="黑体" w:eastAsia="黑体"/>
          <w:sz w:val="30"/>
          <w:szCs w:val="30"/>
        </w:rPr>
        <w:t>无锡市车城智联科技有限公司</w:t>
      </w:r>
    </w:p>
    <w:p w14:paraId="3C383137">
      <w:pPr>
        <w:rPr>
          <w:b/>
          <w:sz w:val="21"/>
        </w:rPr>
      </w:pPr>
    </w:p>
    <w:p w14:paraId="52C4D156">
      <w:pPr>
        <w:rPr>
          <w:b/>
          <w:sz w:val="21"/>
        </w:rPr>
      </w:pPr>
    </w:p>
    <w:p w14:paraId="639FBF95">
      <w:pPr>
        <w:rPr>
          <w:b/>
          <w:sz w:val="21"/>
        </w:rPr>
      </w:pPr>
    </w:p>
    <w:p w14:paraId="0285B430">
      <w:pPr>
        <w:rPr>
          <w:b/>
          <w:sz w:val="21"/>
        </w:rPr>
      </w:pPr>
    </w:p>
    <w:p w14:paraId="5E5E4EFB">
      <w:pPr>
        <w:rPr>
          <w:b/>
          <w:sz w:val="21"/>
        </w:rPr>
      </w:pPr>
    </w:p>
    <w:p w14:paraId="6308E034">
      <w:pPr>
        <w:rPr>
          <w:b/>
          <w:sz w:val="21"/>
        </w:rPr>
      </w:pPr>
    </w:p>
    <w:p w14:paraId="668E26BF">
      <w:pPr>
        <w:rPr>
          <w:b/>
          <w:sz w:val="21"/>
        </w:rPr>
      </w:pPr>
    </w:p>
    <w:p w14:paraId="767150E3">
      <w:pPr>
        <w:rPr>
          <w:b/>
          <w:sz w:val="21"/>
        </w:rPr>
      </w:pPr>
    </w:p>
    <w:p w14:paraId="74391D0E">
      <w:pPr>
        <w:jc w:val="center"/>
        <w:rPr>
          <w:b/>
        </w:rPr>
      </w:pPr>
      <w:r>
        <w:rPr>
          <w:rFonts w:hint="eastAsia"/>
        </w:rPr>
        <w:t>2025年</w:t>
      </w:r>
      <w:r>
        <w:rPr>
          <w:rFonts w:hint="eastAsia"/>
          <w:lang w:val="en-US" w:eastAsia="zh-CN"/>
        </w:rPr>
        <w:t>12</w:t>
      </w:r>
      <w:r>
        <w:rPr>
          <w:rFonts w:hint="eastAsia"/>
        </w:rPr>
        <w:t>月</w:t>
      </w:r>
    </w:p>
    <w:p w14:paraId="4E1CA762">
      <w:pPr>
        <w:rPr>
          <w:b/>
        </w:rPr>
      </w:pPr>
    </w:p>
    <w:p w14:paraId="3C4E39D6">
      <w:pPr>
        <w:rPr>
          <w:b/>
        </w:rPr>
      </w:pPr>
    </w:p>
    <w:p w14:paraId="200D9B6A">
      <w:pPr>
        <w:rPr>
          <w:b/>
          <w:szCs w:val="28"/>
        </w:rPr>
      </w:pPr>
      <w:r>
        <w:rPr>
          <w:b/>
          <w:szCs w:val="28"/>
        </w:rPr>
        <w:br w:type="page"/>
      </w:r>
      <w:bookmarkStart w:id="95" w:name="_GoBack"/>
      <w:bookmarkEnd w:id="95"/>
    </w:p>
    <w:p w14:paraId="3A9ECD67">
      <w:pPr>
        <w:adjustRightInd w:val="0"/>
        <w:snapToGrid w:val="0"/>
        <w:spacing w:line="360" w:lineRule="auto"/>
        <w:ind w:right="-15"/>
        <w:rPr>
          <w:b/>
          <w:szCs w:val="28"/>
        </w:rPr>
      </w:pPr>
    </w:p>
    <w:p w14:paraId="450FEEB9">
      <w:pPr>
        <w:numPr>
          <w:ilvl w:val="255"/>
          <w:numId w:val="0"/>
        </w:numPr>
        <w:jc w:val="center"/>
        <w:outlineLvl w:val="0"/>
        <w:rPr>
          <w:rFonts w:cs="华文仿宋"/>
          <w:sz w:val="44"/>
          <w:szCs w:val="44"/>
        </w:rPr>
      </w:pPr>
      <w:r>
        <w:rPr>
          <w:rFonts w:hint="eastAsia" w:cs="华文仿宋"/>
          <w:sz w:val="44"/>
          <w:szCs w:val="44"/>
        </w:rPr>
        <w:t>合同协议书</w:t>
      </w:r>
    </w:p>
    <w:p w14:paraId="0F461869">
      <w:pPr>
        <w:rPr>
          <w:rFonts w:cs="华文仿宋"/>
          <w:b/>
          <w:bCs/>
        </w:rPr>
      </w:pPr>
    </w:p>
    <w:p w14:paraId="0F232886">
      <w:pPr>
        <w:spacing w:line="360" w:lineRule="auto"/>
        <w:ind w:left="1133" w:hanging="1132" w:hangingChars="472"/>
        <w:rPr>
          <w:b/>
          <w:bCs/>
        </w:rPr>
      </w:pPr>
      <w:r>
        <w:rPr>
          <w:rFonts w:hint="eastAsia"/>
          <w:bCs/>
        </w:rPr>
        <w:t>甲方（发包人）：江苏天安智联科技股份有限公司</w:t>
      </w:r>
    </w:p>
    <w:p w14:paraId="52D64EE1">
      <w:pPr>
        <w:spacing w:line="360" w:lineRule="auto"/>
        <w:ind w:left="1133" w:hanging="1132" w:hangingChars="472"/>
        <w:rPr>
          <w:b/>
          <w:bCs/>
        </w:rPr>
      </w:pPr>
      <w:r>
        <w:rPr>
          <w:bCs/>
        </w:rPr>
        <w:t>注册地址：</w:t>
      </w:r>
      <w:bookmarkStart w:id="0" w:name="_Hlk141771813"/>
      <w:r>
        <w:rPr>
          <w:rFonts w:hint="eastAsia"/>
          <w:bCs/>
        </w:rPr>
        <w:t>无锡市锡山区安镇街道春风南路2号智行科创园8幢3单元1404号办公楼</w:t>
      </w:r>
      <w:bookmarkEnd w:id="0"/>
    </w:p>
    <w:p w14:paraId="029D0268">
      <w:pPr>
        <w:spacing w:line="360" w:lineRule="auto"/>
        <w:ind w:left="1133" w:hanging="1132" w:hangingChars="472"/>
        <w:rPr>
          <w:b/>
          <w:bCs/>
        </w:rPr>
      </w:pPr>
      <w:r>
        <w:rPr>
          <w:bCs/>
        </w:rPr>
        <w:t>法定代表人：</w:t>
      </w:r>
      <w:r>
        <w:rPr>
          <w:rFonts w:hint="eastAsia"/>
          <w:bCs/>
        </w:rPr>
        <w:t>杨雷</w:t>
      </w:r>
    </w:p>
    <w:p w14:paraId="5C71FC23">
      <w:pPr>
        <w:spacing w:line="360" w:lineRule="auto"/>
        <w:rPr>
          <w:b/>
          <w:bCs/>
        </w:rPr>
      </w:pPr>
    </w:p>
    <w:p w14:paraId="1BE2B8F0">
      <w:pPr>
        <w:spacing w:line="360" w:lineRule="auto"/>
        <w:ind w:left="1133" w:hanging="1132" w:hangingChars="472"/>
        <w:rPr>
          <w:b/>
          <w:bCs/>
        </w:rPr>
      </w:pPr>
      <w:r>
        <w:rPr>
          <w:rFonts w:hint="eastAsia"/>
          <w:bCs/>
        </w:rPr>
        <w:t>乙方（承包人）：无锡市车城智联科技有限公司</w:t>
      </w:r>
    </w:p>
    <w:p w14:paraId="63DDA115">
      <w:pPr>
        <w:spacing w:line="360" w:lineRule="auto"/>
        <w:ind w:left="1133" w:hanging="1132" w:hangingChars="472"/>
        <w:rPr>
          <w:b/>
          <w:bCs/>
        </w:rPr>
      </w:pPr>
      <w:r>
        <w:rPr>
          <w:rFonts w:hint="eastAsia"/>
          <w:bCs/>
        </w:rPr>
        <w:t>注册地址： 无锡市经济开发区高浪东路999号-8-B2-607</w:t>
      </w:r>
    </w:p>
    <w:p w14:paraId="487990EC">
      <w:pPr>
        <w:spacing w:line="360" w:lineRule="auto"/>
        <w:ind w:left="1133" w:hanging="1132" w:hangingChars="472"/>
        <w:rPr>
          <w:b/>
          <w:bCs/>
        </w:rPr>
      </w:pPr>
      <w:r>
        <w:rPr>
          <w:rFonts w:hint="eastAsia"/>
          <w:bCs/>
        </w:rPr>
        <w:t>法定代表人： 华贤平</w:t>
      </w:r>
    </w:p>
    <w:p w14:paraId="7AB995F5">
      <w:pPr>
        <w:spacing w:line="360" w:lineRule="auto"/>
        <w:rPr>
          <w:b/>
          <w:bCs/>
        </w:rPr>
      </w:pPr>
    </w:p>
    <w:p w14:paraId="3CBACB3F">
      <w:pPr>
        <w:spacing w:line="360" w:lineRule="auto"/>
        <w:rPr>
          <w:b/>
          <w:bCs/>
        </w:rPr>
      </w:pPr>
      <w:r>
        <w:rPr>
          <w:rFonts w:hint="eastAsia"/>
          <w:bCs/>
        </w:rPr>
        <w:t>鉴于：</w:t>
      </w:r>
    </w:p>
    <w:p w14:paraId="6513F14C">
      <w:pPr>
        <w:numPr>
          <w:ilvl w:val="0"/>
          <w:numId w:val="2"/>
        </w:numPr>
        <w:spacing w:line="360" w:lineRule="auto"/>
        <w:rPr>
          <w:b/>
          <w:bCs/>
        </w:rPr>
      </w:pPr>
      <w:r>
        <w:rPr>
          <w:rFonts w:hint="eastAsia"/>
          <w:bCs/>
        </w:rPr>
        <w:t>江苏天安智联科技股份有限公司</w:t>
      </w:r>
      <w:r>
        <w:rPr>
          <w:bCs/>
        </w:rPr>
        <w:t>（以下简称“甲方”</w:t>
      </w:r>
      <w:r>
        <w:rPr>
          <w:rFonts w:hint="eastAsia"/>
          <w:bCs/>
        </w:rPr>
        <w:t>或“发包人”</w:t>
      </w:r>
      <w:r>
        <w:rPr>
          <w:bCs/>
        </w:rPr>
        <w:t>）系一家依照中华人民共和国法律在中国境内依法设立并且有效存续的具有独立法人资格的公司。</w:t>
      </w:r>
    </w:p>
    <w:p w14:paraId="491CE067">
      <w:pPr>
        <w:numPr>
          <w:ilvl w:val="0"/>
          <w:numId w:val="2"/>
        </w:numPr>
        <w:spacing w:line="360" w:lineRule="auto"/>
        <w:rPr>
          <w:b/>
          <w:bCs/>
        </w:rPr>
      </w:pPr>
      <w:r>
        <w:rPr>
          <w:rFonts w:hint="eastAsia"/>
          <w:bCs/>
        </w:rPr>
        <w:t>无锡市车城智联科技有限公司</w:t>
      </w:r>
      <w:r>
        <w:rPr>
          <w:bCs/>
        </w:rPr>
        <w:t>（以下简称“乙方”</w:t>
      </w:r>
      <w:r>
        <w:rPr>
          <w:rFonts w:hint="eastAsia"/>
          <w:bCs/>
        </w:rPr>
        <w:t>或“承包人”</w:t>
      </w:r>
      <w:r>
        <w:rPr>
          <w:bCs/>
        </w:rPr>
        <w:t>）系一家依照中华人民共和国法律在中国境内依法设立并且有效存续的具有独立法人资格的公司</w:t>
      </w:r>
      <w:r>
        <w:rPr>
          <w:rFonts w:hint="eastAsia"/>
          <w:bCs/>
        </w:rPr>
        <w:t>。</w:t>
      </w:r>
    </w:p>
    <w:p w14:paraId="73D9A98E">
      <w:pPr>
        <w:numPr>
          <w:ilvl w:val="0"/>
          <w:numId w:val="2"/>
        </w:numPr>
        <w:spacing w:line="360" w:lineRule="auto"/>
        <w:rPr>
          <w:b/>
          <w:bCs/>
        </w:rPr>
      </w:pPr>
      <w:r>
        <w:rPr>
          <w:rFonts w:hint="eastAsia"/>
          <w:bCs/>
        </w:rPr>
        <w:t>甲方是项目最终用户或业主单位（以下简称“业主”）的车联网或“车路云一体化”项目（以下简称“项目”或“业主项目”）的中标单位或直接/间接供应商。本合同书中所有招标文件、投标文件、中标通知书、技术说明书等内容均指甲方、甲方直接或间接客户（以下简称“甲方客户”）参与业主项目的招投标活动中的所有文件中的相关内容。</w:t>
      </w:r>
    </w:p>
    <w:p w14:paraId="004A9A23">
      <w:pPr>
        <w:numPr>
          <w:ilvl w:val="0"/>
          <w:numId w:val="2"/>
        </w:numPr>
        <w:spacing w:line="360" w:lineRule="auto"/>
        <w:rPr>
          <w:b/>
          <w:bCs/>
        </w:rPr>
      </w:pPr>
      <w:r>
        <w:rPr>
          <w:rFonts w:hint="eastAsia"/>
          <w:bCs/>
        </w:rPr>
        <w:t>按照《中华人民共和国民法典》及其他相关法律、法规和规章的规定，遵循平等、自愿、公平和诚信的原则，经甲乙双方协商一致，就业主项目中相关采购事宜，达成以下合同条款：</w:t>
      </w:r>
    </w:p>
    <w:p w14:paraId="4907D342">
      <w:pPr>
        <w:pStyle w:val="101"/>
        <w:numPr>
          <w:ilvl w:val="0"/>
          <w:numId w:val="3"/>
        </w:numPr>
        <w:spacing w:line="360" w:lineRule="auto"/>
        <w:ind w:left="284" w:firstLineChars="0"/>
        <w:rPr>
          <w:rFonts w:ascii="宋体" w:hAnsi="宋体"/>
          <w:b w:val="0"/>
          <w:bCs/>
          <w:szCs w:val="28"/>
        </w:rPr>
      </w:pPr>
      <w:r>
        <w:rPr>
          <w:rFonts w:hint="eastAsia" w:ascii="宋体" w:hAnsi="宋体"/>
          <w:b w:val="0"/>
          <w:bCs/>
          <w:szCs w:val="28"/>
        </w:rPr>
        <w:t>项目概况</w:t>
      </w:r>
    </w:p>
    <w:p w14:paraId="4C405AB4">
      <w:pPr>
        <w:pStyle w:val="101"/>
        <w:numPr>
          <w:ilvl w:val="1"/>
          <w:numId w:val="3"/>
        </w:numPr>
        <w:spacing w:line="360" w:lineRule="auto"/>
        <w:ind w:left="567" w:firstLineChars="0"/>
        <w:rPr>
          <w:rFonts w:ascii="宋体" w:hAnsi="宋体"/>
          <w:b w:val="0"/>
          <w:bCs/>
          <w:sz w:val="24"/>
        </w:rPr>
      </w:pPr>
      <w:r>
        <w:rPr>
          <w:rFonts w:hint="eastAsia" w:ascii="宋体" w:hAnsi="宋体"/>
          <w:b w:val="0"/>
          <w:bCs/>
          <w:sz w:val="24"/>
          <w:szCs w:val="24"/>
        </w:rPr>
        <w:t>双方联系方式：</w:t>
      </w:r>
    </w:p>
    <w:p w14:paraId="5BE47771">
      <w:pPr>
        <w:spacing w:line="360" w:lineRule="auto"/>
        <w:ind w:firstLine="480" w:firstLineChars="200"/>
        <w:rPr>
          <w:rFonts w:cs="华文仿宋"/>
          <w:b/>
          <w:bCs/>
        </w:rPr>
      </w:pPr>
      <w:r>
        <w:rPr>
          <w:rFonts w:hint="eastAsia" w:cs="华文仿宋"/>
          <w:bCs/>
        </w:rPr>
        <w:t>甲方项目负责人（姓名联系方式）：</w:t>
      </w:r>
      <w:r>
        <w:rPr>
          <w:rFonts w:hint="eastAsia" w:cs="华文仿宋"/>
          <w:bCs/>
          <w:u w:val="single"/>
        </w:rPr>
        <w:t xml:space="preserve"> 洪涛，13771070999 </w:t>
      </w:r>
      <w:r>
        <w:rPr>
          <w:rFonts w:hint="eastAsia" w:cs="华文仿宋"/>
          <w:bCs/>
        </w:rPr>
        <w:t>；技术负责人（姓名联系方式）：</w:t>
      </w:r>
      <w:r>
        <w:rPr>
          <w:rFonts w:hint="eastAsia" w:cs="华文仿宋"/>
          <w:bCs/>
          <w:u w:val="single"/>
        </w:rPr>
        <w:t xml:space="preserve"> 洪涛，13771070999 </w:t>
      </w:r>
      <w:r>
        <w:rPr>
          <w:rFonts w:hint="eastAsia" w:cs="华文仿宋"/>
          <w:bCs/>
        </w:rPr>
        <w:t>。</w:t>
      </w:r>
    </w:p>
    <w:p w14:paraId="66C711E6">
      <w:pPr>
        <w:spacing w:line="360" w:lineRule="auto"/>
        <w:ind w:firstLine="480" w:firstLineChars="200"/>
        <w:rPr>
          <w:rFonts w:cs="华文仿宋"/>
          <w:b/>
          <w:bCs/>
          <w:color w:val="000000" w:themeColor="text1"/>
          <w14:textFill>
            <w14:solidFill>
              <w14:schemeClr w14:val="tx1"/>
            </w14:solidFill>
          </w14:textFill>
        </w:rPr>
      </w:pPr>
      <w:r>
        <w:rPr>
          <w:rFonts w:hint="eastAsia" w:cs="华文仿宋"/>
          <w:bCs/>
          <w:color w:val="000000" w:themeColor="text1"/>
          <w14:textFill>
            <w14:solidFill>
              <w14:schemeClr w14:val="tx1"/>
            </w14:solidFill>
          </w14:textFill>
        </w:rPr>
        <w:t>乙方项目负责人（姓名联系方式）：</w:t>
      </w:r>
      <w:r>
        <w:rPr>
          <w:rFonts w:hint="eastAsia" w:cs="华文仿宋"/>
          <w:bCs/>
          <w:color w:val="000000" w:themeColor="text1"/>
          <w:u w:val="single"/>
          <w14:textFill>
            <w14:solidFill>
              <w14:schemeClr w14:val="tx1"/>
            </w14:solidFill>
          </w14:textFill>
        </w:rPr>
        <w:t xml:space="preserve"> 陈秋  15995254759 </w:t>
      </w:r>
      <w:r>
        <w:rPr>
          <w:rFonts w:hint="eastAsia" w:cs="华文仿宋"/>
          <w:bCs/>
          <w:color w:val="000000" w:themeColor="text1"/>
          <w14:textFill>
            <w14:solidFill>
              <w14:schemeClr w14:val="tx1"/>
            </w14:solidFill>
          </w14:textFill>
        </w:rPr>
        <w:t>；技术负责人（姓名联系方式）：</w:t>
      </w:r>
      <w:r>
        <w:rPr>
          <w:rFonts w:hint="eastAsia" w:cs="华文仿宋"/>
          <w:bCs/>
          <w:color w:val="000000" w:themeColor="text1"/>
          <w:u w:val="single"/>
          <w14:textFill>
            <w14:solidFill>
              <w14:schemeClr w14:val="tx1"/>
            </w14:solidFill>
          </w14:textFill>
        </w:rPr>
        <w:t xml:space="preserve">  施经理15370208730             </w:t>
      </w:r>
      <w:r>
        <w:rPr>
          <w:rFonts w:hint="eastAsia" w:cs="华文仿宋"/>
          <w:bCs/>
          <w:color w:val="000000" w:themeColor="text1"/>
          <w14:textFill>
            <w14:solidFill>
              <w14:schemeClr w14:val="tx1"/>
            </w14:solidFill>
          </w14:textFill>
        </w:rPr>
        <w:t>。</w:t>
      </w:r>
    </w:p>
    <w:p w14:paraId="7E069B50">
      <w:pPr>
        <w:pStyle w:val="101"/>
        <w:numPr>
          <w:ilvl w:val="1"/>
          <w:numId w:val="3"/>
        </w:numPr>
        <w:spacing w:line="360" w:lineRule="auto"/>
        <w:ind w:left="567" w:firstLineChars="0"/>
        <w:rPr>
          <w:rFonts w:ascii="宋体" w:hAnsi="宋体"/>
          <w:b w:val="0"/>
          <w:bCs/>
          <w:sz w:val="24"/>
        </w:rPr>
      </w:pPr>
      <w:r>
        <w:rPr>
          <w:rFonts w:hint="eastAsia" w:ascii="宋体" w:hAnsi="宋体"/>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5E814871">
      <w:pPr>
        <w:pStyle w:val="101"/>
        <w:numPr>
          <w:ilvl w:val="1"/>
          <w:numId w:val="3"/>
        </w:numPr>
        <w:spacing w:line="360" w:lineRule="auto"/>
        <w:ind w:left="567" w:firstLineChars="0"/>
        <w:rPr>
          <w:rFonts w:ascii="宋体" w:hAnsi="宋体"/>
          <w:b w:val="0"/>
          <w:bCs/>
          <w:sz w:val="24"/>
        </w:rPr>
      </w:pPr>
      <w:r>
        <w:rPr>
          <w:rFonts w:hint="eastAsia" w:ascii="宋体" w:hAnsi="宋体"/>
          <w:b w:val="0"/>
          <w:bCs/>
          <w:sz w:val="24"/>
          <w:szCs w:val="24"/>
        </w:rPr>
        <w:t>本项目质保期：五年，自最终验收合格且交付使用之日起计算。</w:t>
      </w:r>
    </w:p>
    <w:p w14:paraId="20C504F9">
      <w:pPr>
        <w:pStyle w:val="101"/>
        <w:numPr>
          <w:ilvl w:val="1"/>
          <w:numId w:val="3"/>
        </w:numPr>
        <w:spacing w:line="360" w:lineRule="auto"/>
        <w:ind w:left="567" w:firstLineChars="0"/>
        <w:rPr>
          <w:rFonts w:ascii="宋体" w:hAnsi="宋体"/>
          <w:b w:val="0"/>
          <w:bCs/>
          <w:sz w:val="24"/>
        </w:rPr>
      </w:pPr>
      <w:r>
        <w:rPr>
          <w:rFonts w:hint="eastAsia" w:ascii="宋体" w:hAnsi="宋体"/>
          <w:b w:val="0"/>
          <w:bCs/>
          <w:sz w:val="24"/>
          <w:szCs w:val="24"/>
        </w:rPr>
        <w:t>下列文件为本合同不可分割部分：</w:t>
      </w:r>
    </w:p>
    <w:p w14:paraId="415C89D7">
      <w:pPr>
        <w:pStyle w:val="31"/>
        <w:adjustRightInd w:val="0"/>
        <w:snapToGrid w:val="0"/>
        <w:ind w:firstLine="240" w:firstLineChars="100"/>
        <w:rPr>
          <w:rFonts w:ascii="宋体" w:hAnsi="宋体"/>
        </w:rPr>
      </w:pPr>
      <w:r>
        <w:rPr>
          <w:rFonts w:hint="eastAsia" w:ascii="宋体" w:hAnsi="宋体"/>
        </w:rPr>
        <w:t>（1）本合同及本合同签署后甲方、乙方、业主方以书面形式确认的补充协议、会议纪要等；</w:t>
      </w:r>
    </w:p>
    <w:p w14:paraId="1620DE97">
      <w:pPr>
        <w:pStyle w:val="31"/>
        <w:adjustRightInd w:val="0"/>
        <w:snapToGrid w:val="0"/>
        <w:ind w:firstLine="240" w:firstLineChars="100"/>
        <w:rPr>
          <w:rFonts w:ascii="宋体" w:hAnsi="宋体"/>
        </w:rPr>
      </w:pPr>
      <w:r>
        <w:rPr>
          <w:rFonts w:hint="eastAsia" w:ascii="宋体" w:hAnsi="宋体"/>
        </w:rPr>
        <w:t>（2）乙方在比选过程中所作的其他承诺、声明、书面澄清等；</w:t>
      </w:r>
    </w:p>
    <w:p w14:paraId="06080666">
      <w:pPr>
        <w:pStyle w:val="31"/>
        <w:adjustRightInd w:val="0"/>
        <w:snapToGrid w:val="0"/>
        <w:ind w:firstLine="240" w:firstLineChars="100"/>
        <w:rPr>
          <w:rFonts w:ascii="宋体" w:hAnsi="宋体"/>
        </w:rPr>
      </w:pPr>
      <w:r>
        <w:rPr>
          <w:rFonts w:hint="eastAsia" w:ascii="宋体" w:hAnsi="宋体"/>
        </w:rPr>
        <w:t>（3）其他合同附件。</w:t>
      </w:r>
    </w:p>
    <w:p w14:paraId="7CEA2BBA">
      <w:pPr>
        <w:pStyle w:val="31"/>
        <w:adjustRightInd w:val="0"/>
        <w:snapToGrid w:val="0"/>
        <w:ind w:firstLine="0" w:firstLineChars="0"/>
        <w:rPr>
          <w:rFonts w:ascii="宋体" w:hAnsi="宋体"/>
        </w:rPr>
      </w:pPr>
      <w:r>
        <w:rPr>
          <w:rFonts w:hint="eastAsia" w:ascii="宋体" w:hAnsi="宋体"/>
        </w:rPr>
        <w:t>上述文件之间有冲突的，以排列序位在前的文件为准，同一序位的文件以形成时间在后的为准。</w:t>
      </w:r>
    </w:p>
    <w:p w14:paraId="3E9C7302">
      <w:pPr>
        <w:pStyle w:val="101"/>
        <w:numPr>
          <w:ilvl w:val="0"/>
          <w:numId w:val="3"/>
        </w:numPr>
        <w:spacing w:line="360" w:lineRule="auto"/>
        <w:ind w:left="284" w:firstLineChars="0"/>
        <w:rPr>
          <w:rFonts w:ascii="宋体" w:cs="华文仿宋"/>
          <w:b w:val="0"/>
          <w:bCs/>
          <w:szCs w:val="28"/>
        </w:rPr>
      </w:pPr>
      <w:r>
        <w:rPr>
          <w:rFonts w:hint="eastAsia" w:ascii="宋体" w:cs="华文仿宋"/>
          <w:b w:val="0"/>
          <w:bCs/>
          <w:szCs w:val="28"/>
        </w:rPr>
        <w:t xml:space="preserve">合同价款及支付 </w:t>
      </w:r>
    </w:p>
    <w:p w14:paraId="12F4F7E9">
      <w:pPr>
        <w:pStyle w:val="101"/>
        <w:numPr>
          <w:ilvl w:val="1"/>
          <w:numId w:val="3"/>
        </w:numPr>
        <w:spacing w:line="360" w:lineRule="auto"/>
        <w:ind w:left="709" w:firstLineChars="0"/>
        <w:rPr>
          <w:rFonts w:ascii="宋体" w:cs="华文仿宋"/>
          <w:b w:val="0"/>
          <w:bCs/>
          <w:sz w:val="24"/>
          <w:szCs w:val="24"/>
        </w:rPr>
      </w:pPr>
      <w:r>
        <w:rPr>
          <w:rFonts w:hint="eastAsia" w:ascii="宋体" w:hAnsi="宋体"/>
          <w:b w:val="0"/>
          <w:bCs/>
          <w:sz w:val="24"/>
        </w:rPr>
        <w:t>合同总价款:</w:t>
      </w:r>
    </w:p>
    <w:p w14:paraId="5AD75380">
      <w:pPr>
        <w:adjustRightInd w:val="0"/>
        <w:spacing w:line="360" w:lineRule="auto"/>
        <w:ind w:firstLine="480" w:firstLineChars="200"/>
        <w:textAlignment w:val="baseline"/>
        <w:rPr>
          <w:bCs/>
        </w:rPr>
      </w:pPr>
      <w:r>
        <w:rPr>
          <w:rFonts w:hint="eastAsia"/>
          <w:bCs/>
        </w:rPr>
        <w:t>经甲乙双方商定，本合同项目暂定总价款为：</w:t>
      </w:r>
      <w:r>
        <w:rPr>
          <w:rFonts w:hint="eastAsia"/>
          <w:bCs/>
          <w:u w:val="single"/>
        </w:rPr>
        <w:t>￥1</w:t>
      </w:r>
      <w:r>
        <w:rPr>
          <w:bCs/>
          <w:u w:val="single"/>
        </w:rPr>
        <w:t>,990,000</w:t>
      </w:r>
      <w:r>
        <w:rPr>
          <w:rFonts w:hint="eastAsia"/>
          <w:bCs/>
          <w:u w:val="single"/>
        </w:rPr>
        <w:t>.00</w:t>
      </w:r>
      <w:r>
        <w:rPr>
          <w:rFonts w:hint="eastAsia"/>
          <w:bCs/>
        </w:rPr>
        <w:t>元人民币（大写：</w:t>
      </w:r>
      <w:r>
        <w:rPr>
          <w:rFonts w:hint="eastAsia"/>
          <w:bCs/>
          <w:u w:val="single"/>
        </w:rPr>
        <w:t>人民币壹佰玖拾玖万元整</w:t>
      </w:r>
      <w:r>
        <w:rPr>
          <w:rFonts w:hint="eastAsia"/>
          <w:bCs/>
        </w:rPr>
        <w:t>）。本合同金额为含税价。本合同总价款以经业主指定的第三方审计机构审定后的结算价格为准。</w:t>
      </w:r>
    </w:p>
    <w:tbl>
      <w:tblPr>
        <w:tblStyle w:val="18"/>
        <w:tblW w:w="9067" w:type="dxa"/>
        <w:tblInd w:w="0" w:type="dxa"/>
        <w:tblLayout w:type="autofit"/>
        <w:tblCellMar>
          <w:top w:w="0" w:type="dxa"/>
          <w:left w:w="108" w:type="dxa"/>
          <w:bottom w:w="0" w:type="dxa"/>
          <w:right w:w="108" w:type="dxa"/>
        </w:tblCellMar>
      </w:tblPr>
      <w:tblGrid>
        <w:gridCol w:w="540"/>
        <w:gridCol w:w="1156"/>
        <w:gridCol w:w="1418"/>
        <w:gridCol w:w="992"/>
        <w:gridCol w:w="851"/>
        <w:gridCol w:w="708"/>
        <w:gridCol w:w="1276"/>
        <w:gridCol w:w="1559"/>
        <w:gridCol w:w="567"/>
      </w:tblGrid>
      <w:tr w14:paraId="433BF57C">
        <w:tblPrEx>
          <w:tblCellMar>
            <w:top w:w="0" w:type="dxa"/>
            <w:left w:w="108" w:type="dxa"/>
            <w:bottom w:w="0" w:type="dxa"/>
            <w:right w:w="108" w:type="dxa"/>
          </w:tblCellMar>
        </w:tblPrEx>
        <w:trPr>
          <w:trHeight w:val="900" w:hRule="atLeast"/>
        </w:trPr>
        <w:tc>
          <w:tcPr>
            <w:tcW w:w="540" w:type="dxa"/>
            <w:tcBorders>
              <w:top w:val="single" w:color="auto" w:sz="4" w:space="0"/>
              <w:left w:val="single" w:color="auto" w:sz="4" w:space="0"/>
              <w:bottom w:val="single" w:color="auto" w:sz="4" w:space="0"/>
              <w:right w:val="single" w:color="auto" w:sz="4" w:space="0"/>
            </w:tcBorders>
            <w:shd w:val="clear" w:color="000000" w:fill="C0E6F5"/>
            <w:noWrap/>
            <w:vAlign w:val="center"/>
          </w:tcPr>
          <w:p w14:paraId="5E4B6690">
            <w:pPr>
              <w:jc w:val="center"/>
              <w:rPr>
                <w:b/>
                <w:bCs/>
                <w:color w:val="000000"/>
                <w:sz w:val="20"/>
                <w:szCs w:val="20"/>
              </w:rPr>
            </w:pPr>
            <w:r>
              <w:rPr>
                <w:rFonts w:hint="eastAsia"/>
                <w:b/>
                <w:bCs/>
                <w:color w:val="000000"/>
                <w:sz w:val="20"/>
                <w:szCs w:val="20"/>
              </w:rPr>
              <w:t>序号</w:t>
            </w:r>
          </w:p>
        </w:tc>
        <w:tc>
          <w:tcPr>
            <w:tcW w:w="1156" w:type="dxa"/>
            <w:tcBorders>
              <w:top w:val="single" w:color="auto" w:sz="4" w:space="0"/>
              <w:left w:val="nil"/>
              <w:bottom w:val="single" w:color="auto" w:sz="4" w:space="0"/>
              <w:right w:val="single" w:color="auto" w:sz="4" w:space="0"/>
            </w:tcBorders>
            <w:shd w:val="clear" w:color="000000" w:fill="C0E6F5"/>
            <w:noWrap/>
            <w:vAlign w:val="center"/>
          </w:tcPr>
          <w:p w14:paraId="0DAA7F3A">
            <w:pPr>
              <w:jc w:val="center"/>
              <w:rPr>
                <w:rFonts w:hint="eastAsia"/>
                <w:b/>
                <w:bCs/>
                <w:color w:val="000000"/>
                <w:sz w:val="20"/>
                <w:szCs w:val="20"/>
              </w:rPr>
            </w:pPr>
            <w:r>
              <w:rPr>
                <w:rFonts w:hint="eastAsia"/>
                <w:b/>
                <w:bCs/>
                <w:color w:val="000000"/>
                <w:sz w:val="20"/>
                <w:szCs w:val="20"/>
              </w:rPr>
              <w:t>分项名称</w:t>
            </w:r>
          </w:p>
        </w:tc>
        <w:tc>
          <w:tcPr>
            <w:tcW w:w="1418" w:type="dxa"/>
            <w:tcBorders>
              <w:top w:val="single" w:color="auto" w:sz="4" w:space="0"/>
              <w:left w:val="nil"/>
              <w:bottom w:val="single" w:color="auto" w:sz="4" w:space="0"/>
              <w:right w:val="single" w:color="auto" w:sz="4" w:space="0"/>
            </w:tcBorders>
            <w:shd w:val="clear" w:color="000000" w:fill="C0E6F5"/>
            <w:noWrap/>
            <w:vAlign w:val="center"/>
          </w:tcPr>
          <w:p w14:paraId="60DF9089">
            <w:pPr>
              <w:jc w:val="center"/>
              <w:rPr>
                <w:rFonts w:hint="eastAsia"/>
                <w:b/>
                <w:bCs/>
                <w:color w:val="000000"/>
                <w:sz w:val="20"/>
                <w:szCs w:val="20"/>
              </w:rPr>
            </w:pPr>
            <w:r>
              <w:rPr>
                <w:rFonts w:hint="eastAsia"/>
                <w:b/>
                <w:bCs/>
                <w:color w:val="000000"/>
                <w:sz w:val="20"/>
                <w:szCs w:val="20"/>
              </w:rPr>
              <w:t>性能指标参数</w:t>
            </w:r>
          </w:p>
        </w:tc>
        <w:tc>
          <w:tcPr>
            <w:tcW w:w="992" w:type="dxa"/>
            <w:tcBorders>
              <w:top w:val="single" w:color="auto" w:sz="4" w:space="0"/>
              <w:left w:val="nil"/>
              <w:bottom w:val="single" w:color="auto" w:sz="4" w:space="0"/>
              <w:right w:val="single" w:color="auto" w:sz="4" w:space="0"/>
            </w:tcBorders>
            <w:shd w:val="clear" w:color="000000" w:fill="C0E6F5"/>
            <w:noWrap/>
            <w:vAlign w:val="center"/>
          </w:tcPr>
          <w:p w14:paraId="7BB8C802">
            <w:pPr>
              <w:jc w:val="center"/>
              <w:rPr>
                <w:rFonts w:hint="eastAsia"/>
                <w:b/>
                <w:bCs/>
                <w:color w:val="000000"/>
                <w:sz w:val="20"/>
                <w:szCs w:val="20"/>
              </w:rPr>
            </w:pPr>
            <w:r>
              <w:rPr>
                <w:rFonts w:hint="eastAsia"/>
                <w:b/>
                <w:bCs/>
                <w:color w:val="000000"/>
                <w:sz w:val="20"/>
                <w:szCs w:val="20"/>
              </w:rPr>
              <w:t>品牌及型号</w:t>
            </w:r>
          </w:p>
        </w:tc>
        <w:tc>
          <w:tcPr>
            <w:tcW w:w="851" w:type="dxa"/>
            <w:tcBorders>
              <w:top w:val="single" w:color="auto" w:sz="4" w:space="0"/>
              <w:left w:val="nil"/>
              <w:bottom w:val="single" w:color="auto" w:sz="4" w:space="0"/>
              <w:right w:val="single" w:color="auto" w:sz="4" w:space="0"/>
            </w:tcBorders>
            <w:shd w:val="clear" w:color="000000" w:fill="C0E6F5"/>
            <w:noWrap/>
            <w:vAlign w:val="center"/>
          </w:tcPr>
          <w:p w14:paraId="3099D9BE">
            <w:pPr>
              <w:jc w:val="center"/>
              <w:rPr>
                <w:rFonts w:hint="eastAsia"/>
                <w:b/>
                <w:bCs/>
                <w:color w:val="000000"/>
                <w:sz w:val="20"/>
                <w:szCs w:val="20"/>
              </w:rPr>
            </w:pPr>
            <w:r>
              <w:rPr>
                <w:rFonts w:hint="eastAsia"/>
                <w:b/>
                <w:bCs/>
                <w:color w:val="000000"/>
                <w:sz w:val="20"/>
                <w:szCs w:val="20"/>
              </w:rPr>
              <w:t>单位</w:t>
            </w:r>
          </w:p>
        </w:tc>
        <w:tc>
          <w:tcPr>
            <w:tcW w:w="708" w:type="dxa"/>
            <w:tcBorders>
              <w:top w:val="single" w:color="auto" w:sz="4" w:space="0"/>
              <w:left w:val="nil"/>
              <w:bottom w:val="single" w:color="auto" w:sz="4" w:space="0"/>
              <w:right w:val="single" w:color="auto" w:sz="4" w:space="0"/>
            </w:tcBorders>
            <w:shd w:val="clear" w:color="000000" w:fill="C0E6F5"/>
            <w:noWrap/>
            <w:vAlign w:val="center"/>
          </w:tcPr>
          <w:p w14:paraId="19432039">
            <w:pPr>
              <w:jc w:val="center"/>
              <w:rPr>
                <w:rFonts w:hint="eastAsia"/>
                <w:b/>
                <w:bCs/>
                <w:color w:val="000000"/>
                <w:sz w:val="20"/>
                <w:szCs w:val="20"/>
              </w:rPr>
            </w:pPr>
            <w:r>
              <w:rPr>
                <w:rFonts w:hint="eastAsia"/>
                <w:b/>
                <w:bCs/>
                <w:color w:val="000000"/>
                <w:sz w:val="20"/>
                <w:szCs w:val="20"/>
              </w:rPr>
              <w:t>数量</w:t>
            </w:r>
          </w:p>
        </w:tc>
        <w:tc>
          <w:tcPr>
            <w:tcW w:w="1276" w:type="dxa"/>
            <w:tcBorders>
              <w:top w:val="single" w:color="auto" w:sz="4" w:space="0"/>
              <w:left w:val="nil"/>
              <w:bottom w:val="single" w:color="auto" w:sz="4" w:space="0"/>
              <w:right w:val="single" w:color="auto" w:sz="4" w:space="0"/>
            </w:tcBorders>
            <w:shd w:val="clear" w:color="000000" w:fill="C0E6F5"/>
            <w:noWrap/>
            <w:vAlign w:val="center"/>
          </w:tcPr>
          <w:p w14:paraId="3F37E826">
            <w:pPr>
              <w:jc w:val="center"/>
              <w:rPr>
                <w:rFonts w:hint="eastAsia"/>
                <w:b/>
                <w:bCs/>
                <w:color w:val="000000"/>
                <w:sz w:val="20"/>
                <w:szCs w:val="20"/>
              </w:rPr>
            </w:pPr>
            <w:r>
              <w:rPr>
                <w:rFonts w:hint="eastAsia"/>
                <w:b/>
                <w:bCs/>
                <w:color w:val="000000"/>
                <w:sz w:val="20"/>
                <w:szCs w:val="20"/>
              </w:rPr>
              <w:t>单价（元）</w:t>
            </w:r>
          </w:p>
        </w:tc>
        <w:tc>
          <w:tcPr>
            <w:tcW w:w="1559" w:type="dxa"/>
            <w:tcBorders>
              <w:top w:val="single" w:color="auto" w:sz="4" w:space="0"/>
              <w:left w:val="nil"/>
              <w:bottom w:val="single" w:color="auto" w:sz="4" w:space="0"/>
              <w:right w:val="single" w:color="auto" w:sz="4" w:space="0"/>
            </w:tcBorders>
            <w:shd w:val="clear" w:color="000000" w:fill="C0E6F5"/>
            <w:noWrap/>
            <w:vAlign w:val="center"/>
          </w:tcPr>
          <w:p w14:paraId="5ED1D18B">
            <w:pPr>
              <w:jc w:val="center"/>
              <w:rPr>
                <w:rFonts w:hint="eastAsia"/>
                <w:b/>
                <w:bCs/>
                <w:color w:val="000000"/>
                <w:sz w:val="20"/>
                <w:szCs w:val="20"/>
              </w:rPr>
            </w:pPr>
            <w:r>
              <w:rPr>
                <w:rFonts w:hint="eastAsia"/>
                <w:b/>
                <w:bCs/>
                <w:color w:val="000000"/>
                <w:sz w:val="20"/>
                <w:szCs w:val="20"/>
              </w:rPr>
              <w:t>金额（元）</w:t>
            </w:r>
          </w:p>
        </w:tc>
        <w:tc>
          <w:tcPr>
            <w:tcW w:w="567" w:type="dxa"/>
            <w:tcBorders>
              <w:top w:val="single" w:color="auto" w:sz="4" w:space="0"/>
              <w:left w:val="nil"/>
              <w:bottom w:val="single" w:color="auto" w:sz="4" w:space="0"/>
              <w:right w:val="single" w:color="auto" w:sz="4" w:space="0"/>
            </w:tcBorders>
            <w:shd w:val="clear" w:color="000000" w:fill="C0E6F5"/>
            <w:noWrap/>
            <w:vAlign w:val="center"/>
          </w:tcPr>
          <w:p w14:paraId="3260B63C">
            <w:pPr>
              <w:jc w:val="center"/>
              <w:rPr>
                <w:rFonts w:hint="eastAsia"/>
                <w:b/>
                <w:bCs/>
                <w:color w:val="000000"/>
                <w:sz w:val="20"/>
                <w:szCs w:val="20"/>
              </w:rPr>
            </w:pPr>
            <w:r>
              <w:rPr>
                <w:rFonts w:hint="eastAsia"/>
                <w:b/>
                <w:bCs/>
                <w:color w:val="000000"/>
                <w:sz w:val="20"/>
                <w:szCs w:val="20"/>
              </w:rPr>
              <w:t>税点</w:t>
            </w:r>
          </w:p>
        </w:tc>
      </w:tr>
      <w:tr w14:paraId="541B62C0">
        <w:tblPrEx>
          <w:tblCellMar>
            <w:top w:w="0" w:type="dxa"/>
            <w:left w:w="108" w:type="dxa"/>
            <w:bottom w:w="0" w:type="dxa"/>
            <w:right w:w="108" w:type="dxa"/>
          </w:tblCellMar>
        </w:tblPrEx>
        <w:trPr>
          <w:trHeight w:val="900" w:hRule="atLeast"/>
        </w:trPr>
        <w:tc>
          <w:tcPr>
            <w:tcW w:w="540" w:type="dxa"/>
            <w:tcBorders>
              <w:top w:val="single" w:color="auto" w:sz="4" w:space="0"/>
              <w:left w:val="single" w:color="auto" w:sz="4" w:space="0"/>
              <w:bottom w:val="single" w:color="auto" w:sz="4" w:space="0"/>
              <w:right w:val="single" w:color="auto" w:sz="4" w:space="0"/>
            </w:tcBorders>
            <w:shd w:val="clear" w:color="000000" w:fill="C0E6F5"/>
            <w:noWrap/>
            <w:vAlign w:val="center"/>
          </w:tcPr>
          <w:p w14:paraId="10A16A72">
            <w:pPr>
              <w:jc w:val="center"/>
              <w:rPr>
                <w:b/>
                <w:bCs/>
                <w:color w:val="000000"/>
                <w:sz w:val="20"/>
                <w:szCs w:val="20"/>
              </w:rPr>
            </w:pPr>
            <w:r>
              <w:rPr>
                <w:rFonts w:hint="eastAsia"/>
                <w:b/>
                <w:bCs/>
                <w:color w:val="000000"/>
                <w:sz w:val="20"/>
                <w:szCs w:val="20"/>
              </w:rPr>
              <w:t>1</w:t>
            </w:r>
          </w:p>
        </w:tc>
        <w:tc>
          <w:tcPr>
            <w:tcW w:w="1156" w:type="dxa"/>
            <w:tcBorders>
              <w:top w:val="single" w:color="auto" w:sz="4" w:space="0"/>
              <w:left w:val="nil"/>
              <w:bottom w:val="single" w:color="auto" w:sz="4" w:space="0"/>
              <w:right w:val="single" w:color="auto" w:sz="4" w:space="0"/>
            </w:tcBorders>
            <w:shd w:val="clear" w:color="000000" w:fill="C0E6F5"/>
            <w:noWrap/>
            <w:vAlign w:val="center"/>
          </w:tcPr>
          <w:p w14:paraId="1B7D46B2">
            <w:pPr>
              <w:jc w:val="center"/>
              <w:rPr>
                <w:rFonts w:hint="eastAsia"/>
                <w:b/>
                <w:bCs/>
                <w:color w:val="000000"/>
                <w:sz w:val="20"/>
                <w:szCs w:val="20"/>
              </w:rPr>
            </w:pPr>
            <w:r>
              <w:rPr>
                <w:rFonts w:hint="eastAsia"/>
                <w:b/>
                <w:bCs/>
                <w:color w:val="000000"/>
                <w:sz w:val="20"/>
                <w:szCs w:val="20"/>
              </w:rPr>
              <w:t>低速无人物流车</w:t>
            </w:r>
          </w:p>
        </w:tc>
        <w:tc>
          <w:tcPr>
            <w:tcW w:w="1418" w:type="dxa"/>
            <w:tcBorders>
              <w:top w:val="single" w:color="auto" w:sz="4" w:space="0"/>
              <w:left w:val="nil"/>
              <w:bottom w:val="single" w:color="auto" w:sz="4" w:space="0"/>
              <w:right w:val="single" w:color="auto" w:sz="4" w:space="0"/>
            </w:tcBorders>
            <w:shd w:val="clear" w:color="000000" w:fill="C0E6F5"/>
            <w:noWrap/>
            <w:vAlign w:val="center"/>
          </w:tcPr>
          <w:p w14:paraId="300DE5BE">
            <w:pPr>
              <w:jc w:val="center"/>
              <w:rPr>
                <w:rFonts w:hint="eastAsia"/>
                <w:b/>
                <w:bCs/>
                <w:color w:val="000000"/>
                <w:sz w:val="20"/>
                <w:szCs w:val="20"/>
              </w:rPr>
            </w:pPr>
            <w:r>
              <w:rPr>
                <w:rFonts w:hint="eastAsia"/>
                <w:b/>
                <w:bCs/>
                <w:color w:val="000000"/>
                <w:sz w:val="20"/>
                <w:szCs w:val="20"/>
              </w:rPr>
              <w:t>自动驾驶无人物流车</w:t>
            </w:r>
          </w:p>
        </w:tc>
        <w:tc>
          <w:tcPr>
            <w:tcW w:w="992" w:type="dxa"/>
            <w:tcBorders>
              <w:top w:val="single" w:color="auto" w:sz="4" w:space="0"/>
              <w:left w:val="nil"/>
              <w:bottom w:val="single" w:color="auto" w:sz="4" w:space="0"/>
              <w:right w:val="single" w:color="auto" w:sz="4" w:space="0"/>
            </w:tcBorders>
            <w:shd w:val="clear" w:color="000000" w:fill="C0E6F5"/>
            <w:noWrap/>
            <w:vAlign w:val="center"/>
          </w:tcPr>
          <w:p w14:paraId="20338404">
            <w:pPr>
              <w:jc w:val="center"/>
              <w:rPr>
                <w:rFonts w:hint="eastAsia"/>
                <w:b/>
                <w:bCs/>
                <w:color w:val="000000"/>
                <w:sz w:val="20"/>
                <w:szCs w:val="20"/>
              </w:rPr>
            </w:pPr>
            <w:r>
              <w:rPr>
                <w:rFonts w:hint="eastAsia"/>
                <w:b/>
                <w:bCs/>
                <w:color w:val="000000"/>
                <w:sz w:val="20"/>
                <w:szCs w:val="20"/>
              </w:rPr>
              <w:t>国产、定制</w:t>
            </w:r>
          </w:p>
        </w:tc>
        <w:tc>
          <w:tcPr>
            <w:tcW w:w="851" w:type="dxa"/>
            <w:tcBorders>
              <w:top w:val="single" w:color="auto" w:sz="4" w:space="0"/>
              <w:left w:val="nil"/>
              <w:bottom w:val="single" w:color="auto" w:sz="4" w:space="0"/>
              <w:right w:val="single" w:color="auto" w:sz="4" w:space="0"/>
            </w:tcBorders>
            <w:shd w:val="clear" w:color="000000" w:fill="C0E6F5"/>
            <w:noWrap/>
            <w:vAlign w:val="center"/>
          </w:tcPr>
          <w:p w14:paraId="3611122D">
            <w:pPr>
              <w:jc w:val="center"/>
              <w:rPr>
                <w:rFonts w:hint="eastAsia"/>
                <w:b/>
                <w:bCs/>
                <w:color w:val="000000"/>
                <w:sz w:val="20"/>
                <w:szCs w:val="20"/>
              </w:rPr>
            </w:pPr>
            <w:r>
              <w:rPr>
                <w:rFonts w:hint="eastAsia"/>
                <w:b/>
                <w:bCs/>
                <w:color w:val="000000"/>
                <w:sz w:val="20"/>
                <w:szCs w:val="20"/>
              </w:rPr>
              <w:t>辆</w:t>
            </w:r>
          </w:p>
        </w:tc>
        <w:tc>
          <w:tcPr>
            <w:tcW w:w="708" w:type="dxa"/>
            <w:tcBorders>
              <w:top w:val="single" w:color="auto" w:sz="4" w:space="0"/>
              <w:left w:val="nil"/>
              <w:bottom w:val="single" w:color="auto" w:sz="4" w:space="0"/>
              <w:right w:val="single" w:color="auto" w:sz="4" w:space="0"/>
            </w:tcBorders>
            <w:shd w:val="clear" w:color="000000" w:fill="C0E6F5"/>
            <w:noWrap/>
            <w:vAlign w:val="center"/>
          </w:tcPr>
          <w:p w14:paraId="47F31766">
            <w:pPr>
              <w:jc w:val="center"/>
              <w:rPr>
                <w:rFonts w:hint="eastAsia"/>
                <w:b/>
                <w:bCs/>
                <w:color w:val="000000"/>
                <w:sz w:val="20"/>
                <w:szCs w:val="20"/>
              </w:rPr>
            </w:pPr>
            <w:r>
              <w:rPr>
                <w:rFonts w:hint="eastAsia"/>
                <w:b/>
                <w:bCs/>
                <w:color w:val="000000"/>
                <w:sz w:val="20"/>
                <w:szCs w:val="20"/>
              </w:rPr>
              <w:t>50</w:t>
            </w:r>
          </w:p>
        </w:tc>
        <w:tc>
          <w:tcPr>
            <w:tcW w:w="1276" w:type="dxa"/>
            <w:tcBorders>
              <w:top w:val="single" w:color="auto" w:sz="4" w:space="0"/>
              <w:left w:val="nil"/>
              <w:bottom w:val="single" w:color="auto" w:sz="4" w:space="0"/>
              <w:right w:val="single" w:color="auto" w:sz="4" w:space="0"/>
            </w:tcBorders>
            <w:shd w:val="clear" w:color="000000" w:fill="C0E6F5"/>
            <w:noWrap/>
            <w:vAlign w:val="center"/>
          </w:tcPr>
          <w:p w14:paraId="53D56FBB">
            <w:pPr>
              <w:jc w:val="center"/>
              <w:rPr>
                <w:rFonts w:hint="eastAsia"/>
                <w:b/>
                <w:bCs/>
                <w:color w:val="000000"/>
                <w:sz w:val="20"/>
                <w:szCs w:val="20"/>
              </w:rPr>
            </w:pPr>
            <w:r>
              <w:rPr>
                <w:rFonts w:hint="eastAsia"/>
                <w:b/>
                <w:bCs/>
                <w:color w:val="000000"/>
                <w:sz w:val="20"/>
                <w:szCs w:val="20"/>
              </w:rPr>
              <w:t>39,800</w:t>
            </w:r>
          </w:p>
        </w:tc>
        <w:tc>
          <w:tcPr>
            <w:tcW w:w="1559" w:type="dxa"/>
            <w:tcBorders>
              <w:top w:val="single" w:color="auto" w:sz="4" w:space="0"/>
              <w:left w:val="nil"/>
              <w:bottom w:val="single" w:color="auto" w:sz="4" w:space="0"/>
              <w:right w:val="single" w:color="auto" w:sz="4" w:space="0"/>
            </w:tcBorders>
            <w:shd w:val="clear" w:color="000000" w:fill="C0E6F5"/>
            <w:noWrap/>
            <w:vAlign w:val="center"/>
          </w:tcPr>
          <w:p w14:paraId="3E2C444E">
            <w:pPr>
              <w:jc w:val="center"/>
              <w:rPr>
                <w:rFonts w:hint="eastAsia"/>
                <w:b/>
                <w:bCs/>
                <w:color w:val="000000"/>
                <w:sz w:val="20"/>
                <w:szCs w:val="20"/>
              </w:rPr>
            </w:pPr>
            <w:r>
              <w:rPr>
                <w:rFonts w:hint="eastAsia"/>
                <w:b/>
                <w:bCs/>
                <w:color w:val="000000"/>
                <w:sz w:val="20"/>
                <w:szCs w:val="20"/>
              </w:rPr>
              <w:t>1,990,000</w:t>
            </w:r>
          </w:p>
        </w:tc>
        <w:tc>
          <w:tcPr>
            <w:tcW w:w="567" w:type="dxa"/>
            <w:tcBorders>
              <w:top w:val="single" w:color="auto" w:sz="4" w:space="0"/>
              <w:left w:val="nil"/>
              <w:bottom w:val="single" w:color="auto" w:sz="4" w:space="0"/>
              <w:right w:val="single" w:color="auto" w:sz="4" w:space="0"/>
            </w:tcBorders>
            <w:shd w:val="clear" w:color="000000" w:fill="C0E6F5"/>
            <w:noWrap/>
            <w:vAlign w:val="center"/>
          </w:tcPr>
          <w:p w14:paraId="43454957">
            <w:pPr>
              <w:jc w:val="center"/>
              <w:rPr>
                <w:rFonts w:hint="eastAsia"/>
                <w:b/>
                <w:bCs/>
                <w:color w:val="000000"/>
                <w:sz w:val="20"/>
                <w:szCs w:val="20"/>
              </w:rPr>
            </w:pPr>
            <w:r>
              <w:rPr>
                <w:rFonts w:hint="eastAsia"/>
                <w:b/>
                <w:bCs/>
                <w:color w:val="000000"/>
                <w:sz w:val="20"/>
                <w:szCs w:val="20"/>
              </w:rPr>
              <w:t>13%</w:t>
            </w:r>
          </w:p>
        </w:tc>
      </w:tr>
    </w:tbl>
    <w:p w14:paraId="6844D3C7">
      <w:pPr>
        <w:adjustRightInd w:val="0"/>
        <w:spacing w:line="360" w:lineRule="auto"/>
        <w:textAlignment w:val="baseline"/>
        <w:rPr>
          <w:rFonts w:hint="eastAsia"/>
          <w:b/>
          <w:bCs/>
        </w:rPr>
      </w:pPr>
    </w:p>
    <w:p w14:paraId="4D310909">
      <w:pPr>
        <w:pStyle w:val="101"/>
        <w:numPr>
          <w:ilvl w:val="2"/>
          <w:numId w:val="3"/>
        </w:numPr>
        <w:spacing w:line="360" w:lineRule="auto"/>
        <w:ind w:left="709" w:firstLineChars="0"/>
        <w:rPr>
          <w:rFonts w:ascii="宋体" w:cs="华文仿宋"/>
          <w:b w:val="0"/>
          <w:bCs/>
          <w:sz w:val="24"/>
          <w:szCs w:val="24"/>
        </w:rPr>
      </w:pPr>
      <w:r>
        <w:rPr>
          <w:rFonts w:hint="eastAsia" w:ascii="宋体" w:hAnsi="宋体" w:cs="华文仿宋"/>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6D348691">
      <w:pPr>
        <w:numPr>
          <w:ilvl w:val="255"/>
          <w:numId w:val="0"/>
        </w:numPr>
        <w:spacing w:line="560" w:lineRule="exact"/>
        <w:ind w:left="709" w:firstLine="420"/>
        <w:rPr>
          <w:rFonts w:cs="华文仿宋"/>
          <w:b/>
          <w:bCs/>
        </w:rPr>
      </w:pPr>
      <w:r>
        <w:rPr>
          <w:rFonts w:hint="eastAsia" w:cs="华文仿宋"/>
          <w:bCs/>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131B62E3">
      <w:pPr>
        <w:pStyle w:val="101"/>
        <w:numPr>
          <w:ilvl w:val="1"/>
          <w:numId w:val="3"/>
        </w:numPr>
        <w:spacing w:line="360" w:lineRule="auto"/>
        <w:ind w:left="567" w:firstLineChars="0"/>
        <w:rPr>
          <w:rFonts w:ascii="宋体" w:cs="华文仿宋"/>
          <w:b w:val="0"/>
          <w:bCs/>
          <w:sz w:val="24"/>
          <w:szCs w:val="24"/>
        </w:rPr>
      </w:pPr>
      <w:r>
        <w:rPr>
          <w:rFonts w:hint="eastAsia" w:ascii="宋体" w:hAnsi="宋体" w:cs="华文仿宋"/>
          <w:b w:val="0"/>
          <w:bCs/>
          <w:sz w:val="24"/>
          <w:szCs w:val="24"/>
        </w:rPr>
        <w:t xml:space="preserve">付款方式: </w:t>
      </w:r>
    </w:p>
    <w:p w14:paraId="1CAD5BD5">
      <w:pPr>
        <w:pStyle w:val="100"/>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1）预付款：</w:t>
      </w:r>
      <w:r>
        <w:rPr>
          <w:rFonts w:hint="eastAsia" w:ascii="宋体" w:hAnsi="宋体" w:cs="华文仿宋"/>
          <w:b w:val="0"/>
          <w:bCs/>
          <w:sz w:val="24"/>
          <w:szCs w:val="24"/>
        </w:rPr>
        <w:t>用于乙方为合同工程的实施购置材料、工程设备、施工设备、修建临时设施以及组织施工队伍进场等，</w:t>
      </w:r>
      <w:r>
        <w:rPr>
          <w:rFonts w:hint="eastAsia" w:ascii="宋体" w:hAnsi="宋体" w:cs="宋体"/>
          <w:b w:val="0"/>
          <w:bCs/>
          <w:sz w:val="24"/>
        </w:rPr>
        <w:t>签订合同生效且甲方收到业主或甲方客户支付的相应同等比例款项并收到发票之后30个工作日内支付签约合同价的10%；</w:t>
      </w:r>
    </w:p>
    <w:p w14:paraId="41A8CB27">
      <w:pPr>
        <w:pStyle w:val="100"/>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2）进度款：由乙方按照实施进度按月报验，经业主监理单位及跟踪审计单位审计确认且甲方收到业主或甲方客户支付的相应同等比例款项之后30个工作日内支付，支付金额不超过该审定金额的60%，且项目进度款不超过签约合同价的60%（</w:t>
      </w:r>
      <w:r>
        <w:rPr>
          <w:rFonts w:hint="eastAsia" w:ascii="宋体" w:hAnsi="宋体" w:cs="华文仿宋"/>
          <w:b w:val="0"/>
          <w:bCs/>
          <w:sz w:val="24"/>
          <w:szCs w:val="24"/>
        </w:rPr>
        <w:t>含预付款</w:t>
      </w:r>
      <w:r>
        <w:rPr>
          <w:rFonts w:hint="eastAsia" w:ascii="宋体" w:hAnsi="宋体" w:cs="宋体"/>
          <w:b w:val="0"/>
          <w:bCs/>
          <w:sz w:val="24"/>
        </w:rPr>
        <w:t>）；</w:t>
      </w:r>
    </w:p>
    <w:p w14:paraId="038669AB">
      <w:pPr>
        <w:pStyle w:val="100"/>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3）项目竣工验收合格并完成第三方审计且甲方收到业主或甲方客户支付的相应同等比例款项之后30个工作日内，支付至审定金额的95%；</w:t>
      </w:r>
    </w:p>
    <w:p w14:paraId="56907812">
      <w:pPr>
        <w:pStyle w:val="100"/>
        <w:tabs>
          <w:tab w:val="left" w:pos="210"/>
          <w:tab w:val="left" w:pos="450"/>
          <w:tab w:val="left" w:pos="840"/>
          <w:tab w:val="left" w:pos="1260"/>
        </w:tabs>
        <w:spacing w:line="440" w:lineRule="exact"/>
        <w:ind w:firstLine="480"/>
        <w:rPr>
          <w:rFonts w:ascii="宋体" w:hAnsi="宋体" w:cs="宋体"/>
          <w:b w:val="0"/>
          <w:bCs/>
          <w:sz w:val="24"/>
        </w:rPr>
      </w:pPr>
      <w:r>
        <w:rPr>
          <w:rFonts w:hint="eastAsia" w:ascii="宋体" w:hAnsi="宋体" w:cs="宋体"/>
          <w:b w:val="0"/>
          <w:bCs/>
          <w:sz w:val="24"/>
        </w:rPr>
        <w:t>4）质保期满且甲方收到业主或甲方客户支付的相应同等比例款项后</w:t>
      </w:r>
      <w:r>
        <w:rPr>
          <w:rFonts w:ascii="宋体" w:hAnsi="宋体" w:cs="宋体"/>
          <w:b w:val="0"/>
          <w:bCs/>
          <w:sz w:val="24"/>
        </w:rPr>
        <w:t>30</w:t>
      </w:r>
      <w:r>
        <w:rPr>
          <w:rFonts w:hint="eastAsia" w:ascii="宋体" w:hAnsi="宋体" w:cs="宋体"/>
          <w:b w:val="0"/>
          <w:bCs/>
          <w:sz w:val="24"/>
        </w:rPr>
        <w:t>个工作日内支付余款。</w:t>
      </w:r>
    </w:p>
    <w:p w14:paraId="7F5B3828">
      <w:pPr>
        <w:pStyle w:val="100"/>
        <w:tabs>
          <w:tab w:val="left" w:pos="210"/>
          <w:tab w:val="left" w:pos="450"/>
          <w:tab w:val="left" w:pos="840"/>
          <w:tab w:val="left" w:pos="1260"/>
        </w:tabs>
        <w:spacing w:line="440" w:lineRule="exact"/>
        <w:ind w:firstLine="480"/>
        <w:rPr>
          <w:rFonts w:ascii="宋体" w:hAnsi="宋体" w:cs="华文仿宋"/>
          <w:b w:val="0"/>
          <w:bCs/>
          <w:sz w:val="24"/>
          <w:szCs w:val="24"/>
        </w:rPr>
      </w:pPr>
      <w:r>
        <w:rPr>
          <w:rFonts w:hint="eastAsia" w:ascii="宋体" w:hAnsi="宋体" w:cs="宋体"/>
          <w:b w:val="0"/>
          <w:bCs/>
          <w:sz w:val="24"/>
        </w:rPr>
        <w:t>5）</w:t>
      </w:r>
      <w:r>
        <w:rPr>
          <w:rFonts w:hint="eastAsia" w:ascii="宋体" w:hAnsi="宋体" w:cs="华文仿宋"/>
          <w:b w:val="0"/>
          <w:bCs/>
          <w:sz w:val="24"/>
          <w:szCs w:val="24"/>
        </w:rPr>
        <w:t>以上所有结算均按照业主方结算考核要求实施。</w:t>
      </w:r>
    </w:p>
    <w:p w14:paraId="69864CC4">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603BED2B">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支付办法：银行转账、银行汇票或转账支票。</w:t>
      </w:r>
    </w:p>
    <w:p w14:paraId="76066F06">
      <w:pPr>
        <w:pStyle w:val="101"/>
        <w:numPr>
          <w:ilvl w:val="1"/>
          <w:numId w:val="3"/>
        </w:numPr>
        <w:spacing w:line="360" w:lineRule="auto"/>
        <w:ind w:left="567" w:firstLineChars="0"/>
        <w:rPr>
          <w:rFonts w:ascii="宋体" w:hAnsi="宋体"/>
          <w:b w:val="0"/>
          <w:bCs/>
          <w:sz w:val="24"/>
          <w:szCs w:val="24"/>
        </w:rPr>
      </w:pPr>
      <w:r>
        <w:rPr>
          <w:rFonts w:hint="eastAsia" w:ascii="宋体" w:hAnsi="宋体"/>
          <w:b w:val="0"/>
          <w:bCs/>
          <w:sz w:val="24"/>
          <w:szCs w:val="24"/>
        </w:rPr>
        <w:t>付款凭据：A、合格的增值税专用发票；B、各阶段</w:t>
      </w:r>
      <w:r>
        <w:rPr>
          <w:rFonts w:ascii="宋体" w:hAnsi="宋体"/>
          <w:b w:val="0"/>
          <w:bCs/>
          <w:sz w:val="24"/>
          <w:szCs w:val="24"/>
        </w:rPr>
        <w:t>满足付款条件的证明资料</w:t>
      </w:r>
      <w:r>
        <w:rPr>
          <w:rFonts w:hint="eastAsia" w:ascii="宋体" w:hAnsi="宋体"/>
          <w:b w:val="0"/>
          <w:bCs/>
          <w:sz w:val="24"/>
          <w:szCs w:val="24"/>
        </w:rPr>
        <w:t>（如</w:t>
      </w:r>
      <w:r>
        <w:rPr>
          <w:rFonts w:ascii="宋体" w:hAnsi="宋体"/>
          <w:b w:val="0"/>
          <w:bCs/>
          <w:sz w:val="24"/>
          <w:szCs w:val="24"/>
        </w:rPr>
        <w:t>到货验收报告、双方</w:t>
      </w:r>
      <w:r>
        <w:rPr>
          <w:rFonts w:hint="eastAsia" w:ascii="宋体" w:hAnsi="宋体"/>
          <w:b w:val="0"/>
          <w:bCs/>
          <w:sz w:val="24"/>
          <w:szCs w:val="24"/>
        </w:rPr>
        <w:t>盖章确认</w:t>
      </w:r>
      <w:r>
        <w:rPr>
          <w:rFonts w:ascii="宋体" w:hAnsi="宋体"/>
          <w:b w:val="0"/>
          <w:bCs/>
          <w:sz w:val="24"/>
          <w:szCs w:val="24"/>
        </w:rPr>
        <w:t>的</w:t>
      </w:r>
      <w:r>
        <w:rPr>
          <w:rFonts w:hint="eastAsia" w:ascii="宋体" w:hAnsi="宋体"/>
          <w:b w:val="0"/>
          <w:bCs/>
          <w:sz w:val="24"/>
          <w:szCs w:val="24"/>
        </w:rPr>
        <w:t>项目验收</w:t>
      </w:r>
      <w:r>
        <w:rPr>
          <w:rFonts w:ascii="宋体" w:hAnsi="宋体"/>
          <w:b w:val="0"/>
          <w:bCs/>
          <w:sz w:val="24"/>
          <w:szCs w:val="24"/>
        </w:rPr>
        <w:t>报告、审计</w:t>
      </w:r>
      <w:r>
        <w:rPr>
          <w:rFonts w:hint="eastAsia" w:ascii="宋体" w:hAnsi="宋体"/>
          <w:b w:val="0"/>
          <w:bCs/>
          <w:sz w:val="24"/>
          <w:szCs w:val="24"/>
        </w:rPr>
        <w:t>报告</w:t>
      </w:r>
      <w:r>
        <w:rPr>
          <w:rFonts w:ascii="宋体" w:hAnsi="宋体"/>
          <w:b w:val="0"/>
          <w:bCs/>
          <w:sz w:val="24"/>
          <w:szCs w:val="24"/>
        </w:rPr>
        <w:t>等</w:t>
      </w:r>
      <w:r>
        <w:rPr>
          <w:rFonts w:hint="eastAsia" w:ascii="宋体" w:hAnsi="宋体"/>
          <w:b w:val="0"/>
          <w:bCs/>
          <w:sz w:val="24"/>
          <w:szCs w:val="24"/>
        </w:rPr>
        <w:t>）。</w:t>
      </w:r>
    </w:p>
    <w:p w14:paraId="6FDE224D">
      <w:pPr>
        <w:pStyle w:val="101"/>
        <w:numPr>
          <w:ilvl w:val="1"/>
          <w:numId w:val="3"/>
        </w:numPr>
        <w:spacing w:line="360" w:lineRule="auto"/>
        <w:ind w:left="567" w:firstLineChars="0"/>
        <w:rPr>
          <w:rFonts w:ascii="宋体" w:hAnsi="宋体"/>
          <w:b w:val="0"/>
          <w:bCs/>
          <w:sz w:val="24"/>
          <w:szCs w:val="24"/>
        </w:rPr>
      </w:pPr>
      <w:r>
        <w:rPr>
          <w:rFonts w:hint="eastAsia" w:ascii="宋体" w:hAnsi="宋体"/>
          <w:b w:val="0"/>
          <w:bCs/>
          <w:sz w:val="24"/>
          <w:szCs w:val="24"/>
        </w:rPr>
        <w:t>结算账户条款：</w:t>
      </w:r>
    </w:p>
    <w:p w14:paraId="37D6DE2E">
      <w:pPr>
        <w:autoSpaceDE w:val="0"/>
        <w:autoSpaceDN w:val="0"/>
        <w:spacing w:line="360" w:lineRule="auto"/>
        <w:ind w:left="1193" w:leftChars="202" w:hanging="708" w:hangingChars="295"/>
        <w:textAlignment w:val="bottom"/>
        <w:rPr>
          <w:b/>
          <w:bCs/>
        </w:rPr>
      </w:pPr>
      <w:r>
        <w:rPr>
          <w:rFonts w:hint="eastAsia"/>
          <w:bCs/>
        </w:rPr>
        <w:t>甲方名称：江苏天安智联科技股份有限公司</w:t>
      </w:r>
    </w:p>
    <w:p w14:paraId="49166E71">
      <w:pPr>
        <w:autoSpaceDE w:val="0"/>
        <w:autoSpaceDN w:val="0"/>
        <w:spacing w:line="360" w:lineRule="auto"/>
        <w:ind w:left="1193" w:leftChars="202" w:hanging="708" w:hangingChars="295"/>
        <w:textAlignment w:val="bottom"/>
        <w:rPr>
          <w:b/>
          <w:bCs/>
        </w:rPr>
      </w:pPr>
      <w:r>
        <w:rPr>
          <w:rFonts w:hint="eastAsia"/>
          <w:bCs/>
        </w:rPr>
        <w:t>纳税人资质：一般纳税人</w:t>
      </w:r>
    </w:p>
    <w:p w14:paraId="7C97B5D2">
      <w:pPr>
        <w:autoSpaceDE w:val="0"/>
        <w:autoSpaceDN w:val="0"/>
        <w:spacing w:line="360" w:lineRule="auto"/>
        <w:ind w:left="1193" w:leftChars="202" w:hanging="708" w:hangingChars="295"/>
        <w:textAlignment w:val="bottom"/>
        <w:rPr>
          <w:b/>
          <w:bCs/>
        </w:rPr>
      </w:pPr>
      <w:r>
        <w:rPr>
          <w:rFonts w:hint="eastAsia"/>
          <w:bCs/>
        </w:rPr>
        <w:t>纳税人识别号：91320200554616739F</w:t>
      </w:r>
    </w:p>
    <w:p w14:paraId="63273226">
      <w:pPr>
        <w:adjustRightInd w:val="0"/>
        <w:snapToGrid w:val="0"/>
        <w:spacing w:line="360" w:lineRule="auto"/>
        <w:ind w:left="1193" w:leftChars="202" w:hanging="708" w:hangingChars="295"/>
        <w:rPr>
          <w:b/>
          <w:bCs/>
        </w:rPr>
      </w:pPr>
      <w:r>
        <w:rPr>
          <w:rFonts w:hint="eastAsia"/>
          <w:bCs/>
        </w:rPr>
        <w:t>开户名称：江苏天安智联科技股份有限公司</w:t>
      </w:r>
    </w:p>
    <w:p w14:paraId="71BBB531">
      <w:pPr>
        <w:adjustRightInd w:val="0"/>
        <w:snapToGrid w:val="0"/>
        <w:spacing w:line="360" w:lineRule="auto"/>
        <w:ind w:left="1193" w:leftChars="202" w:hanging="708" w:hangingChars="295"/>
        <w:rPr>
          <w:b/>
          <w:bCs/>
        </w:rPr>
      </w:pPr>
      <w:r>
        <w:rPr>
          <w:rFonts w:hint="eastAsia"/>
          <w:bCs/>
        </w:rPr>
        <w:t>开户行：光大银行无锡惠山支行</w:t>
      </w:r>
    </w:p>
    <w:p w14:paraId="49230D64">
      <w:pPr>
        <w:spacing w:line="360" w:lineRule="auto"/>
        <w:ind w:left="1193" w:leftChars="202" w:hanging="708" w:hangingChars="295"/>
        <w:rPr>
          <w:b/>
          <w:bCs/>
        </w:rPr>
      </w:pPr>
      <w:r>
        <w:rPr>
          <w:rFonts w:hint="eastAsia"/>
          <w:bCs/>
        </w:rPr>
        <w:t>银行账号：51650188000046923</w:t>
      </w:r>
    </w:p>
    <w:p w14:paraId="60C58114">
      <w:pPr>
        <w:spacing w:line="360" w:lineRule="auto"/>
        <w:ind w:left="1193" w:leftChars="202" w:hanging="708" w:hangingChars="295"/>
        <w:rPr>
          <w:b/>
          <w:bCs/>
        </w:rPr>
      </w:pPr>
      <w:r>
        <w:rPr>
          <w:rFonts w:hint="eastAsia"/>
          <w:bCs/>
        </w:rPr>
        <w:t>地址：无锡市锡山区安镇街道春风南路2号智行科创园8幢3单元1404号办公楼</w:t>
      </w:r>
    </w:p>
    <w:p w14:paraId="13F5CE9C">
      <w:pPr>
        <w:spacing w:line="360" w:lineRule="auto"/>
        <w:ind w:left="1193" w:leftChars="202" w:hanging="708" w:hangingChars="295"/>
        <w:rPr>
          <w:b/>
          <w:bCs/>
        </w:rPr>
      </w:pPr>
      <w:r>
        <w:rPr>
          <w:rFonts w:hint="eastAsia"/>
          <w:bCs/>
        </w:rPr>
        <w:t>联系电话：0510-85386595</w:t>
      </w:r>
    </w:p>
    <w:p w14:paraId="5803F131">
      <w:pPr>
        <w:spacing w:line="360" w:lineRule="auto"/>
        <w:rPr>
          <w:b/>
          <w:bCs/>
        </w:rPr>
      </w:pPr>
    </w:p>
    <w:p w14:paraId="2A48B952">
      <w:pPr>
        <w:autoSpaceDE w:val="0"/>
        <w:autoSpaceDN w:val="0"/>
        <w:spacing w:line="360" w:lineRule="auto"/>
        <w:ind w:firstLine="480" w:firstLineChars="200"/>
        <w:textAlignment w:val="bottom"/>
        <w:rPr>
          <w:b/>
          <w:bCs/>
        </w:rPr>
      </w:pPr>
      <w:r>
        <w:rPr>
          <w:rFonts w:hint="eastAsia"/>
          <w:bCs/>
        </w:rPr>
        <w:t>乙方名称：无锡市车城智联科技有限公司</w:t>
      </w:r>
    </w:p>
    <w:p w14:paraId="42FA546F">
      <w:pPr>
        <w:autoSpaceDE w:val="0"/>
        <w:autoSpaceDN w:val="0"/>
        <w:spacing w:line="360" w:lineRule="auto"/>
        <w:ind w:firstLine="480" w:firstLineChars="200"/>
        <w:textAlignment w:val="bottom"/>
        <w:rPr>
          <w:b/>
          <w:bCs/>
        </w:rPr>
      </w:pPr>
      <w:r>
        <w:rPr>
          <w:rFonts w:hint="eastAsia"/>
          <w:bCs/>
        </w:rPr>
        <w:t>纳税人资质：一般纳税人</w:t>
      </w:r>
    </w:p>
    <w:p w14:paraId="1885F168">
      <w:pPr>
        <w:autoSpaceDE w:val="0"/>
        <w:autoSpaceDN w:val="0"/>
        <w:spacing w:line="360" w:lineRule="auto"/>
        <w:ind w:firstLine="480" w:firstLineChars="200"/>
        <w:textAlignment w:val="bottom"/>
        <w:rPr>
          <w:b/>
          <w:bCs/>
        </w:rPr>
      </w:pPr>
      <w:r>
        <w:rPr>
          <w:rFonts w:hint="eastAsia"/>
          <w:bCs/>
        </w:rPr>
        <w:t>纳税人识别号：91320205MABR7MMU5T</w:t>
      </w:r>
    </w:p>
    <w:p w14:paraId="658AD668">
      <w:pPr>
        <w:adjustRightInd w:val="0"/>
        <w:snapToGrid w:val="0"/>
        <w:spacing w:line="360" w:lineRule="auto"/>
        <w:ind w:left="413" w:leftChars="172"/>
        <w:rPr>
          <w:b/>
          <w:bCs/>
        </w:rPr>
      </w:pPr>
      <w:r>
        <w:rPr>
          <w:rFonts w:hint="eastAsia"/>
          <w:bCs/>
        </w:rPr>
        <w:t>开户名称：无锡市车城智联科技有限公司</w:t>
      </w:r>
    </w:p>
    <w:p w14:paraId="1A503364">
      <w:pPr>
        <w:adjustRightInd w:val="0"/>
        <w:snapToGrid w:val="0"/>
        <w:spacing w:line="360" w:lineRule="auto"/>
        <w:ind w:firstLine="480" w:firstLineChars="200"/>
        <w:rPr>
          <w:b/>
          <w:bCs/>
        </w:rPr>
      </w:pPr>
      <w:r>
        <w:rPr>
          <w:rFonts w:hint="eastAsia"/>
          <w:bCs/>
        </w:rPr>
        <w:t>开户行：建行无锡锡山支行</w:t>
      </w:r>
    </w:p>
    <w:p w14:paraId="11D0547B">
      <w:pPr>
        <w:spacing w:line="360" w:lineRule="auto"/>
        <w:ind w:firstLine="480" w:firstLineChars="200"/>
        <w:rPr>
          <w:b/>
          <w:bCs/>
        </w:rPr>
      </w:pPr>
      <w:r>
        <w:rPr>
          <w:rFonts w:hint="eastAsia"/>
          <w:bCs/>
        </w:rPr>
        <w:t>银行账号：32050161713600002419</w:t>
      </w:r>
    </w:p>
    <w:p w14:paraId="00459B4D">
      <w:pPr>
        <w:spacing w:line="360" w:lineRule="auto"/>
        <w:ind w:firstLine="480" w:firstLineChars="200"/>
        <w:rPr>
          <w:b/>
          <w:bCs/>
        </w:rPr>
      </w:pPr>
      <w:r>
        <w:rPr>
          <w:rFonts w:hint="eastAsia"/>
          <w:bCs/>
        </w:rPr>
        <w:t>地址：无锡市经济开发区高浪东路999号-8-B2-607</w:t>
      </w:r>
    </w:p>
    <w:p w14:paraId="09637753">
      <w:pPr>
        <w:spacing w:line="360" w:lineRule="auto"/>
        <w:ind w:firstLine="480" w:firstLineChars="200"/>
        <w:rPr>
          <w:b/>
          <w:bCs/>
        </w:rPr>
      </w:pPr>
      <w:r>
        <w:rPr>
          <w:rFonts w:hint="eastAsia"/>
          <w:bCs/>
        </w:rPr>
        <w:t>联系电话：0510-66660025</w:t>
      </w:r>
    </w:p>
    <w:p w14:paraId="47E54DEC">
      <w:pPr>
        <w:pStyle w:val="101"/>
        <w:numPr>
          <w:ilvl w:val="1"/>
          <w:numId w:val="3"/>
        </w:numPr>
        <w:spacing w:line="360" w:lineRule="auto"/>
        <w:ind w:left="567" w:firstLineChars="0"/>
        <w:rPr>
          <w:rFonts w:ascii="宋体" w:hAnsi="宋体"/>
          <w:b w:val="0"/>
          <w:bCs/>
          <w:sz w:val="24"/>
          <w:szCs w:val="24"/>
        </w:rPr>
      </w:pPr>
      <w:r>
        <w:rPr>
          <w:rFonts w:hint="eastAsia" w:ascii="宋体" w:hAnsi="宋体"/>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42EB2360">
      <w:pPr>
        <w:pStyle w:val="101"/>
        <w:spacing w:line="360" w:lineRule="auto"/>
        <w:ind w:left="567" w:firstLine="0" w:firstLineChars="0"/>
        <w:rPr>
          <w:rFonts w:ascii="宋体" w:hAnsi="宋体"/>
          <w:b w:val="0"/>
          <w:bCs/>
          <w:sz w:val="24"/>
          <w:szCs w:val="24"/>
        </w:rPr>
      </w:pPr>
    </w:p>
    <w:p w14:paraId="51B903D3">
      <w:pPr>
        <w:pStyle w:val="101"/>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评估及验收交付</w:t>
      </w:r>
    </w:p>
    <w:p w14:paraId="41D48959">
      <w:pPr>
        <w:pStyle w:val="101"/>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甲方有权对项目进行阶段性评估，乙方应予配合，并及时协调、解决双方共同关心的问题。</w:t>
      </w:r>
    </w:p>
    <w:p w14:paraId="11A5F10E">
      <w:pPr>
        <w:pStyle w:val="101"/>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甲方或甲方业主在各类项目现场将对产品进行系统性和整体性交付，该交付应与产品的现场检验测试和付款方式相对应。</w:t>
      </w:r>
    </w:p>
    <w:p w14:paraId="261D51C5">
      <w:pPr>
        <w:pStyle w:val="101"/>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产品交付除依据现场检验测试报告外，甲方或甲方业主有权组织专家组对现场检验测试报告和产品运行状况进行审议，认定项目验收合格后签署交付报告。经双方签字的验收报告为付款依据。</w:t>
      </w:r>
    </w:p>
    <w:p w14:paraId="4DD6C86F">
      <w:pPr>
        <w:pStyle w:val="101"/>
        <w:numPr>
          <w:ilvl w:val="1"/>
          <w:numId w:val="3"/>
        </w:numPr>
        <w:spacing w:line="360" w:lineRule="auto"/>
        <w:ind w:left="567" w:firstLineChars="0"/>
        <w:rPr>
          <w:rFonts w:ascii="宋体" w:hAnsi="宋体" w:cs="华文仿宋"/>
          <w:b w:val="0"/>
          <w:bCs/>
          <w:sz w:val="24"/>
          <w:szCs w:val="24"/>
        </w:rPr>
      </w:pPr>
      <w:r>
        <w:rPr>
          <w:rFonts w:hint="eastAsia" w:ascii="宋体" w:hAnsi="宋体" w:cs="华文仿宋"/>
          <w:b w:val="0"/>
          <w:bCs/>
          <w:sz w:val="24"/>
          <w:szCs w:val="24"/>
        </w:rPr>
        <w:t>验收</w:t>
      </w:r>
    </w:p>
    <w:p w14:paraId="43D42A4F">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kern w:val="0"/>
          <w:sz w:val="24"/>
        </w:rPr>
        <w:t>到货查验：产品</w:t>
      </w:r>
      <w:r>
        <w:rPr>
          <w:rFonts w:hint="eastAsia" w:ascii="宋体" w:hAnsi="宋体" w:cs="宋体"/>
          <w:b w:val="0"/>
          <w:bCs/>
          <w:sz w:val="24"/>
        </w:rPr>
        <w:t>符合设备本身的规格、技术条件、采购招标文件规定及在投标文件中承诺的其他指标，并以报请甲方进行检测验收合格为准。</w:t>
      </w:r>
      <w:r>
        <w:rPr>
          <w:rFonts w:hint="eastAsia" w:ascii="宋体" w:hAnsi="宋体" w:cs="仿宋"/>
          <w:b w:val="0"/>
          <w:bCs/>
          <w:sz w:val="24"/>
        </w:rPr>
        <w:t>由甲方按照本合同、招标文件所约定的工作内容、要求及期限对乙方完成的工作内容进行到货查验。并</w:t>
      </w:r>
      <w:r>
        <w:rPr>
          <w:rFonts w:hint="eastAsia" w:ascii="宋体" w:hAnsi="宋体"/>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3D67E653">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color w:val="000000"/>
          <w:sz w:val="24"/>
        </w:rPr>
        <w:t>项目初验</w:t>
      </w:r>
    </w:p>
    <w:p w14:paraId="55FBDEE2">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color w:val="000000"/>
          <w:sz w:val="24"/>
        </w:rPr>
        <w:t>本合同项下的所有软硬件设备及网络线路的功能和性能必须满足招标文件、施工图设计、设计变更、工程变更、设计方案、深化设计、会议纪要等所包含的内容。</w:t>
      </w:r>
    </w:p>
    <w:p w14:paraId="3AA2710C">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乙方提交的初验材料以甲方、业主、甲方客户、监理单位和设计单位审核同意后组织初验。</w:t>
      </w:r>
    </w:p>
    <w:p w14:paraId="04D7B740">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乙方应对《初验报告》中提出的问题进行整改。整改完毕经甲方、业主、甲方客户、监理单位、设计单位审核确认后，初验阶段结束。</w:t>
      </w:r>
    </w:p>
    <w:p w14:paraId="629DB637">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乙方应编写项目的施工及集成交付文档，需满足甲方、甲方客户、业主和监理单位要求。</w:t>
      </w:r>
    </w:p>
    <w:p w14:paraId="57643D03">
      <w:pPr>
        <w:pStyle w:val="101"/>
        <w:numPr>
          <w:ilvl w:val="3"/>
          <w:numId w:val="3"/>
        </w:numPr>
        <w:spacing w:line="360" w:lineRule="auto"/>
        <w:ind w:left="993" w:hanging="567" w:firstLineChars="0"/>
        <w:rPr>
          <w:rFonts w:ascii="宋体" w:hAnsi="宋体" w:cs="华文仿宋"/>
          <w:b w:val="0"/>
          <w:bCs/>
          <w:sz w:val="24"/>
          <w:szCs w:val="24"/>
        </w:rPr>
      </w:pPr>
      <w:r>
        <w:rPr>
          <w:rFonts w:hint="eastAsia" w:ascii="宋体" w:hAnsi="宋体"/>
          <w:b w:val="0"/>
          <w:bCs/>
          <w:sz w:val="24"/>
        </w:rPr>
        <w:t>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3B857E8C">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系统试运行</w:t>
      </w:r>
    </w:p>
    <w:p w14:paraId="0B548E44">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业主项目整体初验合格后进入试运行期，系统正常运行60个日历天后试运行期结束。</w:t>
      </w:r>
    </w:p>
    <w:p w14:paraId="45E26C2B">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1A5C8092">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69BD176F">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所有相关安装调试通过后，施工道路、绿化按当地市政要求恢复到位。</w:t>
      </w:r>
    </w:p>
    <w:p w14:paraId="1638F896">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项目终验</w:t>
      </w:r>
    </w:p>
    <w:p w14:paraId="22A53E41">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业主项目试运行期结束，由乙方书面提交《终验申请》。甲方在接到乙方验收申请后的15个日历天内予以答复并组织验收工作。终验前，乙方以书面形式向甲方提供包含但不限于：工程说明、变更单（如有）、洽商记录、试运行报告、设备质保文件、交接书等。</w:t>
      </w:r>
    </w:p>
    <w:p w14:paraId="3851FA16">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如果甲方认为工程符合验收条件，乙方整理验收文档。验收工作由甲方、乙方、监理方、设计单位及其他相关单位联合进行。</w:t>
      </w:r>
    </w:p>
    <w:p w14:paraId="3BF3F9DB">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验收应根据招标文件、设计文件及信息系统集成相关规范以及试运行状况等进行综合评估。</w:t>
      </w:r>
    </w:p>
    <w:p w14:paraId="19C51490">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如验收不合格的，乙方进行整改，直至验收合格。</w:t>
      </w:r>
    </w:p>
    <w:p w14:paraId="38B28F29">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系统移交</w:t>
      </w:r>
    </w:p>
    <w:p w14:paraId="352AF03C">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终验后30个日历天内由甲乙双方组织进行系统移交的相关工作，经甲方确认后，移交工作完成。</w:t>
      </w:r>
    </w:p>
    <w:p w14:paraId="4B4F0D8E">
      <w:pPr>
        <w:pStyle w:val="101"/>
        <w:numPr>
          <w:ilvl w:val="3"/>
          <w:numId w:val="3"/>
        </w:numPr>
        <w:spacing w:line="360" w:lineRule="auto"/>
        <w:ind w:left="1134" w:firstLineChars="0"/>
        <w:rPr>
          <w:rFonts w:ascii="宋体" w:hAnsi="宋体" w:cs="华文仿宋"/>
          <w:b w:val="0"/>
          <w:bCs/>
          <w:sz w:val="24"/>
          <w:szCs w:val="24"/>
        </w:rPr>
      </w:pPr>
      <w:r>
        <w:rPr>
          <w:rFonts w:hint="eastAsia" w:ascii="宋体" w:hAnsi="宋体"/>
          <w:b w:val="0"/>
          <w:bCs/>
          <w:sz w:val="24"/>
        </w:rPr>
        <w:t>所有资料由乙方按照专业、按照类别装订成册，并应有相应的电子版文件一并提交，移交资料数量由业主指定。</w:t>
      </w:r>
    </w:p>
    <w:p w14:paraId="32C7DFAC">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38DC9038">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甲方在验收过程中，应当于双方约定的检验期间内将标的物的数量或质量不符合约定的情况及处理方式以书面方式通知乙方。</w:t>
      </w:r>
    </w:p>
    <w:p w14:paraId="009579CE">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乙方应在收到甲方书面异议后七个日历天内负责解决问题，否则将视为默认甲方提出的异议和处理意见。</w:t>
      </w:r>
    </w:p>
    <w:p w14:paraId="016E95ED">
      <w:pPr>
        <w:pStyle w:val="101"/>
        <w:numPr>
          <w:ilvl w:val="2"/>
          <w:numId w:val="3"/>
        </w:numPr>
        <w:spacing w:line="360" w:lineRule="auto"/>
        <w:ind w:left="851" w:firstLineChars="0"/>
        <w:rPr>
          <w:rFonts w:ascii="宋体" w:hAnsi="宋体" w:cs="华文仿宋"/>
          <w:b w:val="0"/>
          <w:bCs/>
          <w:sz w:val="24"/>
          <w:szCs w:val="24"/>
        </w:rPr>
      </w:pPr>
      <w:r>
        <w:rPr>
          <w:rFonts w:hint="eastAsia" w:ascii="宋体" w:hAnsi="宋体"/>
          <w:b w:val="0"/>
          <w:bCs/>
          <w:sz w:val="24"/>
        </w:rPr>
        <w:t>以上验收材料及要求以业主方最终书面要求为准。</w:t>
      </w:r>
    </w:p>
    <w:p w14:paraId="0A7A6085">
      <w:pPr>
        <w:spacing w:line="360" w:lineRule="auto"/>
        <w:ind w:left="284"/>
        <w:rPr>
          <w:rFonts w:cs="华文仿宋"/>
          <w:b/>
          <w:bCs/>
        </w:rPr>
      </w:pPr>
    </w:p>
    <w:p w14:paraId="13D58EDE">
      <w:pPr>
        <w:pStyle w:val="101"/>
        <w:numPr>
          <w:ilvl w:val="0"/>
          <w:numId w:val="3"/>
        </w:numPr>
        <w:spacing w:line="360" w:lineRule="auto"/>
        <w:ind w:left="284" w:firstLineChars="0"/>
        <w:rPr>
          <w:rFonts w:ascii="宋体" w:cs="华文仿宋"/>
          <w:b w:val="0"/>
          <w:bCs/>
          <w:sz w:val="24"/>
          <w:szCs w:val="24"/>
        </w:rPr>
      </w:pPr>
      <w:r>
        <w:rPr>
          <w:rFonts w:hint="eastAsia" w:ascii="宋体"/>
          <w:b w:val="0"/>
        </w:rPr>
        <w:t>售后服务</w:t>
      </w:r>
    </w:p>
    <w:p w14:paraId="02D69CDC">
      <w:pPr>
        <w:pStyle w:val="101"/>
        <w:numPr>
          <w:ilvl w:val="1"/>
          <w:numId w:val="3"/>
        </w:numPr>
        <w:spacing w:line="360" w:lineRule="auto"/>
        <w:ind w:left="567" w:firstLineChars="0"/>
        <w:rPr>
          <w:rFonts w:ascii="宋体" w:cs="华文仿宋"/>
          <w:b w:val="0"/>
          <w:bCs/>
          <w:sz w:val="24"/>
          <w:szCs w:val="24"/>
        </w:rPr>
      </w:pPr>
      <w:bookmarkStart w:id="1" w:name="_Hlk206947786"/>
      <w:r>
        <w:rPr>
          <w:rFonts w:hint="eastAsia" w:ascii="宋体" w:hAnsi="宋体"/>
          <w:b w:val="0"/>
          <w:bCs/>
          <w:sz w:val="24"/>
          <w:szCs w:val="24"/>
        </w:rPr>
        <w:t>项目所有软硬件设备，乙方应提供自最终验收合格且交付使用后5年质保。乙方还应提供自最终验收合格且交付使用后1年免费维保及现场运维服务</w:t>
      </w:r>
      <w:bookmarkEnd w:id="1"/>
      <w:r>
        <w:rPr>
          <w:rFonts w:hint="eastAsia" w:ascii="宋体" w:hAnsi="宋体"/>
          <w:b w:val="0"/>
          <w:bCs/>
          <w:sz w:val="24"/>
          <w:szCs w:val="24"/>
        </w:rPr>
        <w:t>。</w:t>
      </w:r>
    </w:p>
    <w:p w14:paraId="7E4C65E0">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承包人在向发包人提交工程竣工验收报告时，应当向发包人出具《质量保修书》。《质量保修书》中应当明确建设工程的保修范围、保修期限和保修责任等。</w:t>
      </w:r>
    </w:p>
    <w:p w14:paraId="53ED34B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修期自实际竣工验收合格且交付使用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E0D0050">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在全部工程竣工验收前，已经发包人提前验收且验收合格的单位工程，其保修期的起算日期相应提前。</w:t>
      </w:r>
    </w:p>
    <w:p w14:paraId="63D1EC1B">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工程保修期终止后28天内，监理人签发保修期终止证书。</w:t>
      </w:r>
    </w:p>
    <w:p w14:paraId="075BA8FF">
      <w:pPr>
        <w:pStyle w:val="101"/>
        <w:spacing w:line="360" w:lineRule="auto"/>
        <w:ind w:left="567" w:firstLine="0" w:firstLineChars="0"/>
        <w:rPr>
          <w:rFonts w:ascii="宋体" w:cs="华文仿宋"/>
          <w:b w:val="0"/>
          <w:bCs/>
          <w:sz w:val="24"/>
          <w:szCs w:val="24"/>
        </w:rPr>
      </w:pPr>
    </w:p>
    <w:p w14:paraId="626EE24D">
      <w:pPr>
        <w:pStyle w:val="101"/>
        <w:numPr>
          <w:ilvl w:val="0"/>
          <w:numId w:val="3"/>
        </w:numPr>
        <w:spacing w:line="360" w:lineRule="auto"/>
        <w:ind w:left="284" w:firstLineChars="0"/>
        <w:rPr>
          <w:rFonts w:ascii="宋体" w:cs="华文仿宋"/>
          <w:b w:val="0"/>
          <w:bCs/>
          <w:szCs w:val="28"/>
        </w:rPr>
      </w:pPr>
      <w:r>
        <w:rPr>
          <w:rFonts w:hint="eastAsia" w:ascii="宋体" w:hAnsi="宋体" w:cs="华文仿宋"/>
          <w:b w:val="0"/>
          <w:bCs/>
          <w:szCs w:val="28"/>
        </w:rPr>
        <w:t>违约责任</w:t>
      </w:r>
    </w:p>
    <w:p w14:paraId="52EC8F7E">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承包人违约</w:t>
      </w:r>
    </w:p>
    <w:p w14:paraId="5849C7B6">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承包人违约的情形</w:t>
      </w:r>
    </w:p>
    <w:p w14:paraId="217F8363">
      <w:pPr>
        <w:spacing w:line="360" w:lineRule="auto"/>
        <w:ind w:firstLine="480" w:firstLineChars="200"/>
        <w:rPr>
          <w:rFonts w:cs="华文仿宋"/>
          <w:b/>
          <w:bCs/>
        </w:rPr>
      </w:pPr>
      <w:r>
        <w:rPr>
          <w:rFonts w:hint="eastAsia" w:cs="华文仿宋"/>
          <w:bCs/>
        </w:rPr>
        <w:t>在履行合同过程中发生的下列情况之一的，属承包人违约：</w:t>
      </w:r>
    </w:p>
    <w:p w14:paraId="33E02084">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承包人的施工图、设计（包括设计变更、调整等）、承包人涉及实施本工程相关的文件、实施和竣工的工程不符合我国相关法律、法规规定以及合同约定；</w:t>
      </w:r>
    </w:p>
    <w:p w14:paraId="384C4098">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承包人违反如下的约定，私自将合同的全部或部分权利转让给其他人，或私自将合同的全部或部分义务转移给其他人；</w:t>
      </w:r>
    </w:p>
    <w:p w14:paraId="6056DC7C">
      <w:pPr>
        <w:spacing w:line="360" w:lineRule="auto"/>
        <w:ind w:firstLine="480" w:firstLineChars="200"/>
        <w:rPr>
          <w:rFonts w:cs="华文仿宋"/>
          <w:b/>
          <w:bCs/>
        </w:rPr>
      </w:pPr>
      <w:r>
        <w:rPr>
          <w:rFonts w:hint="eastAsia"/>
          <w:bCs/>
        </w:rPr>
        <w:t>①</w:t>
      </w:r>
      <w:r>
        <w:rPr>
          <w:rFonts w:hint="eastAsia" w:cs="华文仿宋"/>
          <w:bCs/>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7F557602">
      <w:pPr>
        <w:spacing w:line="360" w:lineRule="auto"/>
        <w:ind w:firstLine="480" w:firstLineChars="200"/>
        <w:rPr>
          <w:b/>
          <w:bCs/>
        </w:rPr>
      </w:pPr>
      <w:r>
        <w:rPr>
          <w:rFonts w:hint="eastAsia"/>
          <w:bCs/>
        </w:rPr>
        <w:t>②承包人不得将其承包的全部工程转包给第三人，也不得将其承包的全部工程肢解后以分包的名义分别转包给第三人；</w:t>
      </w:r>
    </w:p>
    <w:p w14:paraId="0C9D1953">
      <w:pPr>
        <w:spacing w:line="360" w:lineRule="auto"/>
        <w:ind w:firstLine="480" w:firstLineChars="200"/>
        <w:rPr>
          <w:b/>
          <w:bCs/>
        </w:rPr>
      </w:pPr>
      <w:r>
        <w:rPr>
          <w:rFonts w:hint="eastAsia"/>
          <w:bCs/>
        </w:rPr>
        <w:t>③承包人不得将勘察、设计和施工的主体、关键性工作分包给第三人。除专用合同条款另有约定外，未经发包人书面同意，承包人不得将非主体、非关键性工作分包给第三人；</w:t>
      </w:r>
    </w:p>
    <w:p w14:paraId="01E13C87">
      <w:pPr>
        <w:spacing w:line="360" w:lineRule="auto"/>
        <w:ind w:firstLine="480" w:firstLineChars="200"/>
        <w:rPr>
          <w:b/>
          <w:bCs/>
        </w:rPr>
      </w:pPr>
      <w:r>
        <w:rPr>
          <w:rFonts w:hint="eastAsia"/>
          <w:bCs/>
        </w:rPr>
        <w:t>④分包人的资格能力应与其分包工作的标准和规模相适应；</w:t>
      </w:r>
    </w:p>
    <w:p w14:paraId="38DBC370">
      <w:pPr>
        <w:spacing w:line="360" w:lineRule="auto"/>
        <w:ind w:firstLine="480" w:firstLineChars="200"/>
        <w:rPr>
          <w:rFonts w:cs="华文仿宋"/>
          <w:b/>
          <w:bCs/>
        </w:rPr>
      </w:pPr>
      <w:r>
        <w:rPr>
          <w:rFonts w:hint="eastAsia"/>
          <w:bCs/>
        </w:rPr>
        <w:t>⑤</w:t>
      </w:r>
      <w:r>
        <w:rPr>
          <w:rFonts w:hint="eastAsia" w:cs="华文仿宋"/>
          <w:bCs/>
        </w:rPr>
        <w:t>发包人同意承包人分包工作的，承包人应向发包人和监理人提交分包合同副本；</w:t>
      </w:r>
    </w:p>
    <w:p w14:paraId="61E5629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承包人违反以下条款的约定，未经监理人批准，私自将已按合同约定进入施工场地的施工设备、临时设施或材料撤离施工场地；</w:t>
      </w:r>
    </w:p>
    <w:p w14:paraId="3804804B">
      <w:pPr>
        <w:spacing w:line="360" w:lineRule="auto"/>
        <w:ind w:firstLine="480" w:firstLineChars="200"/>
        <w:rPr>
          <w:b/>
          <w:bCs/>
        </w:rPr>
      </w:pPr>
      <w:r>
        <w:rPr>
          <w:rFonts w:hint="eastAsia"/>
          <w:bCs/>
        </w:rPr>
        <w:t>①运入施工场地的材料、工程设备，包括备品备件、安装专用工器具与随机资料，必须专用于合同约定范围内的工程，未经监理人同意，承包人不得运出施工场地或挪作他用。</w:t>
      </w:r>
    </w:p>
    <w:p w14:paraId="1FBA88A0">
      <w:pPr>
        <w:spacing w:line="360" w:lineRule="auto"/>
        <w:ind w:firstLine="480" w:firstLineChars="200"/>
        <w:rPr>
          <w:b/>
          <w:bCs/>
        </w:rPr>
      </w:pPr>
      <w:r>
        <w:rPr>
          <w:rFonts w:hint="eastAsia"/>
          <w:bCs/>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521831A0">
      <w:pPr>
        <w:spacing w:line="360" w:lineRule="auto"/>
        <w:ind w:firstLine="480" w:firstLineChars="200"/>
        <w:rPr>
          <w:b/>
          <w:bCs/>
        </w:rPr>
      </w:pPr>
      <w:r>
        <w:rPr>
          <w:rFonts w:hint="eastAsia"/>
          <w:bCs/>
        </w:rPr>
        <w:t>③除合同另有约定外，运入施工场地的所有施工设备以及在施工场地建设的临时设施应专用于合同工程。未经监理人同意，不得将上述施工设备和临时设施中的任何部分运出施工场地或挪作他用。</w:t>
      </w:r>
    </w:p>
    <w:p w14:paraId="05349641">
      <w:pPr>
        <w:spacing w:line="360" w:lineRule="auto"/>
        <w:ind w:firstLine="480" w:firstLineChars="200"/>
        <w:rPr>
          <w:b/>
          <w:bCs/>
        </w:rPr>
      </w:pPr>
      <w:r>
        <w:rPr>
          <w:rFonts w:hint="eastAsia"/>
          <w:bCs/>
        </w:rPr>
        <w:t>④经监理人同意，承包人可根据合同进度计划撤走闲置的施工设备。</w:t>
      </w:r>
    </w:p>
    <w:p w14:paraId="4D74E7E5">
      <w:pPr>
        <w:pStyle w:val="101"/>
        <w:numPr>
          <w:ilvl w:val="3"/>
          <w:numId w:val="3"/>
        </w:numPr>
        <w:spacing w:line="360" w:lineRule="auto"/>
        <w:ind w:left="1276" w:firstLineChars="0"/>
        <w:rPr>
          <w:rFonts w:ascii="宋体" w:cs="华文仿宋"/>
          <w:b w:val="0"/>
          <w:bCs/>
          <w:sz w:val="24"/>
          <w:szCs w:val="24"/>
        </w:rPr>
      </w:pPr>
      <w:r>
        <w:rPr>
          <w:rFonts w:hint="eastAsia" w:ascii="宋体" w:hAnsi="宋体" w:cs="宋体"/>
          <w:b w:val="0"/>
          <w:bCs/>
          <w:sz w:val="24"/>
          <w:szCs w:val="24"/>
        </w:rPr>
        <w:t>承包人违反以下条款的约定使用了不合格材料或工程设备，工程质量达不到标准要求，又拒绝清除不合格工程；</w:t>
      </w:r>
    </w:p>
    <w:p w14:paraId="18F12372">
      <w:pPr>
        <w:spacing w:line="360" w:lineRule="auto"/>
        <w:ind w:firstLine="480" w:firstLineChars="200"/>
        <w:rPr>
          <w:b/>
          <w:bCs/>
        </w:rPr>
      </w:pPr>
      <w:r>
        <w:rPr>
          <w:rFonts w:hint="eastAsia"/>
          <w:bCs/>
        </w:rPr>
        <w:t>①监理人有权拒绝承包人提供的不合格材料或工程设备，并要求承包人立即进行更换。监理人应在更换后再次进行检查和检验，由此增加的费用和（或）工期延误及损失等由承包人承担。</w:t>
      </w:r>
    </w:p>
    <w:p w14:paraId="75E98B6D">
      <w:pPr>
        <w:spacing w:line="360" w:lineRule="auto"/>
        <w:ind w:firstLine="480" w:firstLineChars="200"/>
        <w:rPr>
          <w:b/>
          <w:bCs/>
        </w:rPr>
      </w:pPr>
      <w:r>
        <w:rPr>
          <w:rFonts w:hint="eastAsia"/>
          <w:bCs/>
        </w:rPr>
        <w:t>②监理人发现承包人使用了不合格的材料和工程设备，应即时发出指示要求承包人立即改正，并禁止在工程中继续使用不合格的材料和工程设备。</w:t>
      </w:r>
    </w:p>
    <w:p w14:paraId="1B96CB96">
      <w:pPr>
        <w:spacing w:line="360" w:lineRule="auto"/>
        <w:ind w:firstLine="480" w:firstLineChars="200"/>
        <w:rPr>
          <w:rFonts w:cs="华文仿宋"/>
          <w:b/>
          <w:bCs/>
        </w:rPr>
      </w:pPr>
      <w:r>
        <w:rPr>
          <w:rFonts w:hint="eastAsia"/>
          <w:bCs/>
        </w:rPr>
        <w:t>③发</w:t>
      </w:r>
      <w:r>
        <w:rPr>
          <w:rFonts w:hint="eastAsia" w:cs="华文仿宋"/>
          <w:bCs/>
        </w:rPr>
        <w:t>包人提供的材料或工程设备不符合合同要求的，承包人有权拒绝，并可要求发包人更换，由此增加的费用和（或）工期延误由发包人承担。</w:t>
      </w:r>
    </w:p>
    <w:p w14:paraId="030CFE0E">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承包人未能按合同进度计划及时完成合同约定的工作，造成工期延误；</w:t>
      </w:r>
    </w:p>
    <w:p w14:paraId="247B1A48">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由于承包人原因未能通过竣工试验或竣工后试验的；</w:t>
      </w:r>
    </w:p>
    <w:p w14:paraId="21AC02AB">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承包人在缺陷责任期内，未能对工程接收证书所列的缺陷清单的内容或缺陷责任期内发生的缺陷进行修复，而又拒绝按监理人指示再进行修补；</w:t>
      </w:r>
    </w:p>
    <w:p w14:paraId="5EEF21AD">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承包人无法继续履行或明确表示不履行或实质上已停止履行合同；</w:t>
      </w:r>
    </w:p>
    <w:p w14:paraId="16EBD59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承包人未能按期开工；</w:t>
      </w:r>
    </w:p>
    <w:p w14:paraId="706E09B3">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承包人违反以下条款规定，未按承诺或未按监理人的要求及时配备称职的主要管理人员、技术骨干；</w:t>
      </w:r>
    </w:p>
    <w:p w14:paraId="4876FDEE">
      <w:pPr>
        <w:pStyle w:val="101"/>
        <w:numPr>
          <w:ilvl w:val="0"/>
          <w:numId w:val="4"/>
        </w:numPr>
        <w:spacing w:line="360" w:lineRule="auto"/>
        <w:ind w:firstLineChars="0"/>
        <w:rPr>
          <w:rFonts w:ascii="宋体" w:hAnsi="宋体" w:cs="宋体"/>
          <w:b w:val="0"/>
          <w:bCs/>
          <w:sz w:val="24"/>
          <w:szCs w:val="24"/>
        </w:rPr>
      </w:pPr>
      <w:r>
        <w:rPr>
          <w:rFonts w:hint="eastAsia" w:ascii="宋体" w:hAnsi="宋体" w:cs="宋体"/>
          <w:b w:val="0"/>
          <w:bCs/>
          <w:sz w:val="24"/>
          <w:szCs w:val="24"/>
        </w:rPr>
        <w:t>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w:t>
      </w:r>
      <w:bookmarkStart w:id="2" w:name="OLE_LINK5"/>
      <w:r>
        <w:rPr>
          <w:rFonts w:hint="eastAsia" w:ascii="宋体" w:hAnsi="宋体" w:cs="宋体"/>
          <w:b w:val="0"/>
          <w:bCs/>
          <w:sz w:val="24"/>
          <w:szCs w:val="24"/>
        </w:rPr>
        <w:t>业主项目相关</w:t>
      </w:r>
      <w:bookmarkEnd w:id="2"/>
      <w:r>
        <w:rPr>
          <w:rFonts w:hint="eastAsia" w:ascii="宋体" w:hAnsi="宋体" w:cs="宋体"/>
          <w:b w:val="0"/>
          <w:bCs/>
          <w:sz w:val="24"/>
          <w:szCs w:val="24"/>
        </w:rPr>
        <w:t>规定执行。</w:t>
      </w:r>
    </w:p>
    <w:p w14:paraId="17F86E80">
      <w:pPr>
        <w:spacing w:line="360" w:lineRule="auto"/>
        <w:ind w:firstLine="480" w:firstLineChars="200"/>
        <w:rPr>
          <w:b/>
          <w:bCs/>
        </w:rPr>
      </w:pPr>
      <w:r>
        <w:rPr>
          <w:rFonts w:hint="eastAsia"/>
          <w:bCs/>
        </w:rPr>
        <w:t>②承包人安排的主要管理人员包括项目经理、设计负责人、施工负责人、勘察负责人、采购负责人以及专职质量、安全生产管理人员等；技术人员包括设计师、建筑师、土木工程师、设备工程师、建造师等。</w:t>
      </w:r>
    </w:p>
    <w:p w14:paraId="30B3F294">
      <w:pPr>
        <w:spacing w:line="360" w:lineRule="auto"/>
        <w:ind w:firstLine="480" w:firstLineChars="200"/>
        <w:rPr>
          <w:b/>
          <w:bCs/>
        </w:rPr>
      </w:pPr>
      <w:r>
        <w:rPr>
          <w:rFonts w:hint="eastAsia"/>
          <w:bCs/>
        </w:rPr>
        <w:t>③承包人的设计人员应具有国家规定和发包人要求中约定的资格，并具有从事设计所必需的经验与能力。</w:t>
      </w:r>
    </w:p>
    <w:p w14:paraId="026DD596">
      <w:pPr>
        <w:spacing w:line="360" w:lineRule="auto"/>
        <w:ind w:firstLine="480" w:firstLineChars="200"/>
        <w:rPr>
          <w:b/>
          <w:bCs/>
        </w:rPr>
      </w:pPr>
      <w:r>
        <w:rPr>
          <w:rFonts w:hint="eastAsia"/>
          <w:bCs/>
        </w:rPr>
        <w:t>承包人应保证其设计人员（包括分包人的设计人员）在合同期限内的任何时候，都能按时参加发包人或其委托的监理人组织的工作会议。</w:t>
      </w:r>
    </w:p>
    <w:p w14:paraId="4AA78959">
      <w:pPr>
        <w:spacing w:line="360" w:lineRule="auto"/>
        <w:ind w:firstLine="480" w:firstLineChars="200"/>
        <w:rPr>
          <w:b/>
          <w:bCs/>
        </w:rPr>
      </w:pPr>
      <w:r>
        <w:rPr>
          <w:rFonts w:hint="eastAsia"/>
          <w:bCs/>
        </w:rPr>
        <w:t>④国家规定应当持证上岗的工作人员均应持有相应的资格证明，监理人有权随时检查。监理人认为有必要时，可进行现场考核。</w:t>
      </w:r>
    </w:p>
    <w:p w14:paraId="184CFB78">
      <w:pPr>
        <w:spacing w:line="360" w:lineRule="auto"/>
        <w:ind w:firstLine="480" w:firstLineChars="200"/>
        <w:rPr>
          <w:rFonts w:cs="华文仿宋"/>
          <w:b/>
          <w:bCs/>
        </w:rPr>
      </w:pPr>
      <w:r>
        <w:rPr>
          <w:rFonts w:hint="eastAsia"/>
          <w:bCs/>
        </w:rPr>
        <w:t>⑤</w:t>
      </w:r>
      <w:r>
        <w:rPr>
          <w:rFonts w:hint="eastAsia" w:cs="华文仿宋"/>
          <w:bCs/>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C57F6CB">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经监理人和发包人检查，发现承包人有安全问题或有违反安全管理规章制度的情况；</w:t>
      </w:r>
    </w:p>
    <w:p w14:paraId="35A3BF8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承包人不按合同约定履行义务的其他情况。</w:t>
      </w:r>
    </w:p>
    <w:p w14:paraId="65F7B2EC">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对承包人违约的处理</w:t>
      </w:r>
    </w:p>
    <w:p w14:paraId="6A9804DD">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承包人发生第5.1.1.6条约定的违约情况时，按照发包人要求中的未能通过竣工/竣工后试验的损害进行赔偿。发生延期的，承包人应承担延期责任。</w:t>
      </w:r>
    </w:p>
    <w:p w14:paraId="64FF792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承包人发生第5.1.1.2、第5.1.1.8条约定的违约情况时，发包人可通知承包人立即解除合同，并按第5.1.3项、第5.1.4项、第5.1.5项约定处理。</w:t>
      </w:r>
    </w:p>
    <w:p w14:paraId="37D802CC">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5.1.1.2、5.1.1.6条和第5.1.1.8条约定以外的其他违约情况时，监理人可向承包人发出整改通知，要求其在指定的期限内纠正。除合同条款另有约定外，承包人应承担其违约所引起的费用增加和（或）工期延误。</w:t>
      </w:r>
    </w:p>
    <w:p w14:paraId="74F00AF9">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承包人发生第5.1.1.2、5.1.1.8条约定的违约情况时，发包人可通知承包人立即解除合同，并按有关法律处理。除本合同其他约定和有关责任外，承包人还应按本合同总价款的</w:t>
      </w:r>
      <w:r>
        <w:rPr>
          <w:rFonts w:hint="eastAsia" w:ascii="宋体" w:hAnsi="宋体" w:cs="华文仿宋"/>
          <w:b w:val="0"/>
          <w:bCs/>
          <w:sz w:val="24"/>
          <w:szCs w:val="24"/>
          <w:u w:val="single"/>
        </w:rPr>
        <w:t>1</w:t>
      </w:r>
      <w:r>
        <w:rPr>
          <w:rFonts w:hint="eastAsia" w:ascii="宋体" w:hAnsi="宋体" w:cs="华文仿宋"/>
          <w:b w:val="0"/>
          <w:bCs/>
          <w:sz w:val="24"/>
          <w:szCs w:val="24"/>
        </w:rPr>
        <w:t>%向发包人支付违约金。</w:t>
      </w:r>
    </w:p>
    <w:p w14:paraId="37E1DB82">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承包人发生除第5.1.1.8条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6EAED707">
      <w:pPr>
        <w:spacing w:line="360" w:lineRule="auto"/>
        <w:ind w:left="1260" w:firstLine="420"/>
        <w:rPr>
          <w:rFonts w:cs="华文仿宋"/>
          <w:b/>
          <w:bCs/>
        </w:rPr>
      </w:pPr>
      <w:r>
        <w:rPr>
          <w:rFonts w:hint="eastAsia" w:cs="华文仿宋"/>
          <w:bCs/>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447C085A">
      <w:pPr>
        <w:spacing w:line="360" w:lineRule="auto"/>
        <w:ind w:left="1260" w:firstLine="480" w:firstLineChars="200"/>
        <w:rPr>
          <w:rFonts w:cs="华文仿宋"/>
          <w:b/>
          <w:bCs/>
        </w:rPr>
      </w:pPr>
      <w:r>
        <w:rPr>
          <w:rFonts w:hint="eastAsia" w:cs="华文仿宋"/>
          <w:bCs/>
        </w:rPr>
        <w:t>若承包人在违约行为发生之日起7天内未向发包人支付违约金，则发包人有权在应付承包人的工程款中扣除上述违约金。</w:t>
      </w:r>
    </w:p>
    <w:p w14:paraId="6559323F">
      <w:pPr>
        <w:pStyle w:val="101"/>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29E974A7">
      <w:pPr>
        <w:pStyle w:val="101"/>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其它违约行为。</w:t>
      </w:r>
    </w:p>
    <w:p w14:paraId="7C2CF55E">
      <w:pPr>
        <w:snapToGrid w:val="0"/>
        <w:spacing w:line="360" w:lineRule="auto"/>
        <w:ind w:firstLine="470" w:firstLineChars="196"/>
        <w:rPr>
          <w:rFonts w:cs="华文仿宋"/>
          <w:b/>
          <w:bCs/>
        </w:rPr>
      </w:pPr>
      <w:r>
        <w:rPr>
          <w:rFonts w:hint="eastAsia" w:cs="华文仿宋"/>
          <w:bCs/>
        </w:rPr>
        <w:t>承包人承担违约责任形式包括但不限于:</w:t>
      </w:r>
    </w:p>
    <w:p w14:paraId="63CE1B05">
      <w:pPr>
        <w:snapToGrid w:val="0"/>
        <w:spacing w:line="360" w:lineRule="auto"/>
        <w:ind w:firstLine="470" w:firstLineChars="196"/>
        <w:rPr>
          <w:rFonts w:cs="华文仿宋"/>
          <w:b/>
          <w:bCs/>
        </w:rPr>
      </w:pPr>
      <w:r>
        <w:rPr>
          <w:rFonts w:hint="eastAsia" w:cs="华文仿宋"/>
          <w:bCs/>
        </w:rPr>
        <w:t>①书面警告。承包人未履行或未按时履行或未按质履行义务及监理工程师或发包人（含主管人员）的指示时，监理工程师或发包人有权向承包人发出书面警告，每次书面警告，承包人应当支付人民币2000元违约金给发包人。</w:t>
      </w:r>
    </w:p>
    <w:p w14:paraId="74EF8307">
      <w:pPr>
        <w:snapToGrid w:val="0"/>
        <w:spacing w:line="360" w:lineRule="auto"/>
        <w:ind w:firstLine="470" w:firstLineChars="196"/>
        <w:rPr>
          <w:rFonts w:cs="华文仿宋"/>
          <w:b/>
          <w:bCs/>
        </w:rPr>
      </w:pPr>
      <w:r>
        <w:rPr>
          <w:rFonts w:hint="eastAsia" w:cs="华文仿宋"/>
          <w:bCs/>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382992F">
      <w:pPr>
        <w:snapToGrid w:val="0"/>
        <w:spacing w:line="360" w:lineRule="auto"/>
        <w:ind w:firstLine="470" w:firstLineChars="196"/>
        <w:rPr>
          <w:rFonts w:cs="华文仿宋"/>
          <w:b/>
          <w:bCs/>
        </w:rPr>
      </w:pPr>
      <w:r>
        <w:rPr>
          <w:rFonts w:hint="eastAsia" w:cs="华文仿宋"/>
          <w:bCs/>
        </w:rPr>
        <w:t>③一般违约责任。承包人违反本合同的约定须承担一般违约责任时，必须主动向发包人缴纳违约金人民币1万元/次；若承包人再犯性质相同的违约行为，第2 次1.5万元，2次以上（不含本数）2万元/次。</w:t>
      </w:r>
    </w:p>
    <w:p w14:paraId="643B5A4B">
      <w:pPr>
        <w:snapToGrid w:val="0"/>
        <w:spacing w:line="360" w:lineRule="auto"/>
        <w:ind w:firstLine="470" w:firstLineChars="196"/>
        <w:rPr>
          <w:rFonts w:cs="华文仿宋"/>
          <w:b/>
          <w:bCs/>
        </w:rPr>
      </w:pPr>
      <w:r>
        <w:rPr>
          <w:rFonts w:hint="eastAsia" w:cs="华文仿宋"/>
          <w:bCs/>
        </w:rPr>
        <w:t>④严重违约责任。承包人违反本合同的约定须承担严重违约责任时，必须向发包人交纳违约金人民币5万元/次。</w:t>
      </w:r>
    </w:p>
    <w:p w14:paraId="5403CE41">
      <w:pPr>
        <w:snapToGrid w:val="0"/>
        <w:spacing w:line="360" w:lineRule="auto"/>
        <w:ind w:firstLine="470" w:firstLineChars="196"/>
        <w:rPr>
          <w:rFonts w:cs="华文仿宋"/>
          <w:b/>
          <w:bCs/>
        </w:rPr>
      </w:pPr>
      <w:r>
        <w:rPr>
          <w:rFonts w:hint="eastAsia" w:cs="华文仿宋"/>
          <w:bCs/>
        </w:rPr>
        <w:t>⑤部分解除合同。当承包人违反本合同的约定符合解除部分合同的条件时，发包人有权向承包人发出书面解除部分合同的通知，该通知在送达承包人时部分解除合同即生效。部分解除合同的法律后果依照第5.1.3、5.1.4条的相关约定执行。</w:t>
      </w:r>
    </w:p>
    <w:p w14:paraId="310C79BE">
      <w:pPr>
        <w:snapToGrid w:val="0"/>
        <w:spacing w:line="360" w:lineRule="auto"/>
        <w:ind w:firstLine="470" w:firstLineChars="196"/>
        <w:rPr>
          <w:rFonts w:cs="华文仿宋"/>
          <w:b/>
          <w:bCs/>
        </w:rPr>
      </w:pPr>
      <w:r>
        <w:rPr>
          <w:rFonts w:hint="eastAsia" w:cs="华文仿宋"/>
          <w:bCs/>
        </w:rPr>
        <w:t>⑥解除合同。当承包人违反本合同的约定符合解除全部合同的条件时，发包人有权向承包人发出书面解除全部合同的通知，该通知在送达承包人时解除合同即生效。解除合同的法律后果依照第5.1.3、5.1.4条的相关约定执行。</w:t>
      </w:r>
    </w:p>
    <w:p w14:paraId="46A7379A">
      <w:pPr>
        <w:snapToGrid w:val="0"/>
        <w:spacing w:line="360" w:lineRule="auto"/>
        <w:ind w:firstLine="470" w:firstLineChars="196"/>
        <w:rPr>
          <w:rFonts w:cs="华文仿宋"/>
          <w:b/>
          <w:bCs/>
        </w:rPr>
      </w:pPr>
      <w:r>
        <w:rPr>
          <w:rFonts w:hint="eastAsia" w:cs="华文仿宋"/>
          <w:bCs/>
        </w:rPr>
        <w:t>⑦赔偿损失。因承包人原因造成发包人经济损失的，承包人应向发包人赔偿全部损失，包括直接损失和间接损失。</w:t>
      </w:r>
    </w:p>
    <w:p w14:paraId="180CF706">
      <w:pPr>
        <w:pStyle w:val="101"/>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三次限期改正责任相当于一次一般违约责任；三次一般违约责任相当于一次严重违约责任；累计三次严重违约责任，发包人有权单方部分或全部解除合同。</w:t>
      </w:r>
    </w:p>
    <w:p w14:paraId="446D601F">
      <w:pPr>
        <w:pStyle w:val="101"/>
        <w:numPr>
          <w:ilvl w:val="3"/>
          <w:numId w:val="3"/>
        </w:numPr>
        <w:spacing w:line="360" w:lineRule="auto"/>
        <w:ind w:left="1276" w:firstLineChars="0"/>
        <w:rPr>
          <w:rFonts w:ascii="宋体" w:hAnsi="宋体" w:cs="华文仿宋"/>
          <w:b w:val="0"/>
          <w:bCs/>
          <w:sz w:val="24"/>
          <w:szCs w:val="24"/>
        </w:rPr>
      </w:pPr>
      <w:r>
        <w:rPr>
          <w:rFonts w:hint="eastAsia" w:ascii="宋体" w:hAnsi="宋体" w:cs="华文仿宋"/>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330D4EEB">
      <w:pPr>
        <w:snapToGrid w:val="0"/>
        <w:spacing w:line="360" w:lineRule="auto"/>
        <w:ind w:firstLine="480" w:firstLineChars="200"/>
        <w:rPr>
          <w:rFonts w:cs="华文仿宋"/>
        </w:rPr>
      </w:pPr>
      <w:r>
        <w:rPr>
          <w:rFonts w:hint="eastAsia" w:cs="华文仿宋"/>
        </w:rPr>
        <w:t>工期延误方面的违约责任</w:t>
      </w:r>
    </w:p>
    <w:p w14:paraId="2099560E">
      <w:pPr>
        <w:snapToGrid w:val="0"/>
        <w:spacing w:line="360" w:lineRule="auto"/>
        <w:ind w:firstLine="470" w:firstLineChars="196"/>
        <w:rPr>
          <w:rFonts w:cs="华文仿宋"/>
          <w:b/>
          <w:bCs/>
        </w:rPr>
      </w:pPr>
      <w:r>
        <w:rPr>
          <w:rFonts w:hint="eastAsia" w:cs="华文仿宋"/>
          <w:bCs/>
        </w:rPr>
        <w:t>①承包人违反协议书约定延期开工的，每延迟开工1天，应给发包人支付本工程合同价款的1‰的违约金；延迟开工超过10天的，发包人有权解除合同，将本工程另行发包，并不免除承包人的违约赔偿责任。</w:t>
      </w:r>
    </w:p>
    <w:p w14:paraId="358711E8">
      <w:pPr>
        <w:snapToGrid w:val="0"/>
        <w:spacing w:line="360" w:lineRule="auto"/>
        <w:ind w:firstLine="470" w:firstLineChars="196"/>
        <w:rPr>
          <w:rFonts w:cs="华文仿宋"/>
        </w:rPr>
      </w:pPr>
      <w:r>
        <w:rPr>
          <w:rFonts w:hint="eastAsia" w:cs="华文仿宋"/>
        </w:rPr>
        <w:t>工程质量方面的违约责任:</w:t>
      </w:r>
    </w:p>
    <w:p w14:paraId="19C6BB50">
      <w:pPr>
        <w:snapToGrid w:val="0"/>
        <w:spacing w:line="360" w:lineRule="auto"/>
        <w:ind w:firstLine="470" w:firstLineChars="196"/>
        <w:rPr>
          <w:rFonts w:cs="华文仿宋"/>
          <w:b/>
          <w:bCs/>
        </w:rPr>
      </w:pPr>
      <w:r>
        <w:rPr>
          <w:rFonts w:hint="eastAsia" w:cs="华文仿宋"/>
          <w:bCs/>
        </w:rPr>
        <w:t>①发包人和监理人抽查承包人的工程材料时，发现所检查的材料不符合合同约定时，承包人除必须全部退货、返工，并赔偿由此造成的损失外，承包人应当按照该批次材料的价值，按照如下方式承担违约责任：</w:t>
      </w:r>
    </w:p>
    <w:p w14:paraId="780CB138">
      <w:pPr>
        <w:snapToGrid w:val="0"/>
        <w:spacing w:line="360" w:lineRule="auto"/>
        <w:ind w:firstLine="470" w:firstLineChars="196"/>
        <w:rPr>
          <w:rFonts w:cs="华文仿宋"/>
          <w:b/>
          <w:bCs/>
        </w:rPr>
      </w:pPr>
      <w:r>
        <w:rPr>
          <w:rFonts w:hint="eastAsia" w:cs="华文仿宋"/>
          <w:bCs/>
        </w:rPr>
        <w:t>A.单宗或批次材料价值在10万元以上100万元以下（含100万元），承包人承担1次一般违约责任。</w:t>
      </w:r>
    </w:p>
    <w:p w14:paraId="19F7A449">
      <w:pPr>
        <w:snapToGrid w:val="0"/>
        <w:spacing w:line="360" w:lineRule="auto"/>
        <w:ind w:firstLine="470" w:firstLineChars="196"/>
        <w:rPr>
          <w:rFonts w:cs="华文仿宋"/>
          <w:b/>
          <w:bCs/>
        </w:rPr>
      </w:pPr>
      <w:r>
        <w:rPr>
          <w:rFonts w:hint="eastAsia" w:cs="华文仿宋"/>
          <w:bCs/>
        </w:rPr>
        <w:t>B.单宗或批次材料价值100-200万元（含200万元），承包人承担1次严重违约责任。</w:t>
      </w:r>
    </w:p>
    <w:p w14:paraId="4C66506C">
      <w:pPr>
        <w:snapToGrid w:val="0"/>
        <w:spacing w:line="360" w:lineRule="auto"/>
        <w:ind w:firstLine="470" w:firstLineChars="196"/>
        <w:rPr>
          <w:rFonts w:cs="华文仿宋"/>
          <w:b/>
          <w:bCs/>
        </w:rPr>
      </w:pPr>
      <w:r>
        <w:rPr>
          <w:rFonts w:hint="eastAsia" w:cs="华文仿宋"/>
          <w:bCs/>
        </w:rPr>
        <w:t>C.单宗或批次材料价值在200万元以上的，发包人有权部分解除合同或解除合同，并要求承包人赔偿发包人由此遭受的实际损失。</w:t>
      </w:r>
    </w:p>
    <w:p w14:paraId="0C281927">
      <w:pPr>
        <w:snapToGrid w:val="0"/>
        <w:spacing w:line="360" w:lineRule="auto"/>
        <w:ind w:firstLine="470" w:firstLineChars="196"/>
        <w:rPr>
          <w:rFonts w:cs="华文仿宋"/>
          <w:b/>
          <w:bCs/>
        </w:rPr>
      </w:pPr>
      <w:r>
        <w:rPr>
          <w:rFonts w:hint="eastAsia" w:cs="华文仿宋"/>
          <w:bCs/>
        </w:rPr>
        <w:t>D.对于单宗或批次材料价值不高于10万元的（含10万元），累计抽检不合格达5次，承包人承担1次一般违约责任。</w:t>
      </w:r>
    </w:p>
    <w:p w14:paraId="79599F71">
      <w:pPr>
        <w:snapToGrid w:val="0"/>
        <w:spacing w:line="360" w:lineRule="auto"/>
        <w:ind w:firstLine="470" w:firstLineChars="196"/>
        <w:rPr>
          <w:rFonts w:cs="华文仿宋"/>
          <w:b/>
          <w:bCs/>
        </w:rPr>
      </w:pPr>
      <w:r>
        <w:rPr>
          <w:rFonts w:hint="eastAsia" w:cs="华文仿宋"/>
          <w:bCs/>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7E46ADAE">
      <w:pPr>
        <w:snapToGrid w:val="0"/>
        <w:spacing w:line="360" w:lineRule="auto"/>
        <w:ind w:firstLine="470" w:firstLineChars="196"/>
        <w:rPr>
          <w:rFonts w:cs="华文仿宋"/>
          <w:b/>
          <w:bCs/>
        </w:rPr>
      </w:pPr>
      <w:r>
        <w:rPr>
          <w:rFonts w:hint="eastAsia" w:cs="华文仿宋"/>
          <w:bCs/>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7881E12C">
      <w:pPr>
        <w:snapToGrid w:val="0"/>
        <w:spacing w:line="360" w:lineRule="auto"/>
        <w:ind w:firstLine="470" w:firstLineChars="196"/>
        <w:rPr>
          <w:rFonts w:cs="华文仿宋"/>
        </w:rPr>
      </w:pPr>
      <w:r>
        <w:rPr>
          <w:rFonts w:hint="eastAsia" w:cs="华文仿宋"/>
        </w:rPr>
        <w:t>安全生产方面的违约责任</w:t>
      </w:r>
    </w:p>
    <w:p w14:paraId="29A843A8">
      <w:pPr>
        <w:snapToGrid w:val="0"/>
        <w:spacing w:line="360" w:lineRule="auto"/>
        <w:ind w:firstLine="470" w:firstLineChars="196"/>
        <w:rPr>
          <w:rFonts w:cs="华文仿宋"/>
          <w:b/>
          <w:bCs/>
        </w:rPr>
      </w:pPr>
      <w:r>
        <w:rPr>
          <w:rFonts w:hint="eastAsia" w:cs="华文仿宋"/>
          <w:bCs/>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37384273">
      <w:pPr>
        <w:snapToGrid w:val="0"/>
        <w:spacing w:line="360" w:lineRule="auto"/>
        <w:ind w:firstLine="470" w:firstLineChars="196"/>
        <w:rPr>
          <w:rFonts w:cs="华文仿宋"/>
          <w:b/>
          <w:bCs/>
        </w:rPr>
      </w:pPr>
      <w:r>
        <w:rPr>
          <w:rFonts w:hint="eastAsia" w:cs="华文仿宋"/>
          <w:bCs/>
        </w:rPr>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0459F505">
      <w:pPr>
        <w:snapToGrid w:val="0"/>
        <w:spacing w:line="360" w:lineRule="auto"/>
        <w:ind w:firstLine="470" w:firstLineChars="196"/>
        <w:rPr>
          <w:rFonts w:cs="华文仿宋"/>
          <w:b/>
          <w:bCs/>
        </w:rPr>
      </w:pPr>
      <w:r>
        <w:rPr>
          <w:rFonts w:hint="eastAsia" w:cs="华文仿宋"/>
          <w:bCs/>
        </w:rPr>
        <w:t>③承包人因自身原因造成的重大安全事故（含工程质量事故）的，除按国家规定由发包人报主管部门处罚外，承包人必须依照下列约定承担违约责任：</w:t>
      </w:r>
    </w:p>
    <w:p w14:paraId="0A197FFC">
      <w:pPr>
        <w:snapToGrid w:val="0"/>
        <w:spacing w:line="360" w:lineRule="auto"/>
        <w:ind w:firstLine="470" w:firstLineChars="196"/>
        <w:rPr>
          <w:rFonts w:cs="华文仿宋"/>
          <w:b/>
          <w:bCs/>
        </w:rPr>
      </w:pPr>
      <w:r>
        <w:rPr>
          <w:rFonts w:hint="eastAsia" w:cs="华文仿宋"/>
          <w:bCs/>
        </w:rPr>
        <w:t>A.发生特别重大事故，承包人按事故所属分项工程总价15%，向发包人支付违约金，违约金的数额不得低于5万元；</w:t>
      </w:r>
    </w:p>
    <w:p w14:paraId="0F4F9EBF">
      <w:pPr>
        <w:snapToGrid w:val="0"/>
        <w:spacing w:line="360" w:lineRule="auto"/>
        <w:ind w:firstLine="470" w:firstLineChars="196"/>
        <w:rPr>
          <w:rFonts w:cs="华文仿宋"/>
          <w:b/>
          <w:bCs/>
        </w:rPr>
      </w:pPr>
      <w:r>
        <w:rPr>
          <w:rFonts w:hint="eastAsia" w:cs="华文仿宋"/>
          <w:bCs/>
        </w:rPr>
        <w:t>B.发生重大事故，承包人按事故所属分项工程总价12%，向发包人支付违约金，违约金的数额不得低于3万元；</w:t>
      </w:r>
    </w:p>
    <w:p w14:paraId="7C89C1B3">
      <w:pPr>
        <w:snapToGrid w:val="0"/>
        <w:spacing w:line="360" w:lineRule="auto"/>
        <w:ind w:firstLine="470" w:firstLineChars="196"/>
        <w:rPr>
          <w:rFonts w:cs="华文仿宋"/>
          <w:b/>
          <w:bCs/>
        </w:rPr>
      </w:pPr>
      <w:r>
        <w:rPr>
          <w:rFonts w:hint="eastAsia" w:cs="华文仿宋"/>
          <w:bCs/>
        </w:rPr>
        <w:t>C.发生较大事故，承包人按事故所属分项工程总价10%，向发包人支付违约金，违约金数额不得低于2万元；</w:t>
      </w:r>
    </w:p>
    <w:p w14:paraId="4BD8F8B2">
      <w:pPr>
        <w:snapToGrid w:val="0"/>
        <w:spacing w:line="360" w:lineRule="auto"/>
        <w:ind w:firstLine="470" w:firstLineChars="196"/>
        <w:rPr>
          <w:rFonts w:cs="华文仿宋"/>
          <w:b/>
          <w:bCs/>
        </w:rPr>
      </w:pPr>
      <w:r>
        <w:rPr>
          <w:rFonts w:hint="eastAsia" w:cs="华文仿宋"/>
          <w:bCs/>
        </w:rPr>
        <w:t>D.发生一般事故，承包人按事故所属分项工程总价8%，向发包人支付违约金，违约金数额不得低于1万元；</w:t>
      </w:r>
    </w:p>
    <w:p w14:paraId="5DC9AA7D">
      <w:pPr>
        <w:snapToGrid w:val="0"/>
        <w:spacing w:line="360" w:lineRule="auto"/>
        <w:ind w:firstLine="470" w:firstLineChars="196"/>
        <w:rPr>
          <w:rFonts w:cs="华文仿宋"/>
          <w:b/>
          <w:bCs/>
        </w:rPr>
      </w:pPr>
      <w:r>
        <w:rPr>
          <w:rFonts w:hint="eastAsia" w:cs="华文仿宋"/>
          <w:bCs/>
        </w:rPr>
        <w:t>发生上述重大事故，发包人视情况严重性，有权对承包人作出限期改正至严重违约的处罚，并有权部分或全部解除合同，按第5.1.3、5.1.4条执行。</w:t>
      </w:r>
    </w:p>
    <w:p w14:paraId="1C9E77D8">
      <w:pPr>
        <w:snapToGrid w:val="0"/>
        <w:spacing w:line="360" w:lineRule="auto"/>
        <w:ind w:firstLine="470" w:firstLineChars="196"/>
        <w:rPr>
          <w:rFonts w:cs="华文仿宋"/>
          <w:b/>
          <w:bCs/>
        </w:rPr>
      </w:pPr>
      <w:r>
        <w:rPr>
          <w:rFonts w:hint="eastAsia" w:cs="华文仿宋"/>
          <w:bCs/>
        </w:rPr>
        <w:t>承包人依照上述约定支付的违约金后，所支付的违约金不足于弥补发包人损失的，承包人必须据实赔偿。</w:t>
      </w:r>
    </w:p>
    <w:p w14:paraId="06686BAB">
      <w:pPr>
        <w:snapToGrid w:val="0"/>
        <w:spacing w:line="360" w:lineRule="auto"/>
        <w:ind w:firstLine="470" w:firstLineChars="196"/>
        <w:rPr>
          <w:rFonts w:cs="华文仿宋"/>
        </w:rPr>
      </w:pPr>
      <w:r>
        <w:rPr>
          <w:rFonts w:hint="eastAsia" w:cs="华文仿宋"/>
        </w:rPr>
        <w:t>文明施工、环境保护方面的违约责任:</w:t>
      </w:r>
    </w:p>
    <w:p w14:paraId="6EF73C8F">
      <w:pPr>
        <w:snapToGrid w:val="0"/>
        <w:spacing w:line="360" w:lineRule="auto"/>
        <w:ind w:firstLine="470" w:firstLineChars="196"/>
        <w:rPr>
          <w:rFonts w:cs="华文仿宋"/>
          <w:b/>
          <w:bCs/>
        </w:rPr>
      </w:pPr>
      <w:r>
        <w:rPr>
          <w:rFonts w:hint="eastAsia" w:cs="华文仿宋"/>
          <w:bCs/>
        </w:rPr>
        <w:t>①发包人、监理人对承包人文明施工措施进行对照检查。经检查发现承包人因自身原因未能落实的，承包人必须承担一般违约责任，并限期改正；如不限期改正，承包人须承担严重违约责任。</w:t>
      </w:r>
    </w:p>
    <w:p w14:paraId="1DDB380E">
      <w:pPr>
        <w:snapToGrid w:val="0"/>
        <w:spacing w:line="360" w:lineRule="auto"/>
        <w:ind w:firstLine="470" w:firstLineChars="196"/>
        <w:rPr>
          <w:rFonts w:cs="华文仿宋"/>
          <w:b/>
          <w:bCs/>
        </w:rPr>
      </w:pPr>
      <w:r>
        <w:rPr>
          <w:rFonts w:hint="eastAsia" w:cs="华文仿宋"/>
          <w:bCs/>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7E023F88">
      <w:pPr>
        <w:snapToGrid w:val="0"/>
        <w:spacing w:line="360" w:lineRule="auto"/>
        <w:ind w:firstLine="470" w:firstLineChars="196"/>
        <w:rPr>
          <w:rFonts w:cs="华文仿宋"/>
          <w:b/>
          <w:bCs/>
        </w:rPr>
      </w:pPr>
      <w:r>
        <w:rPr>
          <w:rFonts w:hint="eastAsia" w:cs="华文仿宋"/>
          <w:bCs/>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374C4B6E">
      <w:pPr>
        <w:snapToGrid w:val="0"/>
        <w:spacing w:line="360" w:lineRule="auto"/>
        <w:ind w:firstLine="470" w:firstLineChars="196"/>
        <w:rPr>
          <w:rFonts w:cs="华文仿宋"/>
        </w:rPr>
      </w:pPr>
      <w:r>
        <w:rPr>
          <w:rFonts w:hint="eastAsia" w:cs="华文仿宋"/>
        </w:rPr>
        <w:t>工程分包、转包方面的违约责任:</w:t>
      </w:r>
    </w:p>
    <w:p w14:paraId="04F67A94">
      <w:pPr>
        <w:snapToGrid w:val="0"/>
        <w:spacing w:line="360" w:lineRule="auto"/>
        <w:ind w:firstLine="470" w:firstLineChars="196"/>
        <w:rPr>
          <w:rFonts w:cs="华文仿宋"/>
          <w:b/>
          <w:bCs/>
        </w:rPr>
      </w:pPr>
      <w:r>
        <w:rPr>
          <w:rFonts w:hint="eastAsia" w:cs="华文仿宋"/>
          <w:bCs/>
        </w:rPr>
        <w:t>承包人擅自分包或者转包工程的，发包人有权单方部分或全部解除合同，由此而造成的经济损失由承包人负责赔偿，承包人履约保函不予退还，还需支付合同总价款2%的违约金，承包人对此须无异议。</w:t>
      </w:r>
    </w:p>
    <w:p w14:paraId="7EC93B68">
      <w:pPr>
        <w:snapToGrid w:val="0"/>
        <w:spacing w:line="360" w:lineRule="auto"/>
        <w:ind w:firstLine="470" w:firstLineChars="196"/>
        <w:rPr>
          <w:rFonts w:cs="华文仿宋"/>
        </w:rPr>
      </w:pPr>
      <w:r>
        <w:rPr>
          <w:rFonts w:hint="eastAsia" w:cs="华文仿宋"/>
        </w:rPr>
        <w:t>人员和设备投入不到位的违约责任:</w:t>
      </w:r>
    </w:p>
    <w:p w14:paraId="08F8F51A">
      <w:pPr>
        <w:pStyle w:val="101"/>
        <w:numPr>
          <w:ilvl w:val="0"/>
          <w:numId w:val="5"/>
        </w:numPr>
        <w:snapToGrid w:val="0"/>
        <w:spacing w:line="360" w:lineRule="auto"/>
        <w:ind w:firstLineChars="0"/>
        <w:rPr>
          <w:rFonts w:ascii="宋体" w:hAnsi="宋体" w:cs="华文仿宋"/>
          <w:b w:val="0"/>
          <w:bCs/>
          <w:sz w:val="24"/>
          <w:szCs w:val="24"/>
        </w:rPr>
      </w:pPr>
      <w:r>
        <w:rPr>
          <w:rFonts w:hint="eastAsia" w:ascii="宋体" w:hAnsi="宋体" w:cs="华文仿宋"/>
          <w:b w:val="0"/>
          <w:bCs/>
          <w:sz w:val="24"/>
          <w:szCs w:val="24"/>
        </w:rPr>
        <w:t>承包人违反第5.1.1.10条约定的（除专用条款已相应作出约定的），每发现一例，承包人必须按照总监理工程师或者发包人的指令限期改正；承包人拒不限期改正的，必须承担严重违约责任，直至部分或全部解除合同。</w:t>
      </w:r>
    </w:p>
    <w:p w14:paraId="51DFA4B6">
      <w:pPr>
        <w:snapToGrid w:val="0"/>
        <w:spacing w:line="360" w:lineRule="auto"/>
        <w:ind w:firstLine="470" w:firstLineChars="196"/>
        <w:rPr>
          <w:rFonts w:cs="华文仿宋"/>
          <w:b/>
          <w:bCs/>
        </w:rPr>
      </w:pPr>
      <w:r>
        <w:rPr>
          <w:rFonts w:hint="eastAsia" w:cs="华文仿宋"/>
          <w:bCs/>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0BBEB1C9">
      <w:pPr>
        <w:snapToGrid w:val="0"/>
        <w:spacing w:line="360" w:lineRule="auto"/>
        <w:ind w:firstLine="470" w:firstLineChars="196"/>
        <w:rPr>
          <w:rFonts w:cs="华文仿宋"/>
          <w:b/>
          <w:bCs/>
        </w:rPr>
      </w:pPr>
      <w:r>
        <w:rPr>
          <w:rFonts w:hint="eastAsia" w:cs="华文仿宋"/>
          <w:bCs/>
        </w:rPr>
        <w:t>③承包人的项目经理或技术负责人必须参加监理人或发包人主持的工程例会和其他要求的专题会议。除获得监理单位或发包人批准外，每缺席1次，承包人须承担1次一般违约责任。</w:t>
      </w:r>
    </w:p>
    <w:p w14:paraId="2DB7336D">
      <w:pPr>
        <w:snapToGrid w:val="0"/>
        <w:spacing w:line="360" w:lineRule="auto"/>
        <w:ind w:firstLine="470" w:firstLineChars="196"/>
        <w:rPr>
          <w:rFonts w:cs="华文仿宋"/>
        </w:rPr>
      </w:pPr>
      <w:r>
        <w:rPr>
          <w:rFonts w:hint="eastAsia" w:cs="华文仿宋"/>
        </w:rPr>
        <w:t>民工工资支付方面的违约责任:</w:t>
      </w:r>
    </w:p>
    <w:p w14:paraId="683CBA68">
      <w:pPr>
        <w:snapToGrid w:val="0"/>
        <w:spacing w:line="360" w:lineRule="auto"/>
        <w:ind w:firstLine="470" w:firstLineChars="196"/>
        <w:rPr>
          <w:rFonts w:cs="华文仿宋"/>
          <w:b/>
          <w:bCs/>
        </w:rPr>
      </w:pPr>
      <w:r>
        <w:rPr>
          <w:rFonts w:hint="eastAsia" w:cs="华文仿宋"/>
          <w:bCs/>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7CC81180">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因承包人违约解除合同</w:t>
      </w:r>
    </w:p>
    <w:p w14:paraId="22546705">
      <w:pPr>
        <w:spacing w:line="360" w:lineRule="auto"/>
        <w:ind w:firstLine="480" w:firstLineChars="200"/>
        <w:rPr>
          <w:rFonts w:cs="华文仿宋"/>
          <w:b/>
          <w:bCs/>
        </w:rPr>
      </w:pPr>
      <w:r>
        <w:rPr>
          <w:rFonts w:hint="eastAsia" w:cs="华文仿宋"/>
          <w:bCs/>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应承担的违约责任，也不影响发包人根据合同约定享有的索赔权利。</w:t>
      </w:r>
    </w:p>
    <w:p w14:paraId="1B00E689">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发包人发出合同解除通知后的估价、付款和结清</w:t>
      </w:r>
    </w:p>
    <w:p w14:paraId="0C98E6B2">
      <w:pPr>
        <w:pStyle w:val="101"/>
        <w:numPr>
          <w:ilvl w:val="3"/>
          <w:numId w:val="3"/>
        </w:numPr>
        <w:spacing w:line="360" w:lineRule="auto"/>
        <w:ind w:left="1276" w:firstLineChars="0"/>
        <w:rPr>
          <w:rFonts w:ascii="宋体" w:cs="华文仿宋"/>
          <w:b w:val="0"/>
          <w:bCs/>
          <w:sz w:val="24"/>
          <w:szCs w:val="24"/>
        </w:rPr>
      </w:pPr>
      <w:bookmarkStart w:id="3" w:name="OLE_LINK8"/>
      <w:r>
        <w:rPr>
          <w:rFonts w:hint="eastAsia" w:ascii="宋体" w:hAnsi="宋体" w:cs="华文仿宋"/>
          <w:b w:val="0"/>
          <w:bCs/>
          <w:sz w:val="24"/>
          <w:szCs w:val="24"/>
        </w:rPr>
        <w:t>承包人收到发包人解除合同通知后28天内，监理人按</w:t>
      </w:r>
      <w:bookmarkEnd w:id="3"/>
      <w:r>
        <w:rPr>
          <w:rFonts w:hint="eastAsia" w:ascii="宋体" w:hAnsi="宋体" w:cs="华文仿宋"/>
          <w:b w:val="0"/>
          <w:bCs/>
          <w:sz w:val="24"/>
          <w:szCs w:val="24"/>
        </w:rPr>
        <w:t>业主项目相关规定商定或确定承包人实际完成工作的价值，包括发包人扣留承包人的材料、设备及临时设施和承包人已提供的设计、材料、施工设备、工程设备、临时工程等的价值。</w:t>
      </w:r>
    </w:p>
    <w:p w14:paraId="60D6F4BB">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发包人发出解除合同通知后，发包人有权暂停对承包人的一切付款，查清各项付款和已扣款金额，包括承包人应支付的违约金。</w:t>
      </w:r>
    </w:p>
    <w:p w14:paraId="3177A15F">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发包人发出解除合同通知后，发包人有权向承包人索赔由于解除合同给发包人造成的损失。</w:t>
      </w:r>
    </w:p>
    <w:p w14:paraId="55768184">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合同双方确认合同价款后，发包人颁发最终结清付款证书，并结清全部合同款项。</w:t>
      </w:r>
    </w:p>
    <w:p w14:paraId="3E539426">
      <w:pPr>
        <w:pStyle w:val="101"/>
        <w:numPr>
          <w:ilvl w:val="3"/>
          <w:numId w:val="3"/>
        </w:numPr>
        <w:spacing w:line="360" w:lineRule="auto"/>
        <w:ind w:left="1276" w:firstLineChars="0"/>
        <w:rPr>
          <w:rFonts w:ascii="宋体" w:cs="华文仿宋"/>
          <w:b w:val="0"/>
          <w:bCs/>
          <w:sz w:val="24"/>
          <w:szCs w:val="24"/>
        </w:rPr>
      </w:pPr>
      <w:r>
        <w:rPr>
          <w:rFonts w:hint="eastAsia" w:ascii="宋体" w:hAnsi="宋体" w:cs="华文仿宋"/>
          <w:b w:val="0"/>
          <w:bCs/>
          <w:sz w:val="24"/>
          <w:szCs w:val="24"/>
        </w:rPr>
        <w:t>发包人和承包人未能就解除合同后的结清达成一致而形成争议的，按如下约定执行。</w:t>
      </w:r>
    </w:p>
    <w:p w14:paraId="27673E90">
      <w:pPr>
        <w:spacing w:line="360" w:lineRule="auto"/>
        <w:ind w:firstLine="480" w:firstLineChars="200"/>
        <w:rPr>
          <w:rFonts w:cs="华文仿宋"/>
          <w:b/>
          <w:bCs/>
        </w:rPr>
      </w:pPr>
      <w:r>
        <w:rPr>
          <w:rFonts w:hint="eastAsia" w:cs="华文仿宋"/>
          <w:bCs/>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3ED7DC1A">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协议利益的转让</w:t>
      </w:r>
    </w:p>
    <w:p w14:paraId="7A23975A">
      <w:pPr>
        <w:spacing w:line="360" w:lineRule="auto"/>
        <w:ind w:firstLine="480" w:firstLineChars="200"/>
        <w:rPr>
          <w:rFonts w:cs="华文仿宋"/>
          <w:b/>
          <w:bCs/>
        </w:rPr>
      </w:pPr>
      <w:r>
        <w:rPr>
          <w:rFonts w:hint="eastAsia" w:cs="华文仿宋"/>
          <w:bCs/>
        </w:rPr>
        <w:t xml:space="preserve">因承包人违约解除合同的，发包人有权要求承包人将其为实施合同而签订的材料和设备的订货协议或任何服务协议利益转让给发包人，并在解除合同后的14天内，依法办理转让手续。 </w:t>
      </w:r>
    </w:p>
    <w:p w14:paraId="42724398">
      <w:pPr>
        <w:spacing w:line="360" w:lineRule="auto"/>
        <w:ind w:firstLine="480" w:firstLineChars="200"/>
        <w:rPr>
          <w:rFonts w:cs="华文仿宋"/>
          <w:b/>
          <w:bCs/>
        </w:rPr>
      </w:pPr>
      <w:r>
        <w:rPr>
          <w:rFonts w:hint="eastAsia" w:cs="华文仿宋"/>
          <w:bCs/>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3497E746">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紧急情况下无能力或不愿进行抢救</w:t>
      </w:r>
    </w:p>
    <w:p w14:paraId="42904617">
      <w:pPr>
        <w:spacing w:line="360" w:lineRule="auto"/>
        <w:ind w:firstLine="480" w:firstLineChars="200"/>
        <w:rPr>
          <w:rFonts w:cs="华文仿宋"/>
          <w:b/>
          <w:bCs/>
        </w:rPr>
      </w:pPr>
      <w:r>
        <w:rPr>
          <w:rFonts w:hint="eastAsia" w:cs="华文仿宋"/>
          <w:bCs/>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33DDBC25">
      <w:pPr>
        <w:pStyle w:val="101"/>
        <w:numPr>
          <w:ilvl w:val="2"/>
          <w:numId w:val="3"/>
        </w:numPr>
        <w:spacing w:line="360" w:lineRule="auto"/>
        <w:ind w:left="993" w:firstLineChars="0"/>
        <w:rPr>
          <w:rFonts w:ascii="宋体" w:cs="华文仿宋"/>
          <w:b w:val="0"/>
          <w:bCs/>
          <w:sz w:val="24"/>
          <w:szCs w:val="24"/>
        </w:rPr>
      </w:pPr>
      <w:r>
        <w:rPr>
          <w:rFonts w:hint="eastAsia" w:ascii="宋体" w:hAnsi="宋体" w:cs="华文仿宋"/>
          <w:b w:val="0"/>
          <w:bCs/>
          <w:sz w:val="24"/>
          <w:szCs w:val="24"/>
        </w:rPr>
        <w:t>费用承担</w:t>
      </w:r>
    </w:p>
    <w:p w14:paraId="5C879E79">
      <w:pPr>
        <w:spacing w:line="360" w:lineRule="auto"/>
        <w:ind w:firstLine="480" w:firstLineChars="200"/>
        <w:rPr>
          <w:b/>
          <w:bCs/>
        </w:rPr>
      </w:pPr>
      <w:r>
        <w:rPr>
          <w:rFonts w:hint="eastAsia" w:cs="华文仿宋"/>
          <w:bCs/>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59D7694A">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37EF13D9">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乙方不得因本合同第2.1.1条和第3.4.6条中约定的因业主或甲方客户付款延迟引起的逾期付款或未履行义务，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69D94F1C">
      <w:pPr>
        <w:pStyle w:val="101"/>
        <w:spacing w:line="360" w:lineRule="auto"/>
        <w:ind w:left="284" w:firstLine="0" w:firstLineChars="0"/>
        <w:rPr>
          <w:rFonts w:ascii="宋体" w:cs="华文仿宋"/>
          <w:b w:val="0"/>
          <w:bCs/>
          <w:sz w:val="24"/>
          <w:szCs w:val="24"/>
        </w:rPr>
      </w:pPr>
    </w:p>
    <w:p w14:paraId="50BCD8DC">
      <w:pPr>
        <w:pStyle w:val="101"/>
        <w:numPr>
          <w:ilvl w:val="0"/>
          <w:numId w:val="3"/>
        </w:numPr>
        <w:spacing w:line="360" w:lineRule="auto"/>
        <w:ind w:left="284" w:firstLineChars="0"/>
        <w:rPr>
          <w:rFonts w:ascii="宋体" w:cs="华文仿宋"/>
          <w:b w:val="0"/>
          <w:bCs/>
          <w:szCs w:val="28"/>
        </w:rPr>
      </w:pPr>
      <w:r>
        <w:rPr>
          <w:rFonts w:hint="eastAsia" w:ascii="宋体" w:cs="华文仿宋"/>
          <w:b w:val="0"/>
          <w:bCs/>
          <w:szCs w:val="28"/>
        </w:rPr>
        <w:t>保密条款</w:t>
      </w:r>
    </w:p>
    <w:p w14:paraId="77D85B24">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422D7182">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保密期限不受本合同期限的限制，在本合同履行完毕后叁年内，保密信息接受方仍应承担保密义务。</w:t>
      </w:r>
    </w:p>
    <w:p w14:paraId="6468649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知识产权等一切成果的所有权：全部归甲方所有。未经甲方允许，其他任何人不得将成果全部或部分泄露或提供给第三方。</w:t>
      </w:r>
    </w:p>
    <w:p w14:paraId="13E8B374">
      <w:pPr>
        <w:spacing w:line="360" w:lineRule="auto"/>
        <w:rPr>
          <w:rFonts w:cs="华文仿宋"/>
          <w:b/>
          <w:bCs/>
        </w:rPr>
      </w:pPr>
    </w:p>
    <w:p w14:paraId="61392981">
      <w:pPr>
        <w:pStyle w:val="101"/>
        <w:numPr>
          <w:ilvl w:val="0"/>
          <w:numId w:val="3"/>
        </w:numPr>
        <w:spacing w:line="360" w:lineRule="auto"/>
        <w:ind w:left="284" w:firstLineChars="0"/>
        <w:rPr>
          <w:rFonts w:ascii="宋体" w:cs="华文仿宋"/>
          <w:b w:val="0"/>
          <w:bCs/>
          <w:sz w:val="24"/>
          <w:szCs w:val="24"/>
        </w:rPr>
      </w:pPr>
      <w:bookmarkStart w:id="4" w:name="_Toc101956313"/>
      <w:bookmarkEnd w:id="4"/>
      <w:bookmarkStart w:id="5" w:name="_Toc101955693"/>
      <w:bookmarkEnd w:id="5"/>
      <w:bookmarkStart w:id="6" w:name="_Toc101955550"/>
      <w:bookmarkEnd w:id="6"/>
      <w:bookmarkStart w:id="7" w:name="_Toc101956366"/>
      <w:bookmarkEnd w:id="7"/>
      <w:bookmarkStart w:id="8" w:name="_Toc101958009"/>
      <w:bookmarkEnd w:id="8"/>
      <w:bookmarkStart w:id="9" w:name="_Toc101955555"/>
      <w:bookmarkEnd w:id="9"/>
      <w:bookmarkStart w:id="10" w:name="_Toc101955762"/>
      <w:bookmarkEnd w:id="10"/>
      <w:bookmarkStart w:id="11" w:name="_Toc101955557"/>
      <w:bookmarkEnd w:id="11"/>
      <w:bookmarkStart w:id="12" w:name="_Toc101955700"/>
      <w:bookmarkEnd w:id="12"/>
      <w:bookmarkStart w:id="13" w:name="_Toc101955889"/>
      <w:bookmarkEnd w:id="13"/>
      <w:bookmarkStart w:id="14" w:name="_Toc101955767"/>
      <w:bookmarkEnd w:id="14"/>
      <w:bookmarkStart w:id="15" w:name="_Toc101957998"/>
      <w:bookmarkEnd w:id="15"/>
      <w:bookmarkStart w:id="16" w:name="_Toc101955760"/>
      <w:bookmarkEnd w:id="16"/>
      <w:bookmarkStart w:id="17" w:name="_Toc101955891"/>
      <w:bookmarkEnd w:id="17"/>
      <w:bookmarkStart w:id="18" w:name="_Toc101955649"/>
      <w:bookmarkEnd w:id="18"/>
      <w:bookmarkStart w:id="19" w:name="_Toc101956021"/>
      <w:bookmarkEnd w:id="19"/>
      <w:bookmarkStart w:id="20" w:name="_Toc101955695"/>
      <w:bookmarkEnd w:id="20"/>
      <w:bookmarkStart w:id="21" w:name="_Toc101956364"/>
      <w:bookmarkEnd w:id="21"/>
      <w:bookmarkStart w:id="22" w:name="_Toc101955937"/>
      <w:bookmarkEnd w:id="22"/>
      <w:bookmarkStart w:id="23" w:name="_Toc101955755"/>
      <w:bookmarkEnd w:id="23"/>
      <w:bookmarkStart w:id="24" w:name="_Toc101955516"/>
      <w:bookmarkEnd w:id="24"/>
      <w:bookmarkStart w:id="25" w:name="_Toc101955647"/>
      <w:bookmarkEnd w:id="25"/>
      <w:bookmarkStart w:id="26" w:name="_Toc101955642"/>
      <w:bookmarkEnd w:id="26"/>
      <w:bookmarkStart w:id="27" w:name="_Toc101956370"/>
      <w:bookmarkEnd w:id="27"/>
      <w:bookmarkStart w:id="28" w:name="_Toc101956403"/>
      <w:bookmarkEnd w:id="28"/>
      <w:bookmarkStart w:id="29" w:name="_Toc101956033"/>
      <w:bookmarkEnd w:id="29"/>
      <w:bookmarkStart w:id="30" w:name="_Toc101956318"/>
      <w:bookmarkEnd w:id="30"/>
      <w:bookmarkStart w:id="31" w:name="_Toc101956028"/>
      <w:bookmarkEnd w:id="31"/>
      <w:bookmarkStart w:id="32" w:name="_Toc101955688"/>
      <w:bookmarkEnd w:id="32"/>
      <w:bookmarkStart w:id="33" w:name="_Toc101956026"/>
      <w:bookmarkEnd w:id="33"/>
      <w:bookmarkStart w:id="34" w:name="_Toc101955514"/>
      <w:bookmarkEnd w:id="34"/>
      <w:bookmarkStart w:id="35" w:name="_Toc101956324"/>
      <w:bookmarkEnd w:id="35"/>
      <w:bookmarkStart w:id="36" w:name="_Toc101955654"/>
      <w:bookmarkEnd w:id="36"/>
      <w:bookmarkStart w:id="37" w:name="_Toc101956320"/>
      <w:bookmarkEnd w:id="37"/>
      <w:bookmarkStart w:id="38" w:name="_Toc101956408"/>
      <w:bookmarkEnd w:id="38"/>
      <w:bookmarkStart w:id="39" w:name="_Toc101955896"/>
      <w:bookmarkEnd w:id="39"/>
      <w:bookmarkStart w:id="40" w:name="_Toc101956359"/>
      <w:bookmarkEnd w:id="40"/>
      <w:bookmarkStart w:id="41" w:name="_Toc101956414"/>
      <w:bookmarkEnd w:id="41"/>
      <w:bookmarkStart w:id="42" w:name="_Toc101955930"/>
      <w:bookmarkEnd w:id="42"/>
      <w:bookmarkStart w:id="43" w:name="_Toc101955935"/>
      <w:bookmarkEnd w:id="43"/>
      <w:bookmarkStart w:id="44" w:name="_Toc101955884"/>
      <w:bookmarkEnd w:id="44"/>
      <w:bookmarkStart w:id="45" w:name="_Toc101958005"/>
      <w:bookmarkEnd w:id="45"/>
      <w:bookmarkStart w:id="46" w:name="_Toc101958003"/>
      <w:bookmarkEnd w:id="46"/>
      <w:bookmarkStart w:id="47" w:name="_Toc101955941"/>
      <w:bookmarkEnd w:id="47"/>
      <w:bookmarkStart w:id="48" w:name="_Toc101956410"/>
      <w:bookmarkEnd w:id="48"/>
      <w:bookmarkStart w:id="49" w:name="_Toc101955509"/>
      <w:bookmarkEnd w:id="49"/>
      <w:bookmarkStart w:id="50" w:name="_Toc101956032"/>
      <w:bookmarkEnd w:id="50"/>
      <w:bookmarkStart w:id="51" w:name="_Toc94607893"/>
      <w:bookmarkStart w:id="52" w:name="_Toc308010950"/>
      <w:bookmarkStart w:id="53" w:name="_Toc101955705"/>
      <w:bookmarkStart w:id="54" w:name="_Toc101955772"/>
      <w:bookmarkStart w:id="55" w:name="_Toc101956038"/>
      <w:bookmarkStart w:id="56" w:name="_Toc101955901"/>
      <w:bookmarkStart w:id="57" w:name="_Toc101955659"/>
      <w:bookmarkStart w:id="58" w:name="_Toc94616983"/>
      <w:r>
        <w:rPr>
          <w:rFonts w:hint="eastAsia" w:ascii="宋体"/>
          <w:b w:val="0"/>
        </w:rPr>
        <w:t>法律适用及争议解决</w:t>
      </w:r>
      <w:bookmarkEnd w:id="51"/>
      <w:bookmarkEnd w:id="52"/>
      <w:bookmarkEnd w:id="53"/>
      <w:bookmarkEnd w:id="54"/>
      <w:bookmarkEnd w:id="55"/>
      <w:bookmarkEnd w:id="56"/>
      <w:bookmarkEnd w:id="57"/>
      <w:bookmarkEnd w:id="58"/>
    </w:p>
    <w:p w14:paraId="68FA14D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本合同按中华人民共和国法律解释，受中华人民共和国法律管辖。</w:t>
      </w:r>
    </w:p>
    <w:p w14:paraId="5CFDD01F">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因本合同引起的或与本合同有关的任何争议，应本着友好合作的态度协商解决；如协商不成，任何一方可以向甲方所在地人民法院管辖处理。</w:t>
      </w:r>
    </w:p>
    <w:p w14:paraId="10261D91">
      <w:pPr>
        <w:pStyle w:val="101"/>
        <w:spacing w:line="360" w:lineRule="auto"/>
        <w:ind w:left="284" w:firstLine="0" w:firstLineChars="0"/>
        <w:rPr>
          <w:rFonts w:ascii="宋体" w:cs="华文仿宋"/>
          <w:b w:val="0"/>
          <w:bCs/>
          <w:sz w:val="24"/>
          <w:szCs w:val="24"/>
        </w:rPr>
      </w:pPr>
    </w:p>
    <w:p w14:paraId="2148F129">
      <w:pPr>
        <w:pStyle w:val="101"/>
        <w:numPr>
          <w:ilvl w:val="0"/>
          <w:numId w:val="3"/>
        </w:numPr>
        <w:spacing w:line="360" w:lineRule="auto"/>
        <w:ind w:left="284" w:firstLineChars="0"/>
        <w:rPr>
          <w:rFonts w:ascii="宋体" w:cs="华文仿宋"/>
          <w:b w:val="0"/>
          <w:bCs/>
          <w:sz w:val="24"/>
          <w:szCs w:val="24"/>
        </w:rPr>
      </w:pPr>
      <w:bookmarkStart w:id="59" w:name="_Toc141851057"/>
      <w:bookmarkEnd w:id="59"/>
      <w:bookmarkStart w:id="60" w:name="_Toc94616985"/>
      <w:bookmarkStart w:id="61" w:name="_Toc93137849"/>
      <w:bookmarkStart w:id="62" w:name="_Toc308010952"/>
      <w:bookmarkStart w:id="63" w:name="_Toc101956040"/>
      <w:bookmarkStart w:id="64" w:name="_Toc101955661"/>
      <w:bookmarkStart w:id="65" w:name="_Toc94496263"/>
      <w:bookmarkStart w:id="66" w:name="_Toc101955774"/>
      <w:bookmarkStart w:id="67" w:name="_Toc101955903"/>
      <w:bookmarkStart w:id="68" w:name="_Toc101955707"/>
      <w:r>
        <w:rPr>
          <w:rFonts w:hint="eastAsia" w:ascii="宋体"/>
          <w:b w:val="0"/>
        </w:rPr>
        <w:t>不可抗力</w:t>
      </w:r>
      <w:bookmarkEnd w:id="60"/>
      <w:bookmarkEnd w:id="61"/>
      <w:bookmarkEnd w:id="62"/>
      <w:bookmarkEnd w:id="63"/>
      <w:bookmarkEnd w:id="64"/>
      <w:bookmarkEnd w:id="65"/>
      <w:bookmarkEnd w:id="66"/>
      <w:bookmarkEnd w:id="67"/>
      <w:bookmarkEnd w:id="68"/>
    </w:p>
    <w:p w14:paraId="06586F31">
      <w:pPr>
        <w:pStyle w:val="101"/>
        <w:numPr>
          <w:ilvl w:val="1"/>
          <w:numId w:val="3"/>
        </w:numPr>
        <w:spacing w:line="360" w:lineRule="auto"/>
        <w:ind w:firstLineChars="0"/>
        <w:rPr>
          <w:rFonts w:ascii="宋体" w:cs="华文仿宋"/>
          <w:b w:val="0"/>
          <w:bCs/>
          <w:sz w:val="24"/>
          <w:szCs w:val="24"/>
        </w:rPr>
      </w:pPr>
      <w:r>
        <w:rPr>
          <w:rFonts w:hint="eastAsia" w:ascii="宋体" w:hAnsi="宋体"/>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09AE4E3F">
      <w:pPr>
        <w:spacing w:line="360" w:lineRule="auto"/>
        <w:rPr>
          <w:rFonts w:cs="华文仿宋"/>
          <w:b/>
          <w:bCs/>
        </w:rPr>
      </w:pPr>
    </w:p>
    <w:p w14:paraId="7EFC7723">
      <w:pPr>
        <w:pStyle w:val="101"/>
        <w:numPr>
          <w:ilvl w:val="0"/>
          <w:numId w:val="3"/>
        </w:numPr>
        <w:spacing w:line="360" w:lineRule="auto"/>
        <w:ind w:left="284" w:firstLineChars="0"/>
        <w:rPr>
          <w:rFonts w:ascii="宋体" w:cs="华文仿宋"/>
          <w:b w:val="0"/>
          <w:bCs/>
          <w:sz w:val="24"/>
          <w:szCs w:val="24"/>
        </w:rPr>
      </w:pPr>
      <w:bookmarkStart w:id="69" w:name="_Toc101955710"/>
      <w:bookmarkStart w:id="70" w:name="_Toc101955777"/>
      <w:bookmarkStart w:id="71" w:name="_Toc93220495"/>
      <w:bookmarkStart w:id="72" w:name="_Toc93821629"/>
      <w:bookmarkStart w:id="73" w:name="_Toc101955906"/>
      <w:bookmarkStart w:id="74" w:name="_Toc94616988"/>
      <w:bookmarkStart w:id="75" w:name="_Toc101955664"/>
      <w:bookmarkStart w:id="76" w:name="_Toc308010954"/>
      <w:bookmarkStart w:id="77" w:name="_Toc101956043"/>
      <w:r>
        <w:rPr>
          <w:rFonts w:hint="eastAsia" w:ascii="宋体"/>
          <w:b w:val="0"/>
        </w:rPr>
        <w:t>通知与送达</w:t>
      </w:r>
    </w:p>
    <w:p w14:paraId="3673790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06F67FA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398CAE92">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双方将按如下规定确定通知被视为正式送达的日期：</w:t>
      </w:r>
    </w:p>
    <w:p w14:paraId="6511DCA5">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双方或司法机关以专人递送的，接收人签收之日视为送达；</w:t>
      </w:r>
    </w:p>
    <w:p w14:paraId="794A9C53">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双方或司法机关以特快专递形式发出的，发往本市内的，发出后第3日视为送达。发往国内其他地区的，发出后第5日视为送达。</w:t>
      </w:r>
    </w:p>
    <w:p w14:paraId="3E5C1C0E">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双方或司法机关以挂号方式发出的，发往本市内的，邮寄后第7日视为送达。发往国内其他地区的，邮寄后第14日视为送达。</w:t>
      </w:r>
    </w:p>
    <w:p w14:paraId="6EAD2152">
      <w:pPr>
        <w:pStyle w:val="101"/>
        <w:numPr>
          <w:ilvl w:val="2"/>
          <w:numId w:val="3"/>
        </w:numPr>
        <w:spacing w:line="360" w:lineRule="auto"/>
        <w:ind w:left="851" w:firstLineChars="0"/>
        <w:rPr>
          <w:rFonts w:ascii="宋体" w:cs="华文仿宋"/>
          <w:b w:val="0"/>
          <w:bCs/>
          <w:sz w:val="24"/>
          <w:szCs w:val="24"/>
        </w:rPr>
      </w:pPr>
      <w:r>
        <w:rPr>
          <w:rFonts w:hint="eastAsia" w:ascii="宋体" w:hAnsi="宋体"/>
          <w:b w:val="0"/>
          <w:bCs/>
          <w:color w:val="000000"/>
          <w:sz w:val="24"/>
          <w:szCs w:val="24"/>
        </w:rPr>
        <w:t>双方或司法机关以手机短信、微信、电子邮件送达的，消息成功发送并未被系统退回即视为有效送达。</w:t>
      </w:r>
    </w:p>
    <w:p w14:paraId="02E437A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color w:val="000000"/>
          <w:sz w:val="24"/>
          <w:szCs w:val="24"/>
        </w:rPr>
        <w:t>各方地址与指定联系方式如下：</w:t>
      </w:r>
    </w:p>
    <w:p w14:paraId="08370A76">
      <w:pPr>
        <w:snapToGrid w:val="0"/>
        <w:spacing w:line="360" w:lineRule="auto"/>
        <w:ind w:firstLine="480"/>
        <w:rPr>
          <w:b/>
          <w:bCs/>
          <w:color w:val="000000"/>
        </w:rPr>
      </w:pPr>
      <w:r>
        <w:rPr>
          <w:rFonts w:hint="eastAsia"/>
          <w:bCs/>
          <w:color w:val="000000"/>
        </w:rPr>
        <w:t>（1）如致甲方：</w:t>
      </w:r>
    </w:p>
    <w:p w14:paraId="429904B8">
      <w:pPr>
        <w:snapToGrid w:val="0"/>
        <w:spacing w:line="360" w:lineRule="auto"/>
        <w:ind w:firstLine="480"/>
        <w:rPr>
          <w:b/>
          <w:bCs/>
          <w:color w:val="000000"/>
        </w:rPr>
      </w:pPr>
      <w:r>
        <w:rPr>
          <w:rFonts w:hint="eastAsia"/>
          <w:bCs/>
          <w:color w:val="000000"/>
        </w:rPr>
        <w:t>名称：【江苏天安智联科技股份有限公司】</w:t>
      </w:r>
    </w:p>
    <w:p w14:paraId="0356EBFE">
      <w:pPr>
        <w:snapToGrid w:val="0"/>
        <w:spacing w:line="360" w:lineRule="auto"/>
        <w:ind w:firstLine="480"/>
        <w:rPr>
          <w:b/>
          <w:bCs/>
          <w:color w:val="000000"/>
        </w:rPr>
      </w:pPr>
      <w:r>
        <w:rPr>
          <w:rFonts w:hint="eastAsia"/>
          <w:bCs/>
          <w:color w:val="000000"/>
        </w:rPr>
        <w:t>地址：【无锡市锡山区安镇街道春风南路2号智行科创园8幢3单元1404号办公楼】</w:t>
      </w:r>
    </w:p>
    <w:p w14:paraId="1BBFF35B">
      <w:pPr>
        <w:snapToGrid w:val="0"/>
        <w:spacing w:line="360" w:lineRule="auto"/>
        <w:ind w:firstLine="480"/>
        <w:rPr>
          <w:b/>
          <w:bCs/>
          <w:color w:val="000000"/>
        </w:rPr>
      </w:pPr>
      <w:r>
        <w:rPr>
          <w:rFonts w:hint="eastAsia"/>
          <w:bCs/>
          <w:color w:val="000000"/>
        </w:rPr>
        <w:t>电话：【</w:t>
      </w:r>
      <w:r>
        <w:rPr>
          <w:rFonts w:hint="eastAsia"/>
          <w:bCs/>
        </w:rPr>
        <w:t>13771070999</w:t>
      </w:r>
      <w:r>
        <w:rPr>
          <w:rFonts w:hint="eastAsia"/>
          <w:bCs/>
          <w:color w:val="000000"/>
        </w:rPr>
        <w:t xml:space="preserve">】                     </w:t>
      </w:r>
    </w:p>
    <w:p w14:paraId="2DE7BCA2">
      <w:pPr>
        <w:snapToGrid w:val="0"/>
        <w:spacing w:line="360" w:lineRule="auto"/>
        <w:ind w:firstLine="480"/>
        <w:rPr>
          <w:b/>
          <w:bCs/>
          <w:color w:val="000000"/>
        </w:rPr>
      </w:pPr>
      <w:r>
        <w:rPr>
          <w:rFonts w:hint="eastAsia"/>
          <w:bCs/>
          <w:color w:val="000000"/>
        </w:rPr>
        <w:t>邮政编码：【</w:t>
      </w:r>
      <w:r>
        <w:rPr>
          <w:bCs/>
          <w:color w:val="000000"/>
        </w:rPr>
        <w:t>214000</w:t>
      </w:r>
      <w:r>
        <w:rPr>
          <w:rFonts w:hint="eastAsia"/>
          <w:bCs/>
          <w:color w:val="000000"/>
        </w:rPr>
        <w:t xml:space="preserve">】 </w:t>
      </w:r>
      <w:r>
        <w:rPr>
          <w:bCs/>
          <w:color w:val="000000"/>
        </w:rPr>
        <w:t xml:space="preserve">      </w:t>
      </w:r>
      <w:r>
        <w:rPr>
          <w:rFonts w:hint="eastAsia"/>
          <w:bCs/>
          <w:color w:val="000000"/>
        </w:rPr>
        <w:t>联系人：【</w:t>
      </w:r>
      <w:r>
        <w:rPr>
          <w:rFonts w:hint="eastAsia"/>
          <w:bCs/>
        </w:rPr>
        <w:t>洪涛</w:t>
      </w:r>
      <w:r>
        <w:rPr>
          <w:rFonts w:hint="eastAsia"/>
          <w:bCs/>
          <w:color w:val="000000"/>
        </w:rPr>
        <w:t xml:space="preserve">】                    </w:t>
      </w:r>
    </w:p>
    <w:p w14:paraId="2E3C4CC6">
      <w:pPr>
        <w:snapToGrid w:val="0"/>
        <w:spacing w:line="360" w:lineRule="auto"/>
        <w:ind w:firstLine="480"/>
        <w:rPr>
          <w:b/>
          <w:bCs/>
          <w:color w:val="000000"/>
          <w:lang w:val="sv-SE"/>
        </w:rPr>
      </w:pPr>
      <w:r>
        <w:rPr>
          <w:rFonts w:hint="eastAsia"/>
          <w:bCs/>
          <w:color w:val="000000"/>
        </w:rPr>
        <w:t>微信</w:t>
      </w:r>
      <w:r>
        <w:rPr>
          <w:rFonts w:hint="eastAsia"/>
          <w:bCs/>
          <w:color w:val="000000"/>
          <w:lang w:val="sv-SE"/>
        </w:rPr>
        <w:t>：</w:t>
      </w:r>
      <w:r>
        <w:rPr>
          <w:rFonts w:hint="eastAsia"/>
          <w:bCs/>
          <w:color w:val="000000"/>
        </w:rPr>
        <w:t>【</w:t>
      </w:r>
      <w:r>
        <w:rPr>
          <w:rFonts w:hint="eastAsia"/>
          <w:bCs/>
          <w:color w:val="000000"/>
          <w:lang w:val="sv-SE"/>
        </w:rPr>
        <w:t>tt2000hongtao</w:t>
      </w:r>
      <w:r>
        <w:rPr>
          <w:rFonts w:hint="eastAsia"/>
          <w:bCs/>
          <w:color w:val="000000"/>
        </w:rPr>
        <w:t>】</w:t>
      </w:r>
      <w:r>
        <w:rPr>
          <w:bCs/>
          <w:color w:val="000000"/>
          <w:lang w:val="sv-SE"/>
        </w:rPr>
        <w:t xml:space="preserve">      </w:t>
      </w:r>
      <w:r>
        <w:rPr>
          <w:rFonts w:hint="eastAsia"/>
          <w:bCs/>
          <w:color w:val="000000"/>
        </w:rPr>
        <w:t>电子邮箱</w:t>
      </w:r>
      <w:r>
        <w:rPr>
          <w:rFonts w:hint="eastAsia"/>
          <w:bCs/>
          <w:color w:val="000000"/>
          <w:lang w:val="sv-SE"/>
        </w:rPr>
        <w:t>：</w:t>
      </w:r>
      <w:r>
        <w:rPr>
          <w:rFonts w:hint="eastAsia"/>
          <w:bCs/>
          <w:color w:val="000000"/>
        </w:rPr>
        <w:t>【</w:t>
      </w:r>
      <w:r>
        <w:rPr>
          <w:bCs/>
          <w:color w:val="000000"/>
          <w:lang w:val="sv-SE"/>
        </w:rPr>
        <w:t>hongtao@tian-net.com</w:t>
      </w:r>
      <w:r>
        <w:rPr>
          <w:rFonts w:hint="eastAsia"/>
          <w:bCs/>
          <w:color w:val="000000"/>
        </w:rPr>
        <w:t>】</w:t>
      </w:r>
    </w:p>
    <w:p w14:paraId="3AD6764A">
      <w:pPr>
        <w:snapToGrid w:val="0"/>
        <w:spacing w:line="360" w:lineRule="auto"/>
        <w:ind w:firstLine="480"/>
        <w:rPr>
          <w:b/>
          <w:bCs/>
          <w:color w:val="000000"/>
        </w:rPr>
      </w:pPr>
      <w:r>
        <w:rPr>
          <w:rFonts w:hint="eastAsia"/>
          <w:bCs/>
          <w:color w:val="000000"/>
        </w:rPr>
        <w:t>（2）如致乙方：</w:t>
      </w:r>
    </w:p>
    <w:p w14:paraId="5084D8C3">
      <w:pPr>
        <w:ind w:firstLine="480" w:firstLineChars="200"/>
        <w:rPr>
          <w:b/>
          <w:bCs/>
          <w:color w:val="000000"/>
        </w:rPr>
      </w:pPr>
      <w:r>
        <w:rPr>
          <w:rFonts w:hint="eastAsia"/>
          <w:bCs/>
          <w:color w:val="000000"/>
        </w:rPr>
        <w:t>名称：【无锡市车城智联科技有限公司】</w:t>
      </w:r>
    </w:p>
    <w:p w14:paraId="137C8F8D">
      <w:pPr>
        <w:snapToGrid w:val="0"/>
        <w:spacing w:line="360" w:lineRule="auto"/>
        <w:ind w:firstLine="480"/>
        <w:rPr>
          <w:b/>
          <w:bCs/>
          <w:color w:val="000000"/>
        </w:rPr>
      </w:pPr>
      <w:r>
        <w:rPr>
          <w:rFonts w:hint="eastAsia"/>
          <w:bCs/>
          <w:color w:val="000000"/>
        </w:rPr>
        <w:t>地址：【</w:t>
      </w:r>
      <w:r>
        <w:rPr>
          <w:rFonts w:hint="eastAsia"/>
          <w:bCs/>
        </w:rPr>
        <w:t>无锡市经济开发区高浪东路999号-8-B2-607</w:t>
      </w:r>
      <w:r>
        <w:rPr>
          <w:rFonts w:hint="eastAsia"/>
          <w:bCs/>
          <w:color w:val="000000"/>
        </w:rPr>
        <w:t>】</w:t>
      </w:r>
    </w:p>
    <w:p w14:paraId="2C9BDE7A">
      <w:pPr>
        <w:snapToGrid w:val="0"/>
        <w:spacing w:line="360" w:lineRule="auto"/>
        <w:ind w:firstLine="480"/>
        <w:rPr>
          <w:b/>
          <w:bCs/>
          <w:color w:val="000000"/>
        </w:rPr>
      </w:pPr>
      <w:r>
        <w:rPr>
          <w:rFonts w:hint="eastAsia"/>
          <w:bCs/>
          <w:color w:val="000000"/>
        </w:rPr>
        <w:t>电话：【</w:t>
      </w:r>
      <w:r>
        <w:rPr>
          <w:rFonts w:hint="eastAsia" w:cs="华文仿宋"/>
          <w:bCs/>
          <w:color w:val="000000" w:themeColor="text1"/>
          <w:u w:val="single"/>
          <w14:textFill>
            <w14:solidFill>
              <w14:schemeClr w14:val="tx1"/>
            </w14:solidFill>
          </w14:textFill>
        </w:rPr>
        <w:t xml:space="preserve">15370208730 </w:t>
      </w:r>
      <w:r>
        <w:rPr>
          <w:rFonts w:hint="eastAsia"/>
          <w:bCs/>
          <w:color w:val="000000"/>
        </w:rPr>
        <w:t>】               邮政编码：【214000】</w:t>
      </w:r>
    </w:p>
    <w:p w14:paraId="72B2C862">
      <w:pPr>
        <w:snapToGrid w:val="0"/>
        <w:spacing w:line="360" w:lineRule="auto"/>
        <w:ind w:firstLine="480"/>
        <w:rPr>
          <w:b/>
          <w:bCs/>
          <w:color w:val="000000"/>
        </w:rPr>
      </w:pPr>
      <w:r>
        <w:rPr>
          <w:rFonts w:hint="eastAsia"/>
          <w:bCs/>
          <w:color w:val="000000"/>
        </w:rPr>
        <w:t>联系人：【施经理】               微信：【Shixy_20110303】</w:t>
      </w:r>
    </w:p>
    <w:p w14:paraId="4FBE3E2E">
      <w:pPr>
        <w:snapToGrid w:val="0"/>
        <w:spacing w:line="360" w:lineRule="auto"/>
        <w:ind w:firstLine="480"/>
        <w:rPr>
          <w:b/>
          <w:bCs/>
        </w:rPr>
      </w:pPr>
      <w:r>
        <w:rPr>
          <w:rFonts w:hint="eastAsia"/>
          <w:bCs/>
          <w:color w:val="000000"/>
        </w:rPr>
        <w:t>电子邮箱：【657711301@qq.com】</w:t>
      </w:r>
    </w:p>
    <w:p w14:paraId="506437D0">
      <w:pPr>
        <w:pStyle w:val="101"/>
        <w:spacing w:line="360" w:lineRule="auto"/>
        <w:ind w:left="284" w:firstLine="0" w:firstLineChars="0"/>
        <w:rPr>
          <w:rFonts w:ascii="宋体" w:cs="华文仿宋"/>
          <w:b w:val="0"/>
          <w:bCs/>
          <w:sz w:val="24"/>
          <w:szCs w:val="24"/>
        </w:rPr>
      </w:pPr>
    </w:p>
    <w:p w14:paraId="2FBDFCE2">
      <w:pPr>
        <w:pStyle w:val="101"/>
        <w:numPr>
          <w:ilvl w:val="0"/>
          <w:numId w:val="3"/>
        </w:numPr>
        <w:spacing w:line="360" w:lineRule="auto"/>
        <w:ind w:left="284" w:firstLineChars="0"/>
        <w:rPr>
          <w:rFonts w:ascii="宋体" w:cs="华文仿宋"/>
          <w:b w:val="0"/>
          <w:bCs/>
          <w:sz w:val="24"/>
          <w:szCs w:val="24"/>
        </w:rPr>
      </w:pPr>
      <w:r>
        <w:rPr>
          <w:rFonts w:hint="eastAsia" w:ascii="宋体"/>
          <w:b w:val="0"/>
        </w:rPr>
        <w:t>其他</w:t>
      </w:r>
      <w:bookmarkEnd w:id="69"/>
      <w:bookmarkEnd w:id="70"/>
      <w:bookmarkEnd w:id="71"/>
      <w:bookmarkEnd w:id="72"/>
      <w:bookmarkEnd w:id="73"/>
      <w:bookmarkEnd w:id="74"/>
      <w:bookmarkEnd w:id="75"/>
      <w:bookmarkEnd w:id="76"/>
      <w:bookmarkEnd w:id="77"/>
    </w:p>
    <w:p w14:paraId="269B272C">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本合同自双方法定代表人（负责人）或授权代表签字并盖章之日起生效。</w:t>
      </w:r>
    </w:p>
    <w:p w14:paraId="293A77E3">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本合同壹式肆份，甲、乙方各执贰份，具有同等法律效力。</w:t>
      </w:r>
    </w:p>
    <w:p w14:paraId="4315FC15">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本合同的所有附件是本合同不可分割的一部分,本合同及其附件和比选文件及响应文件构成双方就本合同规定的标的达成的完整协议。</w:t>
      </w:r>
    </w:p>
    <w:p w14:paraId="3D748972">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本合同未尽事宜，双方另行协商。</w:t>
      </w:r>
    </w:p>
    <w:p w14:paraId="3AC9AFC2">
      <w:pPr>
        <w:pStyle w:val="101"/>
        <w:numPr>
          <w:ilvl w:val="1"/>
          <w:numId w:val="3"/>
        </w:numPr>
        <w:spacing w:line="360" w:lineRule="auto"/>
        <w:ind w:left="567" w:firstLineChars="0"/>
        <w:rPr>
          <w:rFonts w:ascii="宋体" w:cs="华文仿宋"/>
          <w:b w:val="0"/>
          <w:bCs/>
          <w:sz w:val="24"/>
          <w:szCs w:val="24"/>
        </w:rPr>
      </w:pPr>
      <w:r>
        <w:rPr>
          <w:rFonts w:hint="eastAsia" w:ascii="宋体" w:hAnsi="宋体"/>
          <w:b w:val="0"/>
          <w:bCs/>
          <w:sz w:val="24"/>
          <w:szCs w:val="24"/>
        </w:rPr>
        <w:t>合同的部分和全部都不得转让。</w:t>
      </w:r>
    </w:p>
    <w:p w14:paraId="66687B0B">
      <w:pPr>
        <w:pStyle w:val="101"/>
        <w:spacing w:line="360" w:lineRule="auto"/>
        <w:ind w:left="284" w:firstLine="0" w:firstLineChars="0"/>
        <w:rPr>
          <w:rFonts w:ascii="宋体" w:cs="华文仿宋"/>
          <w:b w:val="0"/>
          <w:bCs/>
          <w:sz w:val="24"/>
          <w:szCs w:val="24"/>
        </w:rPr>
      </w:pPr>
    </w:p>
    <w:p w14:paraId="51453F78">
      <w:pPr>
        <w:pStyle w:val="101"/>
        <w:numPr>
          <w:ilvl w:val="0"/>
          <w:numId w:val="3"/>
        </w:numPr>
        <w:spacing w:line="360" w:lineRule="auto"/>
        <w:ind w:left="284" w:firstLineChars="0"/>
        <w:rPr>
          <w:rFonts w:ascii="宋体" w:cs="华文仿宋"/>
          <w:b w:val="0"/>
          <w:bCs/>
          <w:sz w:val="24"/>
          <w:szCs w:val="24"/>
        </w:rPr>
      </w:pPr>
      <w:bookmarkStart w:id="78" w:name="_Toc101955910"/>
      <w:bookmarkStart w:id="79" w:name="_Toc93809280"/>
      <w:bookmarkStart w:id="80" w:name="_Toc94616989"/>
      <w:bookmarkStart w:id="81" w:name="_Toc101956047"/>
      <w:bookmarkStart w:id="82" w:name="_Toc101955714"/>
      <w:bookmarkStart w:id="83" w:name="_Toc101955668"/>
      <w:bookmarkStart w:id="84" w:name="_Toc308010955"/>
      <w:bookmarkStart w:id="85" w:name="_Toc93809343"/>
      <w:bookmarkStart w:id="86" w:name="_Toc93821630"/>
      <w:bookmarkStart w:id="87" w:name="_Toc101955781"/>
      <w:r>
        <w:rPr>
          <w:rFonts w:hint="eastAsia" w:ascii="宋体"/>
          <w:b w:val="0"/>
        </w:rPr>
        <w:t>附件</w:t>
      </w:r>
      <w:bookmarkEnd w:id="78"/>
      <w:bookmarkEnd w:id="79"/>
      <w:bookmarkEnd w:id="80"/>
      <w:bookmarkEnd w:id="81"/>
      <w:bookmarkEnd w:id="82"/>
      <w:bookmarkEnd w:id="83"/>
      <w:bookmarkEnd w:id="84"/>
      <w:bookmarkEnd w:id="85"/>
      <w:bookmarkEnd w:id="86"/>
      <w:bookmarkEnd w:id="87"/>
    </w:p>
    <w:p w14:paraId="68A0BCB4">
      <w:pPr>
        <w:spacing w:line="360" w:lineRule="auto"/>
        <w:rPr>
          <w:b/>
          <w:bCs/>
        </w:rPr>
      </w:pPr>
      <w:bookmarkStart w:id="88" w:name="_Toc101955669"/>
      <w:bookmarkStart w:id="89" w:name="_Toc101955715"/>
      <w:bookmarkStart w:id="90" w:name="_Toc101955911"/>
      <w:bookmarkStart w:id="91" w:name="_Toc101955782"/>
      <w:bookmarkStart w:id="92" w:name="_Toc94616990"/>
      <w:bookmarkStart w:id="93" w:name="_Toc101956048"/>
      <w:r>
        <w:rPr>
          <w:rFonts w:hint="eastAsia"/>
          <w:bCs/>
        </w:rPr>
        <w:t>附件1：</w:t>
      </w:r>
      <w:bookmarkEnd w:id="88"/>
      <w:bookmarkEnd w:id="89"/>
      <w:bookmarkEnd w:id="90"/>
      <w:bookmarkEnd w:id="91"/>
      <w:bookmarkEnd w:id="92"/>
      <w:bookmarkEnd w:id="93"/>
      <w:r>
        <w:rPr>
          <w:rFonts w:hint="eastAsia"/>
          <w:bCs/>
        </w:rPr>
        <w:t>廉政协议</w:t>
      </w:r>
    </w:p>
    <w:p w14:paraId="7974249F">
      <w:pPr>
        <w:spacing w:line="360" w:lineRule="auto"/>
        <w:rPr>
          <w:b/>
          <w:bCs/>
        </w:rPr>
      </w:pPr>
      <w:r>
        <w:rPr>
          <w:rFonts w:hint="eastAsia"/>
          <w:bCs/>
        </w:rPr>
        <w:t>附件2：数据安全保密协议</w:t>
      </w:r>
    </w:p>
    <w:p w14:paraId="77ADE2CA">
      <w:pPr>
        <w:spacing w:line="360" w:lineRule="auto"/>
        <w:rPr>
          <w:b/>
          <w:bCs/>
        </w:rPr>
      </w:pPr>
      <w:r>
        <w:rPr>
          <w:rFonts w:hint="eastAsia"/>
          <w:bCs/>
        </w:rPr>
        <w:t>附件3：施工安全协议</w:t>
      </w:r>
    </w:p>
    <w:p w14:paraId="64E26953">
      <w:pPr>
        <w:spacing w:line="360" w:lineRule="auto"/>
        <w:rPr>
          <w:bCs/>
        </w:rPr>
      </w:pPr>
      <w:r>
        <w:rPr>
          <w:rFonts w:hint="eastAsia"/>
          <w:bCs/>
        </w:rPr>
        <w:t>附件4：通用网络与信息安全责任条款</w:t>
      </w:r>
    </w:p>
    <w:p w14:paraId="50134457">
      <w:pPr>
        <w:spacing w:line="360" w:lineRule="auto"/>
        <w:rPr>
          <w:rFonts w:hint="eastAsia"/>
          <w:b/>
          <w:bCs/>
        </w:rPr>
      </w:pPr>
    </w:p>
    <w:p w14:paraId="6AD1FD4D">
      <w:pPr>
        <w:pStyle w:val="101"/>
        <w:spacing w:line="360" w:lineRule="auto"/>
        <w:ind w:left="284" w:firstLine="0" w:firstLineChars="0"/>
        <w:rPr>
          <w:rFonts w:ascii="宋体" w:cs="华文仿宋"/>
          <w:b w:val="0"/>
          <w:bCs/>
          <w:sz w:val="24"/>
          <w:szCs w:val="24"/>
        </w:rPr>
      </w:pPr>
      <w:r>
        <w:rPr>
          <w:rFonts w:hint="eastAsia" w:ascii="宋体" w:hAnsi="宋体"/>
          <w:b w:val="0"/>
          <w:bCs/>
          <w:sz w:val="24"/>
          <w:szCs w:val="24"/>
        </w:rPr>
        <w:t>（以下无正文）</w:t>
      </w:r>
    </w:p>
    <w:p w14:paraId="40536068">
      <w:pPr>
        <w:spacing w:line="400" w:lineRule="exact"/>
        <w:ind w:firstLine="480" w:firstLineChars="200"/>
        <w:rPr>
          <w:b/>
        </w:rPr>
      </w:pPr>
      <w:r>
        <w:t>甲方（单位盖章）                     乙方（单位盖章）</w:t>
      </w:r>
    </w:p>
    <w:p w14:paraId="59A64BF3">
      <w:pPr>
        <w:spacing w:line="420" w:lineRule="exact"/>
        <w:ind w:firstLine="482" w:firstLineChars="200"/>
        <w:rPr>
          <w:b/>
        </w:rPr>
      </w:pPr>
    </w:p>
    <w:p w14:paraId="5BBC7EC5">
      <w:pPr>
        <w:spacing w:line="400" w:lineRule="exact"/>
        <w:ind w:firstLine="480" w:firstLineChars="200"/>
        <w:rPr>
          <w:b/>
        </w:rPr>
      </w:pPr>
      <w:r>
        <w:t>代表签字：                           代表签字：</w:t>
      </w:r>
    </w:p>
    <w:p w14:paraId="69582F12">
      <w:pPr>
        <w:spacing w:line="400" w:lineRule="exact"/>
        <w:ind w:firstLine="482" w:firstLineChars="200"/>
        <w:rPr>
          <w:b/>
        </w:rPr>
      </w:pPr>
    </w:p>
    <w:p w14:paraId="204BA0CA">
      <w:pPr>
        <w:spacing w:line="440" w:lineRule="exact"/>
        <w:ind w:firstLine="480" w:firstLineChars="200"/>
        <w:rPr>
          <w:rFonts w:hint="eastAsia"/>
          <w:b/>
        </w:rPr>
        <w:sectPr>
          <w:footerReference r:id="rId3" w:type="default"/>
          <w:pgSz w:w="11906" w:h="16838"/>
          <w:pgMar w:top="1440" w:right="1175" w:bottom="1440" w:left="1516" w:header="851" w:footer="992" w:gutter="0"/>
          <w:cols w:space="425" w:num="1"/>
          <w:docGrid w:type="lines" w:linePitch="312" w:charSpace="0"/>
        </w:sectPr>
      </w:pPr>
      <w:r>
        <w:t>日期：</w:t>
      </w:r>
      <w:r>
        <w:rPr>
          <w:rFonts w:hint="eastAsia"/>
        </w:rPr>
        <w:t>2025年   月   日</w:t>
      </w:r>
      <w:r>
        <w:t xml:space="preserve">              日期：</w:t>
      </w:r>
      <w:r>
        <w:rPr>
          <w:rFonts w:hint="eastAsia"/>
        </w:rPr>
        <w:t xml:space="preserve">2025年   月   日    </w:t>
      </w:r>
    </w:p>
    <w:p w14:paraId="6E750881">
      <w:pPr>
        <w:rPr>
          <w:b/>
        </w:rPr>
      </w:pPr>
      <w:r>
        <w:rPr>
          <w:rFonts w:hint="eastAsia"/>
        </w:rPr>
        <w:t>附件1</w:t>
      </w:r>
    </w:p>
    <w:p w14:paraId="1AD41DAC"/>
    <w:p w14:paraId="56831D09">
      <w:pPr>
        <w:jc w:val="center"/>
        <w:rPr>
          <w:bCs/>
          <w:sz w:val="30"/>
          <w:szCs w:val="30"/>
        </w:rPr>
      </w:pPr>
      <w:r>
        <w:rPr>
          <w:rFonts w:hint="eastAsia"/>
          <w:bCs/>
          <w:sz w:val="30"/>
          <w:szCs w:val="30"/>
        </w:rPr>
        <w:t>廉政协议</w:t>
      </w:r>
    </w:p>
    <w:p w14:paraId="7EFDBC08">
      <w:pPr>
        <w:jc w:val="right"/>
        <w:rPr>
          <w:color w:val="0000FF"/>
        </w:rPr>
      </w:pPr>
      <w:r>
        <w:rPr>
          <w:rFonts w:hint="eastAsia"/>
          <w:color w:val="0000FF"/>
        </w:rPr>
        <w:t xml:space="preserve">                              </w:t>
      </w:r>
    </w:p>
    <w:p w14:paraId="67236FF9">
      <w:pPr>
        <w:spacing w:line="360" w:lineRule="auto"/>
        <w:rPr>
          <w:b/>
          <w:bCs/>
          <w:szCs w:val="18"/>
          <w:u w:val="single"/>
        </w:rPr>
      </w:pPr>
      <w:r>
        <w:rPr>
          <w:rFonts w:hint="eastAsia"/>
          <w:bCs/>
          <w:szCs w:val="18"/>
        </w:rPr>
        <w:t>甲方： 江苏天安智联科技股份有限公司</w:t>
      </w:r>
    </w:p>
    <w:p w14:paraId="558B810B">
      <w:pPr>
        <w:spacing w:line="360" w:lineRule="auto"/>
        <w:rPr>
          <w:b/>
          <w:bCs/>
          <w:szCs w:val="18"/>
        </w:rPr>
      </w:pPr>
      <w:r>
        <w:rPr>
          <w:rFonts w:hint="eastAsia"/>
          <w:bCs/>
          <w:szCs w:val="18"/>
        </w:rPr>
        <w:t>乙方： 无锡市车城智联科技有限公司</w:t>
      </w:r>
    </w:p>
    <w:p w14:paraId="63E257D0">
      <w:pPr>
        <w:rPr>
          <w:b/>
          <w:bCs/>
          <w:szCs w:val="18"/>
        </w:rPr>
      </w:pPr>
    </w:p>
    <w:p w14:paraId="7D4FB813">
      <w:pPr>
        <w:spacing w:line="360" w:lineRule="auto"/>
        <w:rPr>
          <w:b/>
          <w:bCs/>
          <w:szCs w:val="18"/>
        </w:rPr>
      </w:pPr>
      <w:r>
        <w:rPr>
          <w:rFonts w:hint="eastAsia"/>
          <w:bCs/>
          <w:szCs w:val="18"/>
        </w:rPr>
        <w:t>甲方和乙方在下文中单独称为“一方”，合称为“双方”。</w:t>
      </w:r>
    </w:p>
    <w:p w14:paraId="7655B838">
      <w:pPr>
        <w:spacing w:line="360" w:lineRule="auto"/>
        <w:rPr>
          <w:b/>
          <w:bCs/>
          <w:szCs w:val="18"/>
        </w:rPr>
      </w:pPr>
      <w:r>
        <w:rPr>
          <w:rFonts w:hint="eastAsia"/>
          <w:bCs/>
          <w:szCs w:val="18"/>
        </w:rPr>
        <w:t>甲乙双方为遵守法律法规和廉政合规要求，维护双方合法权益，本着平等互利的原则，经友好协商，达成以下条款，以兹共同遵照执行：</w:t>
      </w:r>
    </w:p>
    <w:p w14:paraId="51893E32">
      <w:pPr>
        <w:spacing w:line="360" w:lineRule="auto"/>
        <w:rPr>
          <w:b/>
          <w:bCs/>
          <w:szCs w:val="18"/>
        </w:rPr>
      </w:pPr>
      <w:r>
        <w:rPr>
          <w:rFonts w:hint="eastAsia"/>
          <w:bCs/>
          <w:szCs w:val="18"/>
        </w:rPr>
        <w:t>一、双方陈述并保证将严格遵守适用的法律法规，在与对方履行 合同 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1923D5C3">
      <w:pPr>
        <w:spacing w:line="360" w:lineRule="auto"/>
        <w:rPr>
          <w:b/>
          <w:bCs/>
          <w:szCs w:val="18"/>
        </w:rPr>
      </w:pPr>
      <w:r>
        <w:rPr>
          <w:rFonts w:hint="eastAsia"/>
          <w:bCs/>
          <w:szCs w:val="18"/>
        </w:rPr>
        <w:t>（一）向他人提供、给予、允诺、索要，或接受他人提供、给予或许诺的不当好处或利益输出的，包括但不限于贵重礼品礼金、有价证券、支付凭证、好处费，过度的招待、休闲、娱乐、旅游、回扣或投资机会；</w:t>
      </w:r>
    </w:p>
    <w:p w14:paraId="0ECC6C44">
      <w:pPr>
        <w:spacing w:line="360" w:lineRule="auto"/>
        <w:rPr>
          <w:b/>
          <w:bCs/>
          <w:szCs w:val="18"/>
        </w:rPr>
      </w:pPr>
      <w:r>
        <w:rPr>
          <w:rFonts w:hint="eastAsia"/>
          <w:bCs/>
          <w:szCs w:val="18"/>
        </w:rPr>
        <w:t>（二）以虚构事实或隐瞒真相等方式弄虚作假，误导或试图误导他人的；</w:t>
      </w:r>
    </w:p>
    <w:p w14:paraId="536218AF">
      <w:pPr>
        <w:spacing w:line="360" w:lineRule="auto"/>
        <w:rPr>
          <w:b/>
          <w:bCs/>
          <w:szCs w:val="18"/>
        </w:rPr>
      </w:pPr>
      <w:r>
        <w:rPr>
          <w:rFonts w:hint="eastAsia"/>
          <w:bCs/>
          <w:szCs w:val="18"/>
        </w:rPr>
        <w:t>（三）授意、指使、强令或胁迫他人实施违法乱纪或不当行为的；</w:t>
      </w:r>
    </w:p>
    <w:p w14:paraId="7559E350">
      <w:pPr>
        <w:spacing w:line="360" w:lineRule="auto"/>
        <w:rPr>
          <w:b/>
          <w:bCs/>
          <w:szCs w:val="18"/>
        </w:rPr>
      </w:pPr>
      <w:r>
        <w:rPr>
          <w:rFonts w:hint="eastAsia"/>
          <w:bCs/>
          <w:szCs w:val="18"/>
        </w:rPr>
        <w:t>（四）与他人等恶意串通，不当影响他人或谋取利益的。</w:t>
      </w:r>
    </w:p>
    <w:p w14:paraId="147269ED">
      <w:pPr>
        <w:spacing w:line="360" w:lineRule="auto"/>
        <w:rPr>
          <w:b/>
          <w:bCs/>
          <w:szCs w:val="18"/>
        </w:rPr>
      </w:pPr>
      <w:r>
        <w:rPr>
          <w:rFonts w:hint="eastAsia"/>
          <w:bCs/>
          <w:szCs w:val="18"/>
        </w:rPr>
        <w:t>二、任何一方保证、保护另一方不因该方所实施的不当行为（如有）而遭受任何索赔、责任、罚金、罚款、损失或损害。</w:t>
      </w:r>
    </w:p>
    <w:p w14:paraId="0456784D">
      <w:pPr>
        <w:spacing w:line="360" w:lineRule="auto"/>
        <w:rPr>
          <w:b/>
          <w:bCs/>
          <w:szCs w:val="18"/>
        </w:rPr>
      </w:pPr>
      <w:r>
        <w:rPr>
          <w:rFonts w:hint="eastAsia"/>
          <w:bCs/>
          <w:szCs w:val="18"/>
        </w:rPr>
        <w:t>三、如一方违反本协议的，另一方有权向其主张违约责任，包括但不限于限期改正、消除影响、损害赔偿等方式。</w:t>
      </w:r>
    </w:p>
    <w:p w14:paraId="0451D53A">
      <w:pPr>
        <w:spacing w:line="360" w:lineRule="auto"/>
        <w:rPr>
          <w:b/>
          <w:bCs/>
          <w:szCs w:val="18"/>
        </w:rPr>
      </w:pPr>
      <w:r>
        <w:rPr>
          <w:rFonts w:hint="eastAsia"/>
          <w:bCs/>
          <w:szCs w:val="18"/>
        </w:rPr>
        <w:t>四、有关本协议或由本协议所产生的一切争议, 各方均应通过友好协商的方法解决。如果该项争议在一方提出友好协商之后三十（30）日内未能得以解决，任何一方均可将争议提交甲方所在地人民法院。</w:t>
      </w:r>
    </w:p>
    <w:p w14:paraId="526DCED6">
      <w:pPr>
        <w:spacing w:line="360" w:lineRule="auto"/>
        <w:rPr>
          <w:b/>
          <w:bCs/>
          <w:szCs w:val="18"/>
        </w:rPr>
      </w:pPr>
      <w:r>
        <w:rPr>
          <w:rFonts w:hint="eastAsia"/>
          <w:bCs/>
          <w:szCs w:val="18"/>
        </w:rPr>
        <w:t>五、本协议一式两份，双方各持一份，具有同等法律效力。</w:t>
      </w:r>
    </w:p>
    <w:p w14:paraId="59A4CD7E">
      <w:pPr>
        <w:spacing w:line="360" w:lineRule="auto"/>
        <w:rPr>
          <w:b/>
          <w:bCs/>
          <w:szCs w:val="18"/>
        </w:rPr>
      </w:pPr>
      <w:r>
        <w:rPr>
          <w:rFonts w:hint="eastAsia"/>
          <w:bCs/>
          <w:szCs w:val="18"/>
        </w:rPr>
        <w:t>六、本协议经双方签署即生效，有效期与合同一致（一年或与相关业务协议有效期相同）。</w:t>
      </w:r>
    </w:p>
    <w:p w14:paraId="226C4E3D">
      <w:pPr>
        <w:spacing w:line="360" w:lineRule="auto"/>
        <w:rPr>
          <w:b/>
          <w:bCs/>
          <w:szCs w:val="18"/>
        </w:rPr>
      </w:pPr>
      <w:r>
        <w:rPr>
          <w:rFonts w:hint="eastAsia"/>
          <w:bCs/>
          <w:szCs w:val="18"/>
        </w:rPr>
        <w:t>七、对本协议的任何变更、补充，需经甲乙双方书面同意方可生效。</w:t>
      </w:r>
    </w:p>
    <w:p w14:paraId="3002507B">
      <w:pPr>
        <w:spacing w:line="480" w:lineRule="auto"/>
        <w:rPr>
          <w:b/>
          <w:bCs/>
          <w:szCs w:val="18"/>
        </w:rPr>
      </w:pPr>
    </w:p>
    <w:p w14:paraId="63D63BC0">
      <w:pPr>
        <w:spacing w:line="360" w:lineRule="auto"/>
        <w:rPr>
          <w:b/>
          <w:bCs/>
          <w:color w:val="000000"/>
        </w:rPr>
      </w:pPr>
      <w:r>
        <w:rPr>
          <w:rFonts w:hint="eastAsia"/>
          <w:bCs/>
        </w:rPr>
        <w:t>甲方（盖章）：</w:t>
      </w:r>
      <w:r>
        <w:rPr>
          <w:rFonts w:hint="eastAsia"/>
          <w:bCs/>
          <w:color w:val="000000"/>
        </w:rPr>
        <w:t>江苏天安智联科技股份有限公司</w:t>
      </w:r>
    </w:p>
    <w:p w14:paraId="2CBF1004">
      <w:pPr>
        <w:spacing w:line="360" w:lineRule="auto"/>
        <w:rPr>
          <w:b/>
          <w:bCs/>
        </w:rPr>
      </w:pPr>
    </w:p>
    <w:p w14:paraId="38D62612">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0A7F585C">
      <w:pPr>
        <w:spacing w:line="360" w:lineRule="auto"/>
        <w:rPr>
          <w:b/>
          <w:bCs/>
          <w:u w:val="single"/>
        </w:rPr>
      </w:pPr>
    </w:p>
    <w:p w14:paraId="526D7067">
      <w:pPr>
        <w:spacing w:line="360" w:lineRule="auto"/>
        <w:ind w:left="-2" w:leftChars="-1" w:firstLine="1"/>
        <w:rPr>
          <w:b/>
          <w:bCs/>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4B7DF4FC">
      <w:pPr>
        <w:spacing w:line="360" w:lineRule="auto"/>
        <w:ind w:left="-2" w:leftChars="-1" w:firstLine="1"/>
        <w:rPr>
          <w:b/>
          <w:bCs/>
        </w:rPr>
      </w:pPr>
    </w:p>
    <w:p w14:paraId="3A2C5205">
      <w:pPr>
        <w:spacing w:line="360" w:lineRule="auto"/>
        <w:rPr>
          <w:b/>
          <w:bCs/>
        </w:rPr>
      </w:pPr>
    </w:p>
    <w:p w14:paraId="515367ED">
      <w:pPr>
        <w:spacing w:line="360" w:lineRule="auto"/>
        <w:rPr>
          <w:b/>
          <w:bCs/>
          <w:szCs w:val="18"/>
        </w:rPr>
      </w:pPr>
      <w:r>
        <w:rPr>
          <w:rFonts w:hint="eastAsia"/>
          <w:bCs/>
        </w:rPr>
        <w:t>乙方（盖章）：</w:t>
      </w:r>
      <w:r>
        <w:rPr>
          <w:bCs/>
          <w:szCs w:val="18"/>
        </w:rPr>
        <w:t xml:space="preserve"> </w:t>
      </w:r>
      <w:r>
        <w:rPr>
          <w:rFonts w:hint="eastAsia"/>
          <w:bCs/>
          <w:szCs w:val="18"/>
        </w:rPr>
        <w:t>无锡市车城智联科技有限公司</w:t>
      </w:r>
    </w:p>
    <w:p w14:paraId="07C6CE56">
      <w:pPr>
        <w:spacing w:line="360" w:lineRule="auto"/>
        <w:rPr>
          <w:b/>
          <w:bCs/>
          <w:u w:val="single"/>
        </w:rPr>
      </w:pPr>
    </w:p>
    <w:p w14:paraId="70E6678C">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521F4970">
      <w:pPr>
        <w:spacing w:line="360" w:lineRule="auto"/>
        <w:rPr>
          <w:b/>
          <w:bCs/>
          <w:u w:val="single"/>
        </w:rPr>
      </w:pPr>
    </w:p>
    <w:p w14:paraId="155136F7">
      <w:pPr>
        <w:spacing w:line="360" w:lineRule="auto"/>
        <w:rPr>
          <w:b/>
          <w:bCs/>
          <w:color w:val="FF0000"/>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67B65D12">
      <w:pPr>
        <w:spacing w:line="360" w:lineRule="auto"/>
      </w:pPr>
    </w:p>
    <w:p w14:paraId="5A1D7658">
      <w:pPr>
        <w:tabs>
          <w:tab w:val="left" w:pos="360"/>
        </w:tabs>
        <w:spacing w:line="420" w:lineRule="exact"/>
        <w:ind w:right="-360"/>
        <w:rPr>
          <w:szCs w:val="28"/>
          <w:u w:val="single"/>
        </w:rPr>
      </w:pPr>
    </w:p>
    <w:p w14:paraId="37520302">
      <w:pPr>
        <w:rPr>
          <w:b/>
          <w:bCs/>
        </w:rPr>
      </w:pPr>
    </w:p>
    <w:p w14:paraId="604A32ED">
      <w:pPr>
        <w:rPr>
          <w:b/>
        </w:rPr>
      </w:pPr>
      <w:r>
        <w:rPr>
          <w:szCs w:val="21"/>
        </w:rPr>
        <w:br w:type="page"/>
      </w:r>
      <w:r>
        <w:rPr>
          <w:rFonts w:hint="eastAsia"/>
        </w:rPr>
        <w:t>附件2</w:t>
      </w:r>
    </w:p>
    <w:p w14:paraId="199087B7">
      <w:pPr>
        <w:spacing w:line="360" w:lineRule="auto"/>
        <w:jc w:val="center"/>
        <w:rPr>
          <w:b/>
          <w:szCs w:val="21"/>
        </w:rPr>
      </w:pPr>
      <w:r>
        <w:rPr>
          <w:rFonts w:hint="eastAsia"/>
          <w:szCs w:val="21"/>
        </w:rPr>
        <w:t>数据安全</w:t>
      </w:r>
      <w:r>
        <w:rPr>
          <w:szCs w:val="21"/>
        </w:rPr>
        <w:t>保密协议</w:t>
      </w:r>
    </w:p>
    <w:p w14:paraId="58B3343F">
      <w:pPr>
        <w:spacing w:line="360" w:lineRule="auto"/>
        <w:ind w:right="-334"/>
        <w:rPr>
          <w:b/>
        </w:rPr>
      </w:pPr>
      <w:r>
        <w:rPr>
          <w:rFonts w:hint="eastAsia"/>
        </w:rPr>
        <w:t>甲方：</w:t>
      </w:r>
      <w:r>
        <w:rPr>
          <w:rFonts w:hint="eastAsia"/>
          <w:bCs/>
          <w:color w:val="000000"/>
        </w:rPr>
        <w:t>江苏天安智联科技股份有限公司</w:t>
      </w:r>
    </w:p>
    <w:p w14:paraId="6DE83AA3">
      <w:pPr>
        <w:spacing w:line="360" w:lineRule="auto"/>
        <w:rPr>
          <w:rFonts w:cs="等线"/>
          <w:b/>
        </w:rPr>
      </w:pPr>
      <w:r>
        <w:rPr>
          <w:rFonts w:hint="eastAsia"/>
        </w:rPr>
        <w:t>乙方：</w:t>
      </w:r>
      <w:r>
        <w:rPr>
          <w:rFonts w:hint="eastAsia"/>
          <w:bCs/>
          <w:szCs w:val="18"/>
        </w:rPr>
        <w:t>无锡市车城智联科技有限公司</w:t>
      </w:r>
    </w:p>
    <w:p w14:paraId="011E72AF">
      <w:pPr>
        <w:spacing w:before="120" w:after="120" w:line="360" w:lineRule="auto"/>
        <w:ind w:firstLine="420"/>
        <w:rPr>
          <w:rFonts w:cs="等线"/>
          <w:b/>
        </w:rPr>
      </w:pPr>
      <w:r>
        <w:rPr>
          <w:rFonts w:hint="eastAsia" w:cs="等线"/>
        </w:rPr>
        <w:t>鉴于：甲乙双方签订了</w:t>
      </w:r>
      <w:r>
        <w:rPr>
          <w:rFonts w:hint="eastAsia" w:cs="等线"/>
          <w:u w:val="single"/>
        </w:rPr>
        <w:t xml:space="preserve"> 采购 </w:t>
      </w:r>
      <w:r>
        <w:rPr>
          <w:rFonts w:hint="eastAsia" w:cs="等线"/>
        </w:rPr>
        <w:t>合同（以下简称“合同”），在“合同”履行期间（以下简称“合作”期间），甲方向乙方提供的或者乙方在合作过程中所接触到甲方的数据及数据处理活动。双方同意就上述相关数据安全保密达成以下一致：</w:t>
      </w:r>
    </w:p>
    <w:p w14:paraId="0822539B">
      <w:pPr>
        <w:spacing w:before="120" w:after="120" w:line="360" w:lineRule="auto"/>
        <w:rPr>
          <w:rFonts w:cs="等线"/>
          <w:b/>
        </w:rPr>
      </w:pPr>
      <w:r>
        <w:rPr>
          <w:rFonts w:hint="eastAsia" w:cs="等线"/>
        </w:rPr>
        <w:t>一、定义</w:t>
      </w:r>
    </w:p>
    <w:p w14:paraId="27EE2559">
      <w:pPr>
        <w:spacing w:line="360" w:lineRule="auto"/>
        <w:ind w:firstLine="323"/>
        <w:rPr>
          <w:rFonts w:cs="等线"/>
          <w:b/>
        </w:rPr>
      </w:pPr>
      <w:r>
        <w:rPr>
          <w:rFonts w:hint="eastAsia" w:cs="等线"/>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4" w:name="_Hlk52136067"/>
      <w:r>
        <w:rPr>
          <w:rFonts w:hint="eastAsia" w:cs="等线"/>
        </w:rPr>
        <w:t>用户数据及服务内容信息</w:t>
      </w:r>
      <w:bookmarkEnd w:id="94"/>
      <w:r>
        <w:rPr>
          <w:rFonts w:hint="eastAsia" w:cs="等线"/>
        </w:rPr>
        <w:t>、用户服务相关信息、用户统计分析数据、网络与系统的建设与运行维护类数据、业务运营类数据、企业管理数据等一般数据、以及重要数据和核心数据。</w:t>
      </w:r>
    </w:p>
    <w:p w14:paraId="761B839C">
      <w:pPr>
        <w:spacing w:line="360" w:lineRule="auto"/>
        <w:ind w:firstLine="323"/>
        <w:rPr>
          <w:rFonts w:cs="等线"/>
          <w:b/>
        </w:rPr>
      </w:pPr>
      <w:r>
        <w:rPr>
          <w:rFonts w:hint="eastAsia" w:cs="等线"/>
        </w:rPr>
        <w:t>1.2本协议所称“数据处理活动”指数据的收集、存储、使用、加工、传输、提供、公开、销毁等环节。</w:t>
      </w:r>
    </w:p>
    <w:p w14:paraId="1894E9AE">
      <w:pPr>
        <w:spacing w:line="360" w:lineRule="auto"/>
        <w:rPr>
          <w:rFonts w:cs="等线"/>
          <w:b/>
        </w:rPr>
      </w:pPr>
    </w:p>
    <w:p w14:paraId="23D56698">
      <w:pPr>
        <w:numPr>
          <w:ilvl w:val="0"/>
          <w:numId w:val="6"/>
        </w:numPr>
        <w:spacing w:line="360" w:lineRule="auto"/>
        <w:rPr>
          <w:rFonts w:cs="等线"/>
          <w:b/>
        </w:rPr>
      </w:pPr>
      <w:r>
        <w:rPr>
          <w:rFonts w:hint="eastAsia" w:cs="等线"/>
        </w:rPr>
        <w:t>合作涉及数据情况</w:t>
      </w:r>
    </w:p>
    <w:p w14:paraId="4CCD9967">
      <w:pPr>
        <w:spacing w:line="360" w:lineRule="auto"/>
        <w:ind w:firstLine="323"/>
        <w:rPr>
          <w:rFonts w:cs="等线"/>
          <w:b/>
        </w:rPr>
      </w:pPr>
      <w:r>
        <w:rPr>
          <w:rFonts w:hint="eastAsia" w:cs="等线"/>
          <w:u w:val="single"/>
        </w:rPr>
        <w:t xml:space="preserve">见附表。               </w:t>
      </w:r>
    </w:p>
    <w:p w14:paraId="0682E980">
      <w:pPr>
        <w:spacing w:line="360" w:lineRule="auto"/>
        <w:rPr>
          <w:rFonts w:cs="等线"/>
          <w:b/>
        </w:rPr>
      </w:pPr>
    </w:p>
    <w:p w14:paraId="6744883F">
      <w:pPr>
        <w:spacing w:line="360" w:lineRule="auto"/>
        <w:rPr>
          <w:rFonts w:cs="等线"/>
          <w:b/>
        </w:rPr>
      </w:pPr>
      <w:r>
        <w:rPr>
          <w:rFonts w:hint="eastAsia" w:cs="等线"/>
        </w:rPr>
        <w:t>三、双方责任及义务</w:t>
      </w:r>
    </w:p>
    <w:p w14:paraId="4B2BD44B">
      <w:pPr>
        <w:tabs>
          <w:tab w:val="left" w:pos="-1"/>
        </w:tabs>
        <w:spacing w:before="120" w:after="120" w:line="360" w:lineRule="auto"/>
        <w:ind w:left="480" w:leftChars="200" w:firstLine="480" w:firstLineChars="200"/>
        <w:rPr>
          <w:rFonts w:cs="等线"/>
          <w:b/>
        </w:rPr>
      </w:pPr>
      <w:r>
        <w:rPr>
          <w:rFonts w:hint="eastAsia" w:cs="等线"/>
        </w:rPr>
        <w:t>3.1甲方提供数据的行为不构成向乙方授予任何与数据相关的专利权、专利申请权、商标权、著作权、商业秘密或其它的知识产权、所有权或其他任何权利。</w:t>
      </w:r>
    </w:p>
    <w:p w14:paraId="6B7C214D">
      <w:pPr>
        <w:tabs>
          <w:tab w:val="left" w:pos="-1"/>
        </w:tabs>
        <w:spacing w:before="120" w:after="120" w:line="360" w:lineRule="auto"/>
        <w:ind w:left="480" w:leftChars="200" w:firstLine="480" w:firstLineChars="200"/>
        <w:rPr>
          <w:rFonts w:cs="等线"/>
          <w:b/>
        </w:rPr>
      </w:pPr>
      <w:r>
        <w:rPr>
          <w:rFonts w:hint="eastAsia" w:cs="等线"/>
        </w:rPr>
        <w:t>3.2 甲方有权根据《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141681EF">
      <w:pPr>
        <w:tabs>
          <w:tab w:val="left" w:pos="-1"/>
        </w:tabs>
        <w:spacing w:before="120" w:after="120" w:line="360" w:lineRule="auto"/>
        <w:ind w:left="480" w:leftChars="200" w:firstLine="480" w:firstLineChars="200"/>
        <w:rPr>
          <w:rFonts w:cs="等线"/>
          <w:b/>
        </w:rPr>
      </w:pPr>
      <w:r>
        <w:rPr>
          <w:rFonts w:hint="eastAsia" w:cs="等线"/>
        </w:rPr>
        <w:t>3.3乙方对数据的处理应当满足下列要求：</w:t>
      </w:r>
    </w:p>
    <w:p w14:paraId="3E836426">
      <w:pPr>
        <w:spacing w:before="120" w:after="120" w:line="360" w:lineRule="auto"/>
        <w:ind w:left="480" w:leftChars="200" w:firstLine="480" w:firstLineChars="200"/>
        <w:rPr>
          <w:rFonts w:cs="等线"/>
          <w:b/>
        </w:rPr>
      </w:pPr>
      <w:r>
        <w:rPr>
          <w:rFonts w:hint="eastAsia" w:cs="等线"/>
        </w:rPr>
        <w:t>3.3.1 乙方应严格遵守《网络安全法》、《数据安全法》、《个人信息保护法》、《工业和信息化领域数据安全管理办法（试行）》等国家相关法律法规要求以及业主或甲方客户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p>
    <w:p w14:paraId="51A5D3BB">
      <w:pPr>
        <w:spacing w:before="120" w:after="120" w:line="360" w:lineRule="auto"/>
        <w:ind w:left="480" w:leftChars="200" w:firstLine="480" w:firstLineChars="200"/>
        <w:rPr>
          <w:rFonts w:cs="等线"/>
          <w:b/>
        </w:rPr>
      </w:pPr>
      <w:r>
        <w:rPr>
          <w:rFonts w:hint="eastAsia" w:cs="等线"/>
        </w:rPr>
        <w:t>3.3.2乙方承诺仅在本次合作期间，为合同履行的目的处理数据，不得未经同意改变数据处理的目的、方式和范围。</w:t>
      </w:r>
    </w:p>
    <w:p w14:paraId="61B8832D">
      <w:pPr>
        <w:spacing w:before="120" w:after="120" w:line="360" w:lineRule="auto"/>
        <w:ind w:left="480" w:leftChars="200" w:firstLine="480" w:firstLineChars="200"/>
        <w:rPr>
          <w:rFonts w:cs="等线"/>
          <w:b/>
        </w:rPr>
      </w:pPr>
      <w:r>
        <w:rPr>
          <w:rFonts w:hint="eastAsia" w:cs="等线"/>
        </w:rPr>
        <w:t>3.3.3 未经甲方的事先书面批准，乙方不得以任何形式或任何方式缓存、窃取、泄露、滥用数据以及向第三方提供数据。</w:t>
      </w:r>
    </w:p>
    <w:p w14:paraId="7E8D31CE">
      <w:pPr>
        <w:spacing w:before="120" w:after="120" w:line="360" w:lineRule="auto"/>
        <w:ind w:left="480" w:leftChars="200" w:firstLine="480" w:firstLineChars="200"/>
        <w:rPr>
          <w:rFonts w:cs="等线"/>
          <w:b/>
        </w:rPr>
      </w:pPr>
      <w:r>
        <w:rPr>
          <w:rFonts w:hint="eastAsia" w:cs="等线"/>
        </w:rPr>
        <w:t>3.3.4 乙方有义务妥善保管必要的数据，不得私自复制、泄漏或遗失，对于乙方保管的数据应采取必要技术保护措施，例如：数据脱敏、数据模糊化、数据加密、4A和金库审批、账号和访问操作日志审计等。</w:t>
      </w:r>
    </w:p>
    <w:p w14:paraId="09BCB196">
      <w:pPr>
        <w:spacing w:before="120" w:after="120" w:line="360" w:lineRule="auto"/>
        <w:ind w:left="480" w:leftChars="200" w:firstLine="480" w:firstLineChars="200"/>
        <w:rPr>
          <w:rFonts w:cs="等线"/>
          <w:b/>
        </w:rPr>
      </w:pPr>
      <w:r>
        <w:rPr>
          <w:rFonts w:hint="eastAsia" w:cs="等线"/>
        </w:rPr>
        <w:t>3.3.5 乙方不得依据数据，就任何问题，向任何第三方做出任何建议。</w:t>
      </w:r>
    </w:p>
    <w:p w14:paraId="26F583D0">
      <w:pPr>
        <w:spacing w:before="120" w:after="120" w:line="360" w:lineRule="auto"/>
        <w:ind w:left="480" w:leftChars="200" w:firstLine="480" w:firstLineChars="200"/>
        <w:rPr>
          <w:rFonts w:cs="等线"/>
          <w:b/>
        </w:rPr>
      </w:pPr>
      <w:r>
        <w:rPr>
          <w:rFonts w:hint="eastAsia" w:cs="等线"/>
        </w:rPr>
        <w:t>3.3.6 未经甲方同意，乙方不得利用上述数据进行新的研究和开发。</w:t>
      </w:r>
    </w:p>
    <w:p w14:paraId="33CE7E82">
      <w:pPr>
        <w:tabs>
          <w:tab w:val="left" w:pos="-1"/>
        </w:tabs>
        <w:spacing w:before="120" w:after="120" w:line="360" w:lineRule="auto"/>
        <w:ind w:firstLine="480" w:firstLineChars="200"/>
        <w:rPr>
          <w:rFonts w:cs="等线"/>
          <w:b/>
          <w:u w:val="single"/>
        </w:rPr>
      </w:pPr>
      <w:r>
        <w:rPr>
          <w:rFonts w:hint="eastAsia" w:cs="等线"/>
        </w:rPr>
        <w:t xml:space="preserve">3.4 </w:t>
      </w:r>
      <w:r>
        <w:rPr>
          <w:rFonts w:hint="eastAsia" w:cs="等线"/>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13D800B2">
      <w:pPr>
        <w:tabs>
          <w:tab w:val="left" w:pos="-1"/>
        </w:tabs>
        <w:spacing w:before="120" w:after="120" w:line="360" w:lineRule="auto"/>
        <w:ind w:firstLine="480" w:firstLineChars="200"/>
        <w:rPr>
          <w:rFonts w:cs="等线"/>
          <w:b/>
        </w:rPr>
      </w:pPr>
      <w:r>
        <w:rPr>
          <w:rFonts w:hint="eastAsia" w:cs="等线"/>
        </w:rPr>
        <w:t>3.5甲方有权在甲方认为必要的情况下收回所提供的数据及其处理权，乙方应配合甲方行使上述权利，按照甲方的要求将所控制的数据交回甲方、删除或销毁。</w:t>
      </w:r>
    </w:p>
    <w:p w14:paraId="609F5A5E">
      <w:pPr>
        <w:spacing w:before="120" w:after="120" w:line="360" w:lineRule="auto"/>
        <w:rPr>
          <w:rFonts w:cs="等线"/>
          <w:b/>
        </w:rPr>
      </w:pPr>
      <w:r>
        <w:rPr>
          <w:rFonts w:hint="eastAsia" w:cs="等线"/>
        </w:rPr>
        <w:t>四、违约责任和处罚措施</w:t>
      </w:r>
    </w:p>
    <w:p w14:paraId="5C5AC0B5">
      <w:pPr>
        <w:tabs>
          <w:tab w:val="left" w:pos="-1"/>
        </w:tabs>
        <w:spacing w:before="120" w:after="120" w:line="360" w:lineRule="auto"/>
        <w:ind w:firstLine="480" w:firstLineChars="200"/>
        <w:rPr>
          <w:rFonts w:cs="等线"/>
          <w:b/>
        </w:rPr>
      </w:pPr>
      <w:r>
        <w:rPr>
          <w:rFonts w:hint="eastAsia" w:cs="等线"/>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209FC390">
      <w:pPr>
        <w:tabs>
          <w:tab w:val="left" w:pos="-1"/>
        </w:tabs>
        <w:spacing w:before="120" w:after="120" w:line="360" w:lineRule="auto"/>
        <w:ind w:firstLine="480" w:firstLineChars="200"/>
        <w:rPr>
          <w:rFonts w:cs="等线"/>
          <w:b/>
        </w:rPr>
      </w:pPr>
      <w:r>
        <w:rPr>
          <w:rFonts w:hint="eastAsia" w:cs="等线"/>
        </w:rPr>
        <w:t>4.2乙方违约的，甲方有权要求乙方承担下述各项违约责任，同时甲方有权以书面形式单方面通知乙方终止合作：</w:t>
      </w:r>
    </w:p>
    <w:p w14:paraId="2C1E1CB1">
      <w:pPr>
        <w:spacing w:before="120" w:after="120" w:line="360" w:lineRule="auto"/>
        <w:ind w:left="600"/>
        <w:rPr>
          <w:rFonts w:cs="等线"/>
          <w:b/>
        </w:rPr>
      </w:pPr>
      <w:r>
        <w:rPr>
          <w:rFonts w:hint="eastAsia" w:cs="等线"/>
        </w:rPr>
        <w:t>（1）立即停止违反本协议的行为；</w:t>
      </w:r>
    </w:p>
    <w:p w14:paraId="1A3F80AE">
      <w:pPr>
        <w:spacing w:before="120" w:after="120" w:line="360" w:lineRule="auto"/>
        <w:ind w:left="600"/>
        <w:rPr>
          <w:rFonts w:cs="等线"/>
          <w:b/>
        </w:rPr>
      </w:pPr>
      <w:r>
        <w:rPr>
          <w:rFonts w:hint="eastAsia" w:cs="等线"/>
        </w:rPr>
        <w:t>（2）采取一切有效措施进行补救，防止数据泄露、滥用等范围继续扩大；</w:t>
      </w:r>
    </w:p>
    <w:p w14:paraId="1138468A">
      <w:pPr>
        <w:spacing w:before="120" w:after="120" w:line="360" w:lineRule="auto"/>
        <w:ind w:firstLine="480" w:firstLineChars="200"/>
        <w:rPr>
          <w:rFonts w:cs="等线"/>
          <w:b/>
        </w:rPr>
      </w:pPr>
      <w:r>
        <w:rPr>
          <w:rFonts w:hint="eastAsia" w:cs="等线"/>
        </w:rPr>
        <w:t>（3）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36F6DFDE">
      <w:pPr>
        <w:spacing w:before="120" w:after="120" w:line="360" w:lineRule="auto"/>
        <w:ind w:firstLine="480" w:firstLineChars="200"/>
        <w:rPr>
          <w:rFonts w:cs="等线"/>
          <w:b/>
        </w:rPr>
      </w:pPr>
      <w:r>
        <w:rPr>
          <w:rFonts w:hint="eastAsia" w:cs="等线"/>
        </w:rPr>
        <w:t>（4）业主或甲方客户或甲方有权利采取将乙方加入业主或甲方客户或甲方合作负面行为名单，报送通信行业管理部门将乙方加入行业负面行为名单等措施。</w:t>
      </w:r>
    </w:p>
    <w:p w14:paraId="37F72948">
      <w:pPr>
        <w:spacing w:before="120" w:after="120" w:line="360" w:lineRule="auto"/>
        <w:rPr>
          <w:rFonts w:cs="等线"/>
          <w:b/>
        </w:rPr>
      </w:pPr>
      <w:r>
        <w:rPr>
          <w:rFonts w:hint="eastAsia" w:cs="等线"/>
        </w:rPr>
        <w:t>五、</w:t>
      </w:r>
      <w:r>
        <w:rPr>
          <w:rFonts w:hint="eastAsia" w:cs="等线"/>
        </w:rPr>
        <w:tab/>
      </w:r>
      <w:r>
        <w:rPr>
          <w:rFonts w:hint="eastAsia" w:cs="等线"/>
        </w:rPr>
        <w:t>数据处理期限</w:t>
      </w:r>
    </w:p>
    <w:p w14:paraId="1FF77CA2">
      <w:pPr>
        <w:spacing w:before="120" w:after="120" w:line="360" w:lineRule="auto"/>
        <w:ind w:firstLine="480" w:firstLineChars="200"/>
        <w:rPr>
          <w:rFonts w:cs="等线"/>
          <w:b/>
        </w:rPr>
      </w:pPr>
      <w:r>
        <w:rPr>
          <w:rFonts w:hint="eastAsia" w:cs="等线"/>
        </w:rPr>
        <w:t>除法律明确规定外，本协议规定的数据的处理期限仅限于“合作”过程中（合同有效期内）处理，合作结束后除非甲方书面授权，乙方应将所控制的数据交回甲方删除或销毁。</w:t>
      </w:r>
    </w:p>
    <w:p w14:paraId="747525A5">
      <w:pPr>
        <w:spacing w:before="120" w:after="120" w:line="360" w:lineRule="auto"/>
        <w:ind w:firstLine="480" w:firstLineChars="200"/>
        <w:rPr>
          <w:rFonts w:cs="等线"/>
          <w:b/>
        </w:rPr>
      </w:pPr>
      <w:r>
        <w:rPr>
          <w:rFonts w:hint="eastAsia" w:cs="等线"/>
        </w:rPr>
        <w:t>数据的保密责任期限为自本协议生效之日起至数据失去其保密性质并为公众所知悉之时为止，不因“合作”终止或解除（合同过期）而结束。</w:t>
      </w:r>
    </w:p>
    <w:p w14:paraId="4D322021">
      <w:pPr>
        <w:spacing w:before="120" w:after="120" w:line="360" w:lineRule="auto"/>
        <w:rPr>
          <w:rFonts w:cs="等线"/>
          <w:b/>
        </w:rPr>
      </w:pPr>
      <w:r>
        <w:rPr>
          <w:rFonts w:hint="eastAsia" w:cs="等线"/>
        </w:rPr>
        <w:t>六、</w:t>
      </w:r>
      <w:r>
        <w:rPr>
          <w:rFonts w:hint="eastAsia" w:cs="等线"/>
        </w:rPr>
        <w:tab/>
      </w:r>
      <w:r>
        <w:rPr>
          <w:rFonts w:hint="eastAsia" w:cs="等线"/>
        </w:rPr>
        <w:t>免责条款</w:t>
      </w:r>
    </w:p>
    <w:p w14:paraId="17076F21">
      <w:pPr>
        <w:spacing w:before="120" w:after="120" w:line="360" w:lineRule="auto"/>
        <w:ind w:firstLine="420"/>
        <w:rPr>
          <w:rFonts w:cs="等线"/>
          <w:b/>
        </w:rPr>
      </w:pPr>
      <w:r>
        <w:rPr>
          <w:rFonts w:hint="eastAsia" w:cs="等线"/>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133EF000">
      <w:pPr>
        <w:pStyle w:val="13"/>
      </w:pPr>
    </w:p>
    <w:p w14:paraId="7089ED83">
      <w:pPr>
        <w:spacing w:line="360" w:lineRule="auto"/>
        <w:rPr>
          <w:rFonts w:cs="等线"/>
          <w:bCs/>
        </w:rPr>
      </w:pPr>
      <w:r>
        <w:rPr>
          <w:rFonts w:hint="eastAsia" w:cs="等线"/>
          <w:bCs/>
        </w:rPr>
        <w:t>数据安全保密协议附表：</w:t>
      </w:r>
    </w:p>
    <w:tbl>
      <w:tblPr>
        <w:tblStyle w:val="18"/>
        <w:tblW w:w="8370" w:type="dxa"/>
        <w:tblInd w:w="0" w:type="dxa"/>
        <w:tblLayout w:type="fixed"/>
        <w:tblCellMar>
          <w:top w:w="0" w:type="dxa"/>
          <w:left w:w="108" w:type="dxa"/>
          <w:bottom w:w="0" w:type="dxa"/>
          <w:right w:w="108" w:type="dxa"/>
        </w:tblCellMar>
      </w:tblPr>
      <w:tblGrid>
        <w:gridCol w:w="530"/>
        <w:gridCol w:w="893"/>
        <w:gridCol w:w="1224"/>
        <w:gridCol w:w="672"/>
        <w:gridCol w:w="953"/>
        <w:gridCol w:w="1437"/>
        <w:gridCol w:w="1170"/>
        <w:gridCol w:w="1491"/>
      </w:tblGrid>
      <w:tr w14:paraId="51EAA703">
        <w:trPr>
          <w:trHeight w:val="294" w:hRule="atLeast"/>
        </w:trPr>
        <w:tc>
          <w:tcPr>
            <w:tcW w:w="8370" w:type="dxa"/>
            <w:gridSpan w:val="8"/>
            <w:tcBorders>
              <w:top w:val="single" w:color="000000" w:sz="4" w:space="0"/>
              <w:left w:val="single" w:color="000000" w:sz="4" w:space="0"/>
              <w:bottom w:val="single" w:color="000000" w:sz="4" w:space="0"/>
              <w:right w:val="single" w:color="000000" w:sz="4" w:space="0"/>
            </w:tcBorders>
            <w:noWrap/>
            <w:vAlign w:val="center"/>
          </w:tcPr>
          <w:p w14:paraId="7669BFA9">
            <w:pPr>
              <w:spacing w:line="360" w:lineRule="auto"/>
              <w:jc w:val="center"/>
              <w:textAlignment w:val="center"/>
              <w:rPr>
                <w:rFonts w:cs="等线"/>
                <w:b/>
                <w:color w:val="000000"/>
                <w:sz w:val="18"/>
                <w:szCs w:val="18"/>
              </w:rPr>
            </w:pPr>
            <w:r>
              <w:rPr>
                <w:rFonts w:hint="eastAsia" w:cs="等线"/>
                <w:sz w:val="18"/>
                <w:szCs w:val="18"/>
                <w:lang w:bidi="ar"/>
              </w:rPr>
              <w:t>合作涉及数据情况</w:t>
            </w:r>
          </w:p>
        </w:tc>
      </w:tr>
      <w:tr w14:paraId="437D4FAE">
        <w:tblPrEx>
          <w:tblCellMar>
            <w:top w:w="0" w:type="dxa"/>
            <w:left w:w="108" w:type="dxa"/>
            <w:bottom w:w="0" w:type="dxa"/>
            <w:right w:w="108" w:type="dxa"/>
          </w:tblCellMar>
        </w:tblPrEx>
        <w:trPr>
          <w:trHeight w:val="900" w:hRule="atLeast"/>
        </w:trPr>
        <w:tc>
          <w:tcPr>
            <w:tcW w:w="530" w:type="dxa"/>
            <w:tcBorders>
              <w:top w:val="single" w:color="000000" w:sz="4" w:space="0"/>
              <w:left w:val="single" w:color="000000" w:sz="4" w:space="0"/>
              <w:bottom w:val="single" w:color="000000" w:sz="4" w:space="0"/>
              <w:right w:val="single" w:color="000000" w:sz="4" w:space="0"/>
            </w:tcBorders>
            <w:vAlign w:val="center"/>
          </w:tcPr>
          <w:p w14:paraId="3215F83B">
            <w:pPr>
              <w:spacing w:before="120" w:after="120"/>
              <w:rPr>
                <w:rFonts w:cs="等线"/>
                <w:b/>
                <w:sz w:val="18"/>
                <w:szCs w:val="18"/>
                <w:lang w:bidi="ar"/>
              </w:rPr>
            </w:pPr>
            <w:r>
              <w:rPr>
                <w:rFonts w:hint="eastAsia" w:cs="等线"/>
                <w:sz w:val="18"/>
                <w:szCs w:val="18"/>
                <w:lang w:bidi="ar"/>
              </w:rPr>
              <w:t>序号</w:t>
            </w:r>
          </w:p>
        </w:tc>
        <w:tc>
          <w:tcPr>
            <w:tcW w:w="893" w:type="dxa"/>
            <w:tcBorders>
              <w:top w:val="single" w:color="000000" w:sz="4" w:space="0"/>
              <w:left w:val="single" w:color="000000" w:sz="4" w:space="0"/>
              <w:bottom w:val="single" w:color="000000" w:sz="4" w:space="0"/>
              <w:right w:val="single" w:color="000000" w:sz="4" w:space="0"/>
            </w:tcBorders>
            <w:vAlign w:val="center"/>
          </w:tcPr>
          <w:p w14:paraId="0FE0B69E">
            <w:pPr>
              <w:spacing w:before="120" w:after="120"/>
              <w:rPr>
                <w:rFonts w:cs="等线"/>
                <w:b/>
                <w:sz w:val="18"/>
                <w:szCs w:val="18"/>
                <w:lang w:bidi="ar"/>
              </w:rPr>
            </w:pPr>
            <w:r>
              <w:rPr>
                <w:rFonts w:hint="eastAsia" w:cs="等线"/>
                <w:sz w:val="18"/>
                <w:szCs w:val="18"/>
                <w:lang w:bidi="ar"/>
              </w:rPr>
              <w:t>数据名称</w:t>
            </w:r>
          </w:p>
        </w:tc>
        <w:tc>
          <w:tcPr>
            <w:tcW w:w="1224" w:type="dxa"/>
            <w:tcBorders>
              <w:top w:val="single" w:color="000000" w:sz="4" w:space="0"/>
              <w:left w:val="single" w:color="000000" w:sz="4" w:space="0"/>
              <w:bottom w:val="single" w:color="000000" w:sz="4" w:space="0"/>
              <w:right w:val="single" w:color="000000" w:sz="4" w:space="0"/>
            </w:tcBorders>
            <w:vAlign w:val="center"/>
          </w:tcPr>
          <w:p w14:paraId="3ACA944E">
            <w:pPr>
              <w:spacing w:before="120" w:after="120"/>
              <w:rPr>
                <w:rFonts w:cs="等线"/>
                <w:b/>
                <w:sz w:val="18"/>
                <w:szCs w:val="18"/>
                <w:lang w:bidi="ar"/>
              </w:rPr>
            </w:pPr>
            <w:r>
              <w:rPr>
                <w:rFonts w:hint="eastAsia" w:cs="等线"/>
                <w:sz w:val="18"/>
                <w:szCs w:val="18"/>
                <w:lang w:bidi="ar"/>
              </w:rPr>
              <w:t>数据</w:t>
            </w:r>
          </w:p>
          <w:p w14:paraId="08A84410">
            <w:pPr>
              <w:spacing w:before="120" w:after="120"/>
              <w:rPr>
                <w:rFonts w:cs="等线"/>
                <w:b/>
                <w:sz w:val="18"/>
                <w:szCs w:val="18"/>
                <w:lang w:bidi="ar"/>
              </w:rPr>
            </w:pPr>
            <w:r>
              <w:rPr>
                <w:rFonts w:hint="eastAsia" w:cs="等线"/>
                <w:sz w:val="18"/>
                <w:szCs w:val="18"/>
                <w:lang w:bidi="ar"/>
              </w:rPr>
              <w:t>数量</w:t>
            </w:r>
          </w:p>
        </w:tc>
        <w:tc>
          <w:tcPr>
            <w:tcW w:w="672" w:type="dxa"/>
            <w:tcBorders>
              <w:top w:val="single" w:color="000000" w:sz="4" w:space="0"/>
              <w:left w:val="single" w:color="000000" w:sz="4" w:space="0"/>
              <w:bottom w:val="single" w:color="000000" w:sz="4" w:space="0"/>
              <w:right w:val="single" w:color="000000" w:sz="4" w:space="0"/>
            </w:tcBorders>
            <w:vAlign w:val="center"/>
          </w:tcPr>
          <w:p w14:paraId="3A47D77B">
            <w:pPr>
              <w:spacing w:before="120" w:after="120"/>
              <w:rPr>
                <w:rFonts w:cs="等线"/>
                <w:b/>
                <w:sz w:val="18"/>
                <w:szCs w:val="18"/>
                <w:lang w:bidi="ar"/>
              </w:rPr>
            </w:pPr>
            <w:r>
              <w:rPr>
                <w:rFonts w:hint="eastAsia" w:cs="等线"/>
                <w:sz w:val="18"/>
                <w:szCs w:val="18"/>
                <w:lang w:bidi="ar"/>
              </w:rPr>
              <w:t>数据级别</w:t>
            </w:r>
          </w:p>
        </w:tc>
        <w:tc>
          <w:tcPr>
            <w:tcW w:w="953" w:type="dxa"/>
            <w:tcBorders>
              <w:top w:val="single" w:color="000000" w:sz="4" w:space="0"/>
              <w:left w:val="single" w:color="000000" w:sz="4" w:space="0"/>
              <w:bottom w:val="single" w:color="000000" w:sz="4" w:space="0"/>
              <w:right w:val="single" w:color="000000" w:sz="4" w:space="0"/>
            </w:tcBorders>
            <w:vAlign w:val="center"/>
          </w:tcPr>
          <w:p w14:paraId="71224FF7">
            <w:pPr>
              <w:spacing w:before="120" w:after="120"/>
              <w:rPr>
                <w:rFonts w:cs="等线"/>
                <w:b/>
                <w:sz w:val="18"/>
                <w:szCs w:val="18"/>
                <w:lang w:bidi="ar"/>
              </w:rPr>
            </w:pPr>
            <w:r>
              <w:rPr>
                <w:rFonts w:hint="eastAsia" w:cs="等线"/>
                <w:sz w:val="18"/>
                <w:szCs w:val="18"/>
                <w:lang w:bidi="ar"/>
              </w:rPr>
              <w:t>数据类别</w:t>
            </w:r>
          </w:p>
        </w:tc>
        <w:tc>
          <w:tcPr>
            <w:tcW w:w="1437" w:type="dxa"/>
            <w:tcBorders>
              <w:top w:val="single" w:color="000000" w:sz="4" w:space="0"/>
              <w:left w:val="single" w:color="000000" w:sz="4" w:space="0"/>
              <w:bottom w:val="single" w:color="000000" w:sz="4" w:space="0"/>
              <w:right w:val="single" w:color="000000" w:sz="4" w:space="0"/>
            </w:tcBorders>
            <w:vAlign w:val="center"/>
          </w:tcPr>
          <w:p w14:paraId="4C629F1B">
            <w:pPr>
              <w:spacing w:before="120" w:after="120"/>
              <w:rPr>
                <w:rFonts w:cs="等线"/>
                <w:b/>
                <w:sz w:val="18"/>
                <w:szCs w:val="18"/>
                <w:lang w:bidi="ar"/>
              </w:rPr>
            </w:pPr>
            <w:r>
              <w:rPr>
                <w:rFonts w:hint="eastAsia" w:cs="等线"/>
                <w:sz w:val="18"/>
                <w:szCs w:val="18"/>
                <w:lang w:bidi="ar"/>
              </w:rPr>
              <w:t>数据处理方式</w:t>
            </w:r>
          </w:p>
        </w:tc>
        <w:tc>
          <w:tcPr>
            <w:tcW w:w="1170" w:type="dxa"/>
            <w:tcBorders>
              <w:top w:val="single" w:color="000000" w:sz="4" w:space="0"/>
              <w:left w:val="single" w:color="000000" w:sz="4" w:space="0"/>
              <w:bottom w:val="single" w:color="000000" w:sz="4" w:space="0"/>
              <w:right w:val="single" w:color="000000" w:sz="4" w:space="0"/>
            </w:tcBorders>
            <w:vAlign w:val="center"/>
          </w:tcPr>
          <w:p w14:paraId="7E7EA9B1">
            <w:pPr>
              <w:spacing w:before="120" w:after="120"/>
              <w:rPr>
                <w:rFonts w:cs="等线"/>
                <w:b/>
                <w:sz w:val="18"/>
                <w:szCs w:val="18"/>
                <w:lang w:bidi="ar"/>
              </w:rPr>
            </w:pPr>
            <w:r>
              <w:rPr>
                <w:rFonts w:hint="eastAsia" w:cs="等线"/>
                <w:sz w:val="18"/>
                <w:szCs w:val="18"/>
                <w:lang w:bidi="ar"/>
              </w:rPr>
              <w:t>数据处理目的</w:t>
            </w:r>
          </w:p>
        </w:tc>
        <w:tc>
          <w:tcPr>
            <w:tcW w:w="1491" w:type="dxa"/>
            <w:tcBorders>
              <w:top w:val="single" w:color="000000" w:sz="4" w:space="0"/>
              <w:left w:val="single" w:color="000000" w:sz="4" w:space="0"/>
              <w:bottom w:val="single" w:color="000000" w:sz="4" w:space="0"/>
              <w:right w:val="single" w:color="000000" w:sz="4" w:space="0"/>
            </w:tcBorders>
            <w:vAlign w:val="center"/>
          </w:tcPr>
          <w:p w14:paraId="5C40F82A">
            <w:pPr>
              <w:spacing w:before="120" w:after="120"/>
              <w:rPr>
                <w:rFonts w:cs="等线"/>
                <w:b/>
                <w:sz w:val="18"/>
                <w:szCs w:val="18"/>
                <w:lang w:bidi="ar"/>
              </w:rPr>
            </w:pPr>
            <w:r>
              <w:rPr>
                <w:rFonts w:hint="eastAsia" w:cs="等线"/>
                <w:sz w:val="18"/>
                <w:szCs w:val="18"/>
                <w:lang w:bidi="ar"/>
              </w:rPr>
              <w:t>数据处理范围</w:t>
            </w:r>
          </w:p>
        </w:tc>
      </w:tr>
      <w:tr w14:paraId="3F4D17C9">
        <w:tblPrEx>
          <w:tblCellMar>
            <w:top w:w="0" w:type="dxa"/>
            <w:left w:w="108" w:type="dxa"/>
            <w:bottom w:w="0" w:type="dxa"/>
            <w:right w:w="108" w:type="dxa"/>
          </w:tblCellMar>
        </w:tblPrEx>
        <w:trPr>
          <w:trHeight w:val="150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396699AF">
            <w:pPr>
              <w:spacing w:before="120" w:after="120"/>
              <w:rPr>
                <w:rFonts w:cs="等线"/>
                <w:b/>
                <w:sz w:val="18"/>
                <w:szCs w:val="18"/>
                <w:lang w:bidi="ar"/>
              </w:rPr>
            </w:pPr>
            <w:r>
              <w:rPr>
                <w:rFonts w:hint="eastAsia" w:cs="等线"/>
                <w:sz w:val="18"/>
                <w:szCs w:val="18"/>
                <w:lang w:bidi="ar"/>
              </w:rPr>
              <w:t>说明</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30228F63">
            <w:pPr>
              <w:spacing w:before="120" w:after="120"/>
              <w:rPr>
                <w:rFonts w:cs="等线"/>
                <w:b/>
                <w:sz w:val="18"/>
                <w:szCs w:val="18"/>
                <w:lang w:bidi="ar"/>
              </w:rPr>
            </w:pPr>
            <w:r>
              <w:rPr>
                <w:rFonts w:hint="eastAsia" w:cs="等线"/>
                <w:sz w:val="18"/>
                <w:szCs w:val="18"/>
                <w:lang w:bidi="ar"/>
              </w:rPr>
              <w:t>根据合作实际情况填写</w:t>
            </w:r>
          </w:p>
        </w:tc>
        <w:tc>
          <w:tcPr>
            <w:tcW w:w="1224" w:type="dxa"/>
            <w:tcBorders>
              <w:top w:val="single" w:color="000000" w:sz="4" w:space="0"/>
              <w:left w:val="single" w:color="000000" w:sz="4" w:space="0"/>
              <w:bottom w:val="single" w:color="000000" w:sz="4" w:space="0"/>
              <w:right w:val="single" w:color="000000" w:sz="4" w:space="0"/>
            </w:tcBorders>
            <w:vAlign w:val="center"/>
          </w:tcPr>
          <w:p w14:paraId="38E3A760">
            <w:pPr>
              <w:spacing w:before="120" w:after="120"/>
              <w:rPr>
                <w:rFonts w:cs="等线"/>
                <w:b/>
                <w:sz w:val="18"/>
                <w:szCs w:val="18"/>
                <w:lang w:bidi="ar"/>
              </w:rPr>
            </w:pPr>
            <w:r>
              <w:rPr>
                <w:rFonts w:hint="eastAsia" w:cs="等线"/>
                <w:sz w:val="18"/>
                <w:szCs w:val="18"/>
                <w:lang w:bidi="ar"/>
              </w:rPr>
              <w:t>电子化数据填写大小，单位GB；</w:t>
            </w:r>
            <w:r>
              <w:rPr>
                <w:rFonts w:hint="eastAsia" w:cs="等线"/>
                <w:sz w:val="18"/>
                <w:szCs w:val="18"/>
                <w:lang w:bidi="ar"/>
              </w:rPr>
              <w:br w:type="textWrapping"/>
            </w:r>
            <w:r>
              <w:rPr>
                <w:rFonts w:hint="eastAsia" w:cs="等线"/>
                <w:sz w:val="18"/>
                <w:szCs w:val="18"/>
                <w:lang w:bidi="ar"/>
              </w:rPr>
              <w:t>非电子化数据填写条数</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1098E29F">
            <w:pPr>
              <w:spacing w:before="120" w:after="120"/>
              <w:rPr>
                <w:rFonts w:cs="等线"/>
                <w:b/>
                <w:sz w:val="18"/>
                <w:szCs w:val="18"/>
                <w:lang w:bidi="ar"/>
              </w:rPr>
            </w:pPr>
            <w:r>
              <w:rPr>
                <w:rFonts w:hint="eastAsia" w:cs="等线"/>
                <w:sz w:val="18"/>
                <w:szCs w:val="18"/>
                <w:lang w:bidi="ar"/>
              </w:rPr>
              <w:t>参考数据分类分级表</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543AB1F2">
            <w:pPr>
              <w:spacing w:before="120" w:after="120"/>
              <w:rPr>
                <w:rFonts w:cs="等线"/>
                <w:b/>
                <w:sz w:val="18"/>
                <w:szCs w:val="18"/>
                <w:lang w:bidi="ar"/>
              </w:rPr>
            </w:pPr>
            <w:r>
              <w:rPr>
                <w:rFonts w:hint="eastAsia" w:cs="等线"/>
                <w:sz w:val="18"/>
                <w:szCs w:val="18"/>
                <w:lang w:bidi="ar"/>
              </w:rPr>
              <w:t>参考数据分类分级表</w:t>
            </w:r>
          </w:p>
        </w:tc>
        <w:tc>
          <w:tcPr>
            <w:tcW w:w="1437" w:type="dxa"/>
            <w:tcBorders>
              <w:top w:val="single" w:color="000000" w:sz="4" w:space="0"/>
              <w:left w:val="single" w:color="000000" w:sz="4" w:space="0"/>
              <w:bottom w:val="single" w:color="000000" w:sz="4" w:space="0"/>
              <w:right w:val="single" w:color="000000" w:sz="4" w:space="0"/>
            </w:tcBorders>
            <w:vAlign w:val="center"/>
          </w:tcPr>
          <w:p w14:paraId="6AC975FD">
            <w:pPr>
              <w:spacing w:before="120" w:after="120"/>
              <w:rPr>
                <w:rFonts w:cs="等线"/>
                <w:b/>
                <w:sz w:val="18"/>
                <w:szCs w:val="18"/>
                <w:lang w:bidi="ar"/>
              </w:rPr>
            </w:pPr>
            <w:r>
              <w:rPr>
                <w:rFonts w:hint="eastAsia" w:cs="等线"/>
                <w:sz w:val="18"/>
                <w:szCs w:val="18"/>
                <w:lang w:bidi="ar"/>
              </w:rPr>
              <w:t>选择收集、存储、使用、加工、传输、提供、公开、销毁，可多选</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4DC06C63">
            <w:pPr>
              <w:spacing w:before="120" w:after="120"/>
              <w:rPr>
                <w:rFonts w:cs="等线"/>
                <w:b/>
                <w:sz w:val="18"/>
                <w:szCs w:val="18"/>
                <w:lang w:bidi="ar"/>
              </w:rPr>
            </w:pPr>
            <w:r>
              <w:rPr>
                <w:rFonts w:hint="eastAsia" w:cs="等线"/>
                <w:sz w:val="18"/>
                <w:szCs w:val="18"/>
                <w:lang w:bidi="ar"/>
              </w:rPr>
              <w:t>根据合作实际情况填写</w:t>
            </w: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6A0AE702">
            <w:pPr>
              <w:spacing w:before="120" w:after="120"/>
              <w:rPr>
                <w:rFonts w:cs="等线"/>
                <w:b/>
                <w:sz w:val="18"/>
                <w:szCs w:val="18"/>
                <w:lang w:bidi="ar"/>
              </w:rPr>
            </w:pPr>
            <w:r>
              <w:rPr>
                <w:rFonts w:hint="eastAsia" w:cs="等线"/>
                <w:sz w:val="18"/>
                <w:szCs w:val="18"/>
                <w:lang w:bidi="ar"/>
              </w:rPr>
              <w:t>根据合作实际情况填写</w:t>
            </w:r>
          </w:p>
        </w:tc>
      </w:tr>
      <w:tr w14:paraId="306C4BF0">
        <w:tblPrEx>
          <w:tblCellMar>
            <w:top w:w="0" w:type="dxa"/>
            <w:left w:w="108" w:type="dxa"/>
            <w:bottom w:w="0" w:type="dxa"/>
            <w:right w:w="108" w:type="dxa"/>
          </w:tblCellMar>
        </w:tblPrEx>
        <w:trPr>
          <w:trHeight w:val="122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0B964E9E">
            <w:pPr>
              <w:spacing w:before="120" w:after="120"/>
              <w:rPr>
                <w:rFonts w:cs="等线"/>
                <w:b/>
                <w:sz w:val="18"/>
                <w:szCs w:val="18"/>
                <w:lang w:bidi="ar"/>
              </w:rPr>
            </w:pPr>
            <w:r>
              <w:rPr>
                <w:rFonts w:hint="eastAsia" w:cs="等线"/>
                <w:sz w:val="18"/>
                <w:szCs w:val="18"/>
                <w:lang w:bidi="ar"/>
              </w:rPr>
              <w:t>举例</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2052B9A6">
            <w:pPr>
              <w:spacing w:before="120" w:after="120"/>
              <w:rPr>
                <w:rFonts w:cs="等线"/>
                <w:b/>
                <w:sz w:val="18"/>
                <w:szCs w:val="18"/>
                <w:lang w:bidi="ar"/>
              </w:rPr>
            </w:pPr>
            <w:r>
              <w:rPr>
                <w:rFonts w:hint="eastAsia" w:cs="等线"/>
                <w:sz w:val="18"/>
                <w:szCs w:val="18"/>
                <w:lang w:bidi="ar"/>
              </w:rPr>
              <w:t>用户上网日志</w:t>
            </w: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20A8DC44">
            <w:pPr>
              <w:spacing w:before="120" w:after="120"/>
              <w:rPr>
                <w:rFonts w:cs="等线"/>
                <w:b/>
                <w:sz w:val="18"/>
                <w:szCs w:val="18"/>
                <w:lang w:bidi="ar"/>
              </w:rPr>
            </w:pPr>
            <w:r>
              <w:rPr>
                <w:rFonts w:hint="eastAsia" w:cs="等线"/>
                <w:sz w:val="18"/>
                <w:szCs w:val="18"/>
                <w:lang w:bidi="ar"/>
              </w:rPr>
              <w:t>1GB</w:t>
            </w: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0916D0B5">
            <w:pPr>
              <w:spacing w:before="120" w:after="120"/>
              <w:rPr>
                <w:rFonts w:cs="等线"/>
                <w:b/>
                <w:sz w:val="18"/>
                <w:szCs w:val="18"/>
                <w:lang w:bidi="ar"/>
              </w:rPr>
            </w:pPr>
            <w:r>
              <w:rPr>
                <w:rFonts w:hint="eastAsia" w:cs="等线"/>
                <w:sz w:val="18"/>
                <w:szCs w:val="18"/>
                <w:lang w:bidi="ar"/>
              </w:rPr>
              <w:t>一般数据-3级</w:t>
            </w: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4B51657A">
            <w:pPr>
              <w:spacing w:before="120" w:after="120"/>
              <w:rPr>
                <w:rFonts w:cs="等线"/>
                <w:b/>
                <w:sz w:val="18"/>
                <w:szCs w:val="18"/>
                <w:lang w:bidi="ar"/>
              </w:rPr>
            </w:pPr>
            <w:r>
              <w:rPr>
                <w:rFonts w:hint="eastAsia" w:cs="等线"/>
                <w:sz w:val="18"/>
                <w:szCs w:val="18"/>
                <w:lang w:bidi="ar"/>
              </w:rPr>
              <w:t>C1-2：服务记录和日志</w:t>
            </w: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0CAEDC3B">
            <w:pPr>
              <w:spacing w:before="120" w:after="120"/>
              <w:rPr>
                <w:rFonts w:cs="等线"/>
                <w:b/>
                <w:sz w:val="18"/>
                <w:szCs w:val="18"/>
                <w:lang w:bidi="ar"/>
              </w:rPr>
            </w:pPr>
            <w:r>
              <w:rPr>
                <w:rFonts w:hint="eastAsia" w:cs="等线"/>
                <w:sz w:val="18"/>
                <w:szCs w:val="18"/>
                <w:lang w:bidi="ar"/>
              </w:rPr>
              <w:t>收集、存储、传输、提供</w:t>
            </w: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2B436DEB">
            <w:pPr>
              <w:spacing w:before="120" w:after="120"/>
              <w:rPr>
                <w:rFonts w:cs="等线"/>
                <w:b/>
                <w:sz w:val="18"/>
                <w:szCs w:val="18"/>
                <w:lang w:bidi="ar"/>
              </w:rPr>
            </w:pPr>
            <w:r>
              <w:rPr>
                <w:rFonts w:hint="eastAsia" w:cs="等线"/>
                <w:sz w:val="18"/>
                <w:szCs w:val="18"/>
                <w:lang w:bidi="ar"/>
              </w:rPr>
              <w:t>XX系统的运维支撑</w:t>
            </w:r>
          </w:p>
        </w:tc>
        <w:tc>
          <w:tcPr>
            <w:tcW w:w="1491" w:type="dxa"/>
            <w:tcBorders>
              <w:top w:val="single" w:color="000000" w:sz="4" w:space="0"/>
              <w:left w:val="single" w:color="000000" w:sz="4" w:space="0"/>
              <w:bottom w:val="single" w:color="000000" w:sz="4" w:space="0"/>
              <w:right w:val="single" w:color="000000" w:sz="4" w:space="0"/>
            </w:tcBorders>
            <w:vAlign w:val="center"/>
          </w:tcPr>
          <w:p w14:paraId="54DCA9D6">
            <w:pPr>
              <w:spacing w:before="120" w:after="120"/>
              <w:rPr>
                <w:rFonts w:cs="等线"/>
                <w:b/>
                <w:sz w:val="18"/>
                <w:szCs w:val="18"/>
                <w:lang w:bidi="ar"/>
              </w:rPr>
            </w:pPr>
            <w:r>
              <w:rPr>
                <w:rFonts w:hint="eastAsia" w:cs="等线"/>
                <w:sz w:val="18"/>
                <w:szCs w:val="18"/>
                <w:lang w:bidi="ar"/>
              </w:rPr>
              <w:t>XX系统的用户上网日志数据</w:t>
            </w:r>
          </w:p>
        </w:tc>
      </w:tr>
      <w:tr w14:paraId="02ADDF2F">
        <w:tblPrEx>
          <w:tblCellMar>
            <w:top w:w="0" w:type="dxa"/>
            <w:left w:w="108" w:type="dxa"/>
            <w:bottom w:w="0" w:type="dxa"/>
            <w:right w:w="108" w:type="dxa"/>
          </w:tblCellMar>
        </w:tblPrEx>
        <w:trPr>
          <w:trHeight w:val="440"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45A9FDD2">
            <w:pPr>
              <w:spacing w:before="120" w:after="120" w:line="360" w:lineRule="auto"/>
              <w:rPr>
                <w:rFonts w:cs="等线"/>
                <w:b/>
                <w:sz w:val="18"/>
                <w:szCs w:val="18"/>
                <w:lang w:bidi="ar"/>
              </w:rPr>
            </w:pPr>
            <w:r>
              <w:rPr>
                <w:rFonts w:hint="eastAsia" w:cs="等线"/>
                <w:sz w:val="18"/>
                <w:szCs w:val="18"/>
                <w:lang w:bidi="ar"/>
              </w:rPr>
              <w:t>1</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257B2DA5">
            <w:pPr>
              <w:spacing w:before="120" w:after="120" w:line="360" w:lineRule="auto"/>
              <w:rPr>
                <w:rFonts w:cs="等线"/>
                <w:b/>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0192C9F1">
            <w:pPr>
              <w:spacing w:before="120" w:after="120" w:line="360" w:lineRule="auto"/>
              <w:rPr>
                <w:rFonts w:cs="等线"/>
                <w:b/>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7759E276">
            <w:pPr>
              <w:spacing w:before="120" w:after="120" w:line="360" w:lineRule="auto"/>
              <w:rPr>
                <w:rFonts w:cs="等线"/>
                <w:b/>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4E51C6BF">
            <w:pPr>
              <w:spacing w:before="120" w:after="120" w:line="360" w:lineRule="auto"/>
              <w:rPr>
                <w:rFonts w:cs="等线"/>
                <w:b/>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324278C3">
            <w:pPr>
              <w:spacing w:before="120" w:after="120" w:line="360" w:lineRule="auto"/>
              <w:rPr>
                <w:rFonts w:cs="等线"/>
                <w:b/>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3B1F8F7B">
            <w:pPr>
              <w:spacing w:before="120" w:after="120" w:line="360" w:lineRule="auto"/>
              <w:rPr>
                <w:rFonts w:cs="等线"/>
                <w:b/>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vAlign w:val="center"/>
          </w:tcPr>
          <w:p w14:paraId="44D035D4">
            <w:pPr>
              <w:spacing w:before="120" w:after="120" w:line="360" w:lineRule="auto"/>
              <w:rPr>
                <w:rFonts w:cs="等线"/>
                <w:b/>
                <w:sz w:val="18"/>
                <w:szCs w:val="18"/>
                <w:lang w:bidi="ar"/>
              </w:rPr>
            </w:pPr>
          </w:p>
        </w:tc>
      </w:tr>
      <w:tr w14:paraId="450653A4">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6357C764">
            <w:pPr>
              <w:spacing w:before="120" w:after="120" w:line="360" w:lineRule="auto"/>
              <w:rPr>
                <w:rFonts w:cs="等线"/>
                <w:b/>
                <w:sz w:val="18"/>
                <w:szCs w:val="18"/>
                <w:lang w:bidi="ar"/>
              </w:rPr>
            </w:pPr>
            <w:r>
              <w:rPr>
                <w:rFonts w:hint="eastAsia" w:cs="等线"/>
                <w:sz w:val="18"/>
                <w:szCs w:val="18"/>
                <w:lang w:bidi="ar"/>
              </w:rPr>
              <w:t>2</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398945CF">
            <w:pPr>
              <w:spacing w:before="120" w:after="120" w:line="360" w:lineRule="auto"/>
              <w:rPr>
                <w:rFonts w:cs="等线"/>
                <w:b/>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6247F80E">
            <w:pPr>
              <w:spacing w:before="120" w:after="120" w:line="360" w:lineRule="auto"/>
              <w:rPr>
                <w:rFonts w:cs="等线"/>
                <w:b/>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7E041377">
            <w:pPr>
              <w:spacing w:before="120" w:after="120" w:line="360" w:lineRule="auto"/>
              <w:rPr>
                <w:rFonts w:cs="等线"/>
                <w:b/>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7D6BA906">
            <w:pPr>
              <w:spacing w:before="120" w:after="120" w:line="360" w:lineRule="auto"/>
              <w:rPr>
                <w:rFonts w:cs="等线"/>
                <w:b/>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2640417E">
            <w:pPr>
              <w:spacing w:before="120" w:after="120" w:line="360" w:lineRule="auto"/>
              <w:rPr>
                <w:rFonts w:cs="等线"/>
                <w:b/>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0A1D516C">
            <w:pPr>
              <w:spacing w:before="120" w:after="120" w:line="360" w:lineRule="auto"/>
              <w:rPr>
                <w:rFonts w:cs="等线"/>
                <w:b/>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21C95D20">
            <w:pPr>
              <w:spacing w:before="120" w:after="120" w:line="360" w:lineRule="auto"/>
              <w:rPr>
                <w:rFonts w:cs="等线"/>
                <w:b/>
                <w:sz w:val="18"/>
                <w:szCs w:val="18"/>
                <w:lang w:bidi="ar"/>
              </w:rPr>
            </w:pPr>
          </w:p>
        </w:tc>
      </w:tr>
      <w:tr w14:paraId="25D5FA96">
        <w:tblPrEx>
          <w:tblCellMar>
            <w:top w:w="0" w:type="dxa"/>
            <w:left w:w="108" w:type="dxa"/>
            <w:bottom w:w="0" w:type="dxa"/>
            <w:right w:w="108" w:type="dxa"/>
          </w:tblCellMar>
        </w:tblPrEx>
        <w:trPr>
          <w:trHeight w:val="276" w:hRule="atLeast"/>
        </w:trPr>
        <w:tc>
          <w:tcPr>
            <w:tcW w:w="530" w:type="dxa"/>
            <w:tcBorders>
              <w:top w:val="single" w:color="000000" w:sz="4" w:space="0"/>
              <w:left w:val="single" w:color="000000" w:sz="4" w:space="0"/>
              <w:bottom w:val="single" w:color="000000" w:sz="4" w:space="0"/>
              <w:right w:val="single" w:color="000000" w:sz="4" w:space="0"/>
            </w:tcBorders>
            <w:noWrap/>
            <w:vAlign w:val="center"/>
          </w:tcPr>
          <w:p w14:paraId="1EC38B34">
            <w:pPr>
              <w:spacing w:before="120" w:after="120" w:line="360" w:lineRule="auto"/>
              <w:rPr>
                <w:rFonts w:cs="等线"/>
                <w:b/>
                <w:sz w:val="18"/>
                <w:szCs w:val="18"/>
                <w:lang w:bidi="ar"/>
              </w:rPr>
            </w:pPr>
            <w:r>
              <w:rPr>
                <w:rFonts w:hint="eastAsia" w:cs="等线"/>
                <w:sz w:val="18"/>
                <w:szCs w:val="18"/>
                <w:lang w:bidi="ar"/>
              </w:rPr>
              <w:t>3</w:t>
            </w:r>
          </w:p>
        </w:tc>
        <w:tc>
          <w:tcPr>
            <w:tcW w:w="893" w:type="dxa"/>
            <w:tcBorders>
              <w:top w:val="single" w:color="000000" w:sz="4" w:space="0"/>
              <w:left w:val="single" w:color="000000" w:sz="4" w:space="0"/>
              <w:bottom w:val="single" w:color="000000" w:sz="4" w:space="0"/>
              <w:right w:val="single" w:color="000000" w:sz="4" w:space="0"/>
            </w:tcBorders>
            <w:noWrap/>
            <w:vAlign w:val="center"/>
          </w:tcPr>
          <w:p w14:paraId="4EC00E73">
            <w:pPr>
              <w:spacing w:before="120" w:after="120" w:line="360" w:lineRule="auto"/>
              <w:rPr>
                <w:rFonts w:cs="等线"/>
                <w:b/>
                <w:sz w:val="18"/>
                <w:szCs w:val="18"/>
                <w:lang w:bidi="ar"/>
              </w:rPr>
            </w:pPr>
          </w:p>
        </w:tc>
        <w:tc>
          <w:tcPr>
            <w:tcW w:w="1224" w:type="dxa"/>
            <w:tcBorders>
              <w:top w:val="single" w:color="000000" w:sz="4" w:space="0"/>
              <w:left w:val="single" w:color="000000" w:sz="4" w:space="0"/>
              <w:bottom w:val="single" w:color="000000" w:sz="4" w:space="0"/>
              <w:right w:val="single" w:color="000000" w:sz="4" w:space="0"/>
            </w:tcBorders>
            <w:noWrap/>
            <w:vAlign w:val="center"/>
          </w:tcPr>
          <w:p w14:paraId="38F73356">
            <w:pPr>
              <w:spacing w:before="120" w:after="120" w:line="360" w:lineRule="auto"/>
              <w:rPr>
                <w:rFonts w:cs="等线"/>
                <w:b/>
                <w:sz w:val="18"/>
                <w:szCs w:val="18"/>
                <w:lang w:bidi="ar"/>
              </w:rPr>
            </w:pPr>
          </w:p>
        </w:tc>
        <w:tc>
          <w:tcPr>
            <w:tcW w:w="672" w:type="dxa"/>
            <w:tcBorders>
              <w:top w:val="single" w:color="000000" w:sz="4" w:space="0"/>
              <w:left w:val="single" w:color="000000" w:sz="4" w:space="0"/>
              <w:bottom w:val="single" w:color="000000" w:sz="4" w:space="0"/>
              <w:right w:val="single" w:color="000000" w:sz="4" w:space="0"/>
            </w:tcBorders>
            <w:noWrap/>
            <w:vAlign w:val="center"/>
          </w:tcPr>
          <w:p w14:paraId="7E7930BF">
            <w:pPr>
              <w:spacing w:before="120" w:after="120" w:line="360" w:lineRule="auto"/>
              <w:rPr>
                <w:rFonts w:cs="等线"/>
                <w:b/>
                <w:sz w:val="18"/>
                <w:szCs w:val="18"/>
                <w:lang w:bidi="ar"/>
              </w:rPr>
            </w:pPr>
          </w:p>
        </w:tc>
        <w:tc>
          <w:tcPr>
            <w:tcW w:w="953" w:type="dxa"/>
            <w:tcBorders>
              <w:top w:val="single" w:color="000000" w:sz="4" w:space="0"/>
              <w:left w:val="single" w:color="000000" w:sz="4" w:space="0"/>
              <w:bottom w:val="single" w:color="000000" w:sz="4" w:space="0"/>
              <w:right w:val="single" w:color="000000" w:sz="4" w:space="0"/>
            </w:tcBorders>
            <w:noWrap/>
            <w:vAlign w:val="center"/>
          </w:tcPr>
          <w:p w14:paraId="0A500CAC">
            <w:pPr>
              <w:spacing w:before="120" w:after="120" w:line="360" w:lineRule="auto"/>
              <w:rPr>
                <w:rFonts w:cs="等线"/>
                <w:b/>
                <w:sz w:val="18"/>
                <w:szCs w:val="18"/>
                <w:lang w:bidi="ar"/>
              </w:rPr>
            </w:pPr>
          </w:p>
        </w:tc>
        <w:tc>
          <w:tcPr>
            <w:tcW w:w="1437" w:type="dxa"/>
            <w:tcBorders>
              <w:top w:val="single" w:color="000000" w:sz="4" w:space="0"/>
              <w:left w:val="single" w:color="000000" w:sz="4" w:space="0"/>
              <w:bottom w:val="single" w:color="000000" w:sz="4" w:space="0"/>
              <w:right w:val="single" w:color="000000" w:sz="4" w:space="0"/>
            </w:tcBorders>
            <w:noWrap/>
            <w:vAlign w:val="center"/>
          </w:tcPr>
          <w:p w14:paraId="3C02CA92">
            <w:pPr>
              <w:spacing w:before="120" w:after="120" w:line="360" w:lineRule="auto"/>
              <w:rPr>
                <w:rFonts w:cs="等线"/>
                <w:b/>
                <w:sz w:val="18"/>
                <w:szCs w:val="18"/>
                <w:lang w:bidi="ar"/>
              </w:rPr>
            </w:pPr>
          </w:p>
        </w:tc>
        <w:tc>
          <w:tcPr>
            <w:tcW w:w="1170" w:type="dxa"/>
            <w:tcBorders>
              <w:top w:val="single" w:color="000000" w:sz="4" w:space="0"/>
              <w:left w:val="single" w:color="000000" w:sz="4" w:space="0"/>
              <w:bottom w:val="single" w:color="000000" w:sz="4" w:space="0"/>
              <w:right w:val="single" w:color="000000" w:sz="4" w:space="0"/>
            </w:tcBorders>
            <w:noWrap/>
            <w:vAlign w:val="center"/>
          </w:tcPr>
          <w:p w14:paraId="522223B2">
            <w:pPr>
              <w:spacing w:before="120" w:after="120" w:line="360" w:lineRule="auto"/>
              <w:rPr>
                <w:rFonts w:cs="等线"/>
                <w:b/>
                <w:sz w:val="18"/>
                <w:szCs w:val="18"/>
                <w:lang w:bidi="ar"/>
              </w:rPr>
            </w:pPr>
          </w:p>
        </w:tc>
        <w:tc>
          <w:tcPr>
            <w:tcW w:w="1491" w:type="dxa"/>
            <w:tcBorders>
              <w:top w:val="single" w:color="000000" w:sz="4" w:space="0"/>
              <w:left w:val="single" w:color="000000" w:sz="4" w:space="0"/>
              <w:bottom w:val="single" w:color="000000" w:sz="4" w:space="0"/>
              <w:right w:val="single" w:color="000000" w:sz="4" w:space="0"/>
            </w:tcBorders>
            <w:noWrap/>
            <w:vAlign w:val="center"/>
          </w:tcPr>
          <w:p w14:paraId="02C049A5">
            <w:pPr>
              <w:spacing w:before="120" w:after="120" w:line="360" w:lineRule="auto"/>
              <w:rPr>
                <w:rFonts w:cs="等线"/>
                <w:b/>
                <w:sz w:val="18"/>
                <w:szCs w:val="18"/>
                <w:lang w:bidi="ar"/>
              </w:rPr>
            </w:pPr>
          </w:p>
        </w:tc>
      </w:tr>
    </w:tbl>
    <w:p w14:paraId="1CFB1674">
      <w:pPr>
        <w:spacing w:line="360" w:lineRule="auto"/>
      </w:pPr>
    </w:p>
    <w:p w14:paraId="67990EF8">
      <w:pPr>
        <w:pStyle w:val="102"/>
        <w:rPr>
          <w:rFonts w:ascii="宋体" w:hAnsi="宋体"/>
          <w:sz w:val="24"/>
        </w:rPr>
      </w:pPr>
    </w:p>
    <w:p w14:paraId="75E02E16"/>
    <w:p w14:paraId="3454F4B5">
      <w:pPr>
        <w:pStyle w:val="13"/>
        <w:rPr>
          <w:rFonts w:ascii="宋体" w:hAnsi="宋体"/>
          <w:sz w:val="24"/>
        </w:rPr>
      </w:pPr>
    </w:p>
    <w:p w14:paraId="3A3CA131">
      <w:pPr>
        <w:pStyle w:val="102"/>
        <w:rPr>
          <w:rFonts w:ascii="宋体" w:hAnsi="宋体"/>
          <w:sz w:val="24"/>
        </w:rPr>
      </w:pPr>
    </w:p>
    <w:p w14:paraId="43009BAF"/>
    <w:p w14:paraId="09615BF9">
      <w:pPr>
        <w:pStyle w:val="102"/>
        <w:rPr>
          <w:rFonts w:ascii="宋体" w:hAnsi="宋体"/>
          <w:sz w:val="24"/>
        </w:rPr>
      </w:pPr>
    </w:p>
    <w:p w14:paraId="7712194C">
      <w:pPr>
        <w:spacing w:line="360" w:lineRule="auto"/>
        <w:rPr>
          <w:rFonts w:cs="黑体"/>
          <w:sz w:val="30"/>
          <w:szCs w:val="30"/>
        </w:rPr>
      </w:pPr>
      <w:r>
        <w:rPr>
          <w:rFonts w:hint="eastAsia" w:cs="黑体"/>
          <w:sz w:val="30"/>
          <w:szCs w:val="30"/>
        </w:rPr>
        <w:t>附表附录：数据分级分类表</w:t>
      </w:r>
    </w:p>
    <w:tbl>
      <w:tblPr>
        <w:tblStyle w:val="18"/>
        <w:tblW w:w="8354" w:type="dxa"/>
        <w:tblInd w:w="96" w:type="dxa"/>
        <w:tblLayout w:type="autofit"/>
        <w:tblCellMar>
          <w:top w:w="0" w:type="dxa"/>
          <w:left w:w="108" w:type="dxa"/>
          <w:bottom w:w="0" w:type="dxa"/>
          <w:right w:w="108" w:type="dxa"/>
        </w:tblCellMar>
      </w:tblPr>
      <w:tblGrid>
        <w:gridCol w:w="1095"/>
        <w:gridCol w:w="7259"/>
      </w:tblGrid>
      <w:tr w14:paraId="2FA8D360">
        <w:tblPrEx>
          <w:tblCellMar>
            <w:top w:w="0" w:type="dxa"/>
            <w:left w:w="108" w:type="dxa"/>
            <w:bottom w:w="0" w:type="dxa"/>
            <w:right w:w="108" w:type="dxa"/>
          </w:tblCellMar>
        </w:tblPrEx>
        <w:trPr>
          <w:trHeight w:val="288" w:hRule="atLeast"/>
        </w:trPr>
        <w:tc>
          <w:tcPr>
            <w:tcW w:w="109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C618182">
            <w:pPr>
              <w:spacing w:line="360" w:lineRule="auto"/>
              <w:jc w:val="center"/>
              <w:textAlignment w:val="center"/>
              <w:rPr>
                <w:color w:val="000000"/>
                <w:sz w:val="18"/>
                <w:szCs w:val="18"/>
              </w:rPr>
            </w:pPr>
            <w:r>
              <w:rPr>
                <w:rFonts w:hint="eastAsia"/>
                <w:color w:val="000000"/>
                <w:sz w:val="18"/>
                <w:szCs w:val="18"/>
                <w:lang w:bidi="ar"/>
              </w:rPr>
              <w:t>数据分级</w:t>
            </w:r>
          </w:p>
        </w:tc>
        <w:tc>
          <w:tcPr>
            <w:tcW w:w="725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3B2064F">
            <w:pPr>
              <w:spacing w:line="360" w:lineRule="auto"/>
              <w:jc w:val="center"/>
              <w:textAlignment w:val="center"/>
              <w:rPr>
                <w:color w:val="000000"/>
                <w:sz w:val="18"/>
                <w:szCs w:val="18"/>
              </w:rPr>
            </w:pPr>
            <w:r>
              <w:rPr>
                <w:rFonts w:hint="eastAsia"/>
                <w:color w:val="000000"/>
                <w:sz w:val="18"/>
                <w:szCs w:val="18"/>
                <w:lang w:bidi="ar"/>
              </w:rPr>
              <w:t>数据分类</w:t>
            </w:r>
          </w:p>
        </w:tc>
      </w:tr>
      <w:tr w14:paraId="2AA8B616">
        <w:tblPrEx>
          <w:tblCellMar>
            <w:top w:w="0" w:type="dxa"/>
            <w:left w:w="108" w:type="dxa"/>
            <w:bottom w:w="0" w:type="dxa"/>
            <w:right w:w="108" w:type="dxa"/>
          </w:tblCellMar>
        </w:tblPrEx>
        <w:trPr>
          <w:trHeight w:val="48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7AC1D912">
            <w:pPr>
              <w:spacing w:line="360" w:lineRule="auto"/>
              <w:jc w:val="center"/>
              <w:textAlignment w:val="center"/>
              <w:rPr>
                <w:b/>
                <w:bCs/>
                <w:color w:val="000000"/>
                <w:sz w:val="18"/>
                <w:szCs w:val="18"/>
              </w:rPr>
            </w:pPr>
            <w:r>
              <w:rPr>
                <w:rFonts w:hint="eastAsia"/>
                <w:bCs/>
                <w:color w:val="000000"/>
                <w:sz w:val="18"/>
                <w:szCs w:val="18"/>
                <w:lang w:bidi="ar"/>
              </w:rPr>
              <w:t>核心数据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79B18783">
            <w:pPr>
              <w:textAlignment w:val="center"/>
              <w:rPr>
                <w:b/>
                <w:bCs/>
                <w:color w:val="000000"/>
                <w:sz w:val="18"/>
                <w:szCs w:val="18"/>
              </w:rPr>
            </w:pPr>
            <w:r>
              <w:rPr>
                <w:bCs/>
                <w:color w:val="000000"/>
                <w:sz w:val="18"/>
                <w:szCs w:val="18"/>
                <w:lang w:bidi="ar"/>
              </w:rPr>
              <w:t xml:space="preserve">H1-1 </w:t>
            </w:r>
            <w:r>
              <w:rPr>
                <w:rStyle w:val="98"/>
                <w:rFonts w:hint="default"/>
                <w:bCs/>
                <w:lang w:bidi="ar"/>
              </w:rPr>
              <w:t>网络规划建设、</w:t>
            </w:r>
            <w:r>
              <w:rPr>
                <w:rStyle w:val="99"/>
                <w:rFonts w:ascii="宋体" w:hAnsi="宋体"/>
                <w:bCs/>
                <w:lang w:bidi="ar"/>
              </w:rPr>
              <w:t xml:space="preserve">H1-2 </w:t>
            </w:r>
            <w:r>
              <w:rPr>
                <w:rStyle w:val="98"/>
                <w:rFonts w:hint="default"/>
                <w:bCs/>
                <w:lang w:bidi="ar"/>
              </w:rPr>
              <w:t>网络运行维护、</w:t>
            </w:r>
            <w:r>
              <w:rPr>
                <w:rStyle w:val="99"/>
                <w:rFonts w:ascii="宋体" w:hAnsi="宋体"/>
                <w:bCs/>
                <w:lang w:bidi="ar"/>
              </w:rPr>
              <w:t xml:space="preserve">H2-1 </w:t>
            </w:r>
            <w:r>
              <w:rPr>
                <w:rStyle w:val="98"/>
                <w:rFonts w:hint="default"/>
                <w:bCs/>
                <w:lang w:bidi="ar"/>
              </w:rPr>
              <w:t>网络与数据安全保障、</w:t>
            </w:r>
            <w:r>
              <w:rPr>
                <w:rStyle w:val="99"/>
                <w:rFonts w:ascii="宋体" w:hAnsi="宋体"/>
                <w:bCs/>
                <w:lang w:bidi="ar"/>
              </w:rPr>
              <w:t xml:space="preserve">H2-2 </w:t>
            </w:r>
            <w:r>
              <w:rPr>
                <w:rStyle w:val="98"/>
                <w:rFonts w:hint="default"/>
                <w:bCs/>
                <w:lang w:bidi="ar"/>
              </w:rPr>
              <w:t>应急通信保障、</w:t>
            </w:r>
            <w:r>
              <w:rPr>
                <w:rStyle w:val="99"/>
                <w:rFonts w:ascii="宋体" w:hAnsi="宋体"/>
                <w:bCs/>
                <w:lang w:bidi="ar"/>
              </w:rPr>
              <w:t xml:space="preserve">H3-1 </w:t>
            </w:r>
            <w:r>
              <w:rPr>
                <w:rStyle w:val="98"/>
                <w:rFonts w:hint="default"/>
                <w:bCs/>
                <w:lang w:bidi="ar"/>
              </w:rPr>
              <w:t>行业发展、</w:t>
            </w:r>
            <w:r>
              <w:rPr>
                <w:rStyle w:val="99"/>
                <w:rFonts w:ascii="宋体" w:hAnsi="宋体"/>
                <w:bCs/>
                <w:lang w:bidi="ar"/>
              </w:rPr>
              <w:t xml:space="preserve">H4-1 </w:t>
            </w:r>
            <w:r>
              <w:rPr>
                <w:rStyle w:val="98"/>
                <w:rFonts w:hint="default"/>
                <w:bCs/>
                <w:lang w:bidi="ar"/>
              </w:rPr>
              <w:t>重大科技成果、</w:t>
            </w:r>
            <w:r>
              <w:rPr>
                <w:rStyle w:val="99"/>
                <w:rFonts w:ascii="宋体" w:hAnsi="宋体"/>
                <w:bCs/>
                <w:lang w:bidi="ar"/>
              </w:rPr>
              <w:t xml:space="preserve">H4-2 </w:t>
            </w:r>
            <w:r>
              <w:rPr>
                <w:rStyle w:val="98"/>
                <w:rFonts w:hint="default"/>
                <w:bCs/>
                <w:lang w:bidi="ar"/>
              </w:rPr>
              <w:t>国家科技计划、</w:t>
            </w:r>
            <w:r>
              <w:rPr>
                <w:rStyle w:val="99"/>
                <w:rFonts w:ascii="宋体" w:hAnsi="宋体"/>
                <w:bCs/>
                <w:lang w:bidi="ar"/>
              </w:rPr>
              <w:t xml:space="preserve">H5-1 </w:t>
            </w:r>
            <w:r>
              <w:rPr>
                <w:rStyle w:val="98"/>
                <w:rFonts w:hint="default"/>
                <w:bCs/>
                <w:lang w:bidi="ar"/>
              </w:rPr>
              <w:t>其他</w:t>
            </w:r>
          </w:p>
        </w:tc>
      </w:tr>
      <w:tr w14:paraId="69057699">
        <w:tblPrEx>
          <w:tblCellMar>
            <w:top w:w="0" w:type="dxa"/>
            <w:left w:w="108" w:type="dxa"/>
            <w:bottom w:w="0" w:type="dxa"/>
            <w:right w:w="108" w:type="dxa"/>
          </w:tblCellMar>
        </w:tblPrEx>
        <w:trPr>
          <w:trHeight w:val="720" w:hRule="atLeast"/>
        </w:trPr>
        <w:tc>
          <w:tcPr>
            <w:tcW w:w="1095" w:type="dxa"/>
            <w:tcBorders>
              <w:top w:val="single" w:color="000000" w:sz="4" w:space="0"/>
              <w:left w:val="single" w:color="000000" w:sz="4" w:space="0"/>
              <w:bottom w:val="single" w:color="000000" w:sz="4" w:space="0"/>
              <w:right w:val="single" w:color="000000" w:sz="4" w:space="0"/>
            </w:tcBorders>
            <w:vAlign w:val="center"/>
          </w:tcPr>
          <w:p w14:paraId="255E2975">
            <w:pPr>
              <w:spacing w:line="360" w:lineRule="auto"/>
              <w:jc w:val="center"/>
              <w:textAlignment w:val="center"/>
              <w:rPr>
                <w:b/>
                <w:bCs/>
                <w:color w:val="000000"/>
                <w:sz w:val="18"/>
                <w:szCs w:val="18"/>
              </w:rPr>
            </w:pPr>
            <w:r>
              <w:rPr>
                <w:rFonts w:hint="eastAsia"/>
                <w:bCs/>
                <w:color w:val="000000"/>
                <w:sz w:val="18"/>
                <w:szCs w:val="18"/>
                <w:lang w:bidi="ar"/>
              </w:rPr>
              <w:t>重要数据</w:t>
            </w:r>
          </w:p>
        </w:tc>
        <w:tc>
          <w:tcPr>
            <w:tcW w:w="7259" w:type="dxa"/>
            <w:tcBorders>
              <w:top w:val="single" w:color="000000" w:sz="4" w:space="0"/>
              <w:left w:val="single" w:color="000000" w:sz="4" w:space="0"/>
              <w:bottom w:val="single" w:color="000000" w:sz="4" w:space="0"/>
              <w:right w:val="single" w:color="000000" w:sz="4" w:space="0"/>
            </w:tcBorders>
            <w:vAlign w:val="center"/>
          </w:tcPr>
          <w:p w14:paraId="28694193">
            <w:pPr>
              <w:textAlignment w:val="center"/>
              <w:rPr>
                <w:b/>
                <w:bCs/>
                <w:color w:val="000000"/>
                <w:sz w:val="18"/>
                <w:szCs w:val="18"/>
              </w:rPr>
            </w:pPr>
            <w:r>
              <w:rPr>
                <w:bCs/>
                <w:color w:val="000000"/>
                <w:sz w:val="18"/>
                <w:szCs w:val="18"/>
                <w:lang w:bidi="ar"/>
              </w:rPr>
              <w:t xml:space="preserve">Z1-1 </w:t>
            </w:r>
            <w:r>
              <w:rPr>
                <w:rStyle w:val="98"/>
                <w:rFonts w:hint="default"/>
                <w:bCs/>
                <w:lang w:bidi="ar"/>
              </w:rPr>
              <w:t>网络规划建设、</w:t>
            </w:r>
            <w:r>
              <w:rPr>
                <w:rStyle w:val="99"/>
                <w:rFonts w:ascii="宋体" w:hAnsi="宋体"/>
                <w:bCs/>
                <w:lang w:bidi="ar"/>
              </w:rPr>
              <w:t xml:space="preserve">Z1-2 </w:t>
            </w:r>
            <w:r>
              <w:rPr>
                <w:rStyle w:val="98"/>
                <w:rFonts w:hint="default"/>
                <w:bCs/>
                <w:lang w:bidi="ar"/>
              </w:rPr>
              <w:t>网络运行维护、</w:t>
            </w:r>
            <w:r>
              <w:rPr>
                <w:rStyle w:val="99"/>
                <w:rFonts w:ascii="宋体" w:hAnsi="宋体"/>
                <w:bCs/>
                <w:lang w:bidi="ar"/>
              </w:rPr>
              <w:t xml:space="preserve">Z2-1 </w:t>
            </w:r>
            <w:r>
              <w:rPr>
                <w:rStyle w:val="98"/>
                <w:rFonts w:hint="default"/>
                <w:bCs/>
                <w:lang w:bidi="ar"/>
              </w:rPr>
              <w:t>网络与数据安全保障、</w:t>
            </w:r>
            <w:r>
              <w:rPr>
                <w:rStyle w:val="99"/>
                <w:rFonts w:ascii="宋体" w:hAnsi="宋体"/>
                <w:bCs/>
                <w:lang w:bidi="ar"/>
              </w:rPr>
              <w:t xml:space="preserve">Z2-2 </w:t>
            </w:r>
            <w:r>
              <w:rPr>
                <w:rStyle w:val="98"/>
                <w:rFonts w:hint="default"/>
                <w:bCs/>
                <w:lang w:bidi="ar"/>
              </w:rPr>
              <w:t>物理安全保障、</w:t>
            </w:r>
            <w:r>
              <w:rPr>
                <w:rStyle w:val="99"/>
                <w:rFonts w:ascii="宋体" w:hAnsi="宋体"/>
                <w:bCs/>
                <w:lang w:bidi="ar"/>
              </w:rPr>
              <w:t xml:space="preserve">Z2-3 </w:t>
            </w:r>
            <w:r>
              <w:rPr>
                <w:rStyle w:val="98"/>
                <w:rFonts w:hint="default"/>
                <w:bCs/>
                <w:lang w:bidi="ar"/>
              </w:rPr>
              <w:t>应急通信保障、</w:t>
            </w:r>
            <w:r>
              <w:rPr>
                <w:rStyle w:val="99"/>
                <w:rFonts w:ascii="宋体" w:hAnsi="宋体"/>
                <w:bCs/>
                <w:lang w:bidi="ar"/>
              </w:rPr>
              <w:t xml:space="preserve">Z3-1 </w:t>
            </w:r>
            <w:r>
              <w:rPr>
                <w:rStyle w:val="98"/>
                <w:rFonts w:hint="default"/>
                <w:bCs/>
                <w:lang w:bidi="ar"/>
              </w:rPr>
              <w:t>行业发展、</w:t>
            </w:r>
            <w:r>
              <w:rPr>
                <w:rStyle w:val="99"/>
                <w:rFonts w:ascii="宋体" w:hAnsi="宋体"/>
                <w:bCs/>
                <w:lang w:bidi="ar"/>
              </w:rPr>
              <w:t xml:space="preserve">Z3-2 </w:t>
            </w:r>
            <w:r>
              <w:rPr>
                <w:rStyle w:val="98"/>
                <w:rFonts w:hint="default"/>
                <w:bCs/>
                <w:lang w:bidi="ar"/>
              </w:rPr>
              <w:t>行业发展战略规划与重大决策、</w:t>
            </w:r>
            <w:r>
              <w:rPr>
                <w:rStyle w:val="99"/>
                <w:rFonts w:ascii="宋体" w:hAnsi="宋体"/>
                <w:bCs/>
                <w:lang w:bidi="ar"/>
              </w:rPr>
              <w:t xml:space="preserve">Z4-1 </w:t>
            </w:r>
            <w:r>
              <w:rPr>
                <w:rStyle w:val="98"/>
                <w:rFonts w:hint="default"/>
                <w:bCs/>
                <w:lang w:bidi="ar"/>
              </w:rPr>
              <w:t>出口管制物项、</w:t>
            </w:r>
            <w:r>
              <w:rPr>
                <w:rStyle w:val="99"/>
                <w:rFonts w:ascii="宋体" w:hAnsi="宋体"/>
                <w:bCs/>
                <w:lang w:bidi="ar"/>
              </w:rPr>
              <w:t xml:space="preserve">Z4-2 </w:t>
            </w:r>
            <w:r>
              <w:rPr>
                <w:rStyle w:val="98"/>
                <w:rFonts w:hint="default"/>
                <w:bCs/>
                <w:lang w:bidi="ar"/>
              </w:rPr>
              <w:t>重大科技成果、</w:t>
            </w:r>
            <w:r>
              <w:rPr>
                <w:rStyle w:val="99"/>
                <w:rFonts w:ascii="宋体" w:hAnsi="宋体"/>
                <w:bCs/>
                <w:lang w:bidi="ar"/>
              </w:rPr>
              <w:t xml:space="preserve">Z4-3 </w:t>
            </w:r>
            <w:r>
              <w:rPr>
                <w:rStyle w:val="98"/>
                <w:rFonts w:hint="default"/>
                <w:bCs/>
                <w:lang w:bidi="ar"/>
              </w:rPr>
              <w:t>国家科技计划、</w:t>
            </w:r>
            <w:r>
              <w:rPr>
                <w:rStyle w:val="99"/>
                <w:rFonts w:ascii="宋体" w:hAnsi="宋体"/>
                <w:bCs/>
                <w:lang w:bidi="ar"/>
              </w:rPr>
              <w:t xml:space="preserve">Z5-1 </w:t>
            </w:r>
            <w:r>
              <w:rPr>
                <w:rStyle w:val="98"/>
                <w:rFonts w:hint="default"/>
                <w:bCs/>
                <w:lang w:bidi="ar"/>
              </w:rPr>
              <w:t>一定规模个人信息、</w:t>
            </w:r>
            <w:r>
              <w:rPr>
                <w:rStyle w:val="99"/>
                <w:rFonts w:ascii="宋体" w:hAnsi="宋体"/>
                <w:bCs/>
                <w:lang w:bidi="ar"/>
              </w:rPr>
              <w:t xml:space="preserve">Z5-2 </w:t>
            </w:r>
            <w:r>
              <w:rPr>
                <w:rStyle w:val="98"/>
                <w:rFonts w:hint="default"/>
                <w:bCs/>
                <w:lang w:bidi="ar"/>
              </w:rPr>
              <w:t>其他</w:t>
            </w:r>
          </w:p>
        </w:tc>
      </w:tr>
      <w:tr w14:paraId="529B2E21">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11A3AF64">
            <w:pPr>
              <w:spacing w:line="360" w:lineRule="auto"/>
              <w:jc w:val="center"/>
              <w:textAlignment w:val="center"/>
              <w:rPr>
                <w:b/>
                <w:bCs/>
                <w:color w:val="000000"/>
                <w:sz w:val="18"/>
                <w:szCs w:val="18"/>
              </w:rPr>
            </w:pPr>
            <w:r>
              <w:rPr>
                <w:rFonts w:hint="eastAsia"/>
                <w:bCs/>
                <w:color w:val="000000"/>
                <w:sz w:val="18"/>
                <w:szCs w:val="18"/>
                <w:lang w:bidi="ar"/>
              </w:rPr>
              <w:t>一般数据-</w:t>
            </w:r>
            <w:r>
              <w:rPr>
                <w:rStyle w:val="99"/>
                <w:rFonts w:ascii="宋体" w:hAnsi="宋体"/>
                <w:bCs/>
                <w:lang w:bidi="ar"/>
              </w:rPr>
              <w:t>4</w:t>
            </w:r>
            <w:r>
              <w:rPr>
                <w:rStyle w:val="98"/>
                <w:rFonts w:hint="default"/>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4F8C40B5">
            <w:pPr>
              <w:textAlignment w:val="center"/>
              <w:rPr>
                <w:b/>
                <w:bCs/>
                <w:color w:val="000000"/>
                <w:sz w:val="18"/>
                <w:szCs w:val="18"/>
              </w:rPr>
            </w:pPr>
            <w:r>
              <w:rPr>
                <w:rStyle w:val="99"/>
                <w:rFonts w:ascii="宋体" w:hAnsi="宋体"/>
                <w:bCs/>
                <w:lang w:bidi="ar"/>
              </w:rPr>
              <w:t xml:space="preserve">A1-4 </w:t>
            </w:r>
            <w:r>
              <w:rPr>
                <w:rStyle w:val="98"/>
                <w:rFonts w:hint="default"/>
                <w:bCs/>
                <w:lang w:bidi="ar"/>
              </w:rPr>
              <w:t>实体身份证明、</w:t>
            </w:r>
            <w:r>
              <w:rPr>
                <w:rStyle w:val="99"/>
                <w:rFonts w:ascii="宋体" w:hAnsi="宋体"/>
                <w:bCs/>
                <w:lang w:bidi="ar"/>
              </w:rPr>
              <w:t xml:space="preserve"> A1-5 </w:t>
            </w:r>
            <w:r>
              <w:rPr>
                <w:rStyle w:val="98"/>
                <w:rFonts w:hint="default"/>
                <w:bCs/>
                <w:lang w:bidi="ar"/>
              </w:rPr>
              <w:t>用户私密信息、</w:t>
            </w:r>
            <w:r>
              <w:rPr>
                <w:rStyle w:val="99"/>
                <w:rFonts w:ascii="宋体" w:hAnsi="宋体"/>
                <w:bCs/>
                <w:lang w:bidi="ar"/>
              </w:rPr>
              <w:t xml:space="preserve">A2-1 </w:t>
            </w:r>
            <w:r>
              <w:rPr>
                <w:rStyle w:val="98"/>
                <w:rFonts w:hint="default"/>
                <w:bCs/>
                <w:lang w:bidi="ar"/>
              </w:rPr>
              <w:t>用户密码及关联信息、</w:t>
            </w:r>
            <w:r>
              <w:rPr>
                <w:rStyle w:val="99"/>
                <w:rFonts w:ascii="宋体" w:hAnsi="宋体"/>
                <w:bCs/>
                <w:lang w:bidi="ar"/>
              </w:rPr>
              <w:t xml:space="preserve"> B1-2 </w:t>
            </w:r>
            <w:r>
              <w:rPr>
                <w:rStyle w:val="98"/>
                <w:rFonts w:hint="default"/>
                <w:bCs/>
                <w:lang w:bidi="ar"/>
              </w:rPr>
              <w:t>联系人信息、</w:t>
            </w:r>
          </w:p>
        </w:tc>
      </w:tr>
      <w:tr w14:paraId="57E02C8B">
        <w:tblPrEx>
          <w:tblCellMar>
            <w:top w:w="0" w:type="dxa"/>
            <w:left w:w="108" w:type="dxa"/>
            <w:bottom w:w="0" w:type="dxa"/>
            <w:right w:w="108" w:type="dxa"/>
          </w:tblCellMar>
        </w:tblPrEx>
        <w:trPr>
          <w:trHeight w:val="48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264581AE">
            <w:pPr>
              <w:spacing w:line="360" w:lineRule="auto"/>
              <w:jc w:val="center"/>
              <w:rPr>
                <w:b/>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538CB3F2">
            <w:pPr>
              <w:textAlignment w:val="center"/>
              <w:rPr>
                <w:b/>
                <w:bCs/>
                <w:color w:val="000000"/>
                <w:sz w:val="18"/>
                <w:szCs w:val="18"/>
              </w:rPr>
            </w:pPr>
            <w:r>
              <w:rPr>
                <w:rStyle w:val="99"/>
                <w:rFonts w:ascii="宋体" w:hAnsi="宋体"/>
                <w:bCs/>
                <w:lang w:bidi="ar"/>
              </w:rPr>
              <w:t xml:space="preserve">E1 </w:t>
            </w:r>
            <w:r>
              <w:rPr>
                <w:rStyle w:val="98"/>
                <w:rFonts w:hint="default"/>
                <w:bCs/>
                <w:lang w:bidi="ar"/>
              </w:rPr>
              <w:t>网络规划建设类数据（关键系统，发布前）、</w:t>
            </w:r>
            <w:r>
              <w:rPr>
                <w:rStyle w:val="99"/>
                <w:rFonts w:ascii="宋体" w:hAnsi="宋体"/>
                <w:bCs/>
                <w:lang w:bidi="ar"/>
              </w:rPr>
              <w:t xml:space="preserve"> E2 </w:t>
            </w:r>
            <w:r>
              <w:rPr>
                <w:rStyle w:val="98"/>
                <w:rFonts w:hint="default"/>
                <w:bCs/>
                <w:lang w:bidi="ar"/>
              </w:rPr>
              <w:t>网络与系统资源类数据（关键系统）、</w:t>
            </w:r>
            <w:r>
              <w:rPr>
                <w:rStyle w:val="99"/>
                <w:rFonts w:ascii="宋体" w:hAnsi="宋体"/>
                <w:bCs/>
                <w:lang w:bidi="ar"/>
              </w:rPr>
              <w:t xml:space="preserve"> E3 </w:t>
            </w:r>
            <w:r>
              <w:rPr>
                <w:rStyle w:val="98"/>
                <w:rFonts w:hint="default"/>
                <w:bCs/>
                <w:lang w:bidi="ar"/>
              </w:rPr>
              <w:t>网络与系统运维类数据（关键系统）、</w:t>
            </w:r>
            <w:r>
              <w:rPr>
                <w:rStyle w:val="99"/>
                <w:rFonts w:ascii="宋体" w:hAnsi="宋体"/>
                <w:bCs/>
                <w:lang w:bidi="ar"/>
              </w:rPr>
              <w:t xml:space="preserve"> E4 </w:t>
            </w:r>
            <w:r>
              <w:rPr>
                <w:rStyle w:val="98"/>
                <w:rFonts w:hint="default"/>
                <w:bCs/>
                <w:lang w:bidi="ar"/>
              </w:rPr>
              <w:t>网络安全管理类数据（关键系统）、</w:t>
            </w:r>
          </w:p>
        </w:tc>
      </w:tr>
      <w:tr w14:paraId="58585075">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4E19C456">
            <w:pPr>
              <w:spacing w:line="360" w:lineRule="auto"/>
              <w:jc w:val="center"/>
              <w:textAlignment w:val="center"/>
              <w:rPr>
                <w:b/>
                <w:bCs/>
                <w:color w:val="000000"/>
                <w:sz w:val="18"/>
                <w:szCs w:val="18"/>
              </w:rPr>
            </w:pPr>
            <w:r>
              <w:rPr>
                <w:rFonts w:hint="eastAsia"/>
                <w:bCs/>
                <w:color w:val="000000"/>
                <w:sz w:val="18"/>
                <w:szCs w:val="18"/>
                <w:lang w:bidi="ar"/>
              </w:rPr>
              <w:t>一般数据-</w:t>
            </w:r>
            <w:r>
              <w:rPr>
                <w:rStyle w:val="99"/>
                <w:rFonts w:ascii="宋体" w:hAnsi="宋体"/>
                <w:bCs/>
                <w:lang w:bidi="ar"/>
              </w:rPr>
              <w:t>3</w:t>
            </w:r>
            <w:r>
              <w:rPr>
                <w:rStyle w:val="98"/>
                <w:rFonts w:hint="default"/>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4D8DEA0A">
            <w:pPr>
              <w:textAlignment w:val="center"/>
              <w:rPr>
                <w:b/>
                <w:bCs/>
                <w:color w:val="000000"/>
                <w:sz w:val="18"/>
                <w:szCs w:val="18"/>
              </w:rPr>
            </w:pPr>
            <w:r>
              <w:rPr>
                <w:rStyle w:val="99"/>
                <w:rFonts w:ascii="宋体" w:hAnsi="宋体"/>
                <w:bCs/>
                <w:lang w:bidi="ar"/>
              </w:rPr>
              <w:t xml:space="preserve">A1-1 </w:t>
            </w:r>
            <w:r>
              <w:rPr>
                <w:rStyle w:val="98"/>
                <w:rFonts w:hint="default"/>
                <w:bCs/>
                <w:lang w:bidi="ar"/>
              </w:rPr>
              <w:t>自然人身份标识、</w:t>
            </w:r>
            <w:r>
              <w:rPr>
                <w:rStyle w:val="99"/>
                <w:rFonts w:ascii="宋体" w:hAnsi="宋体"/>
                <w:bCs/>
                <w:lang w:bidi="ar"/>
              </w:rPr>
              <w:t xml:space="preserve">B1-1 </w:t>
            </w:r>
            <w:r>
              <w:rPr>
                <w:rStyle w:val="98"/>
                <w:rFonts w:hint="default"/>
                <w:bCs/>
                <w:lang w:bidi="ar"/>
              </w:rPr>
              <w:t>服务内容数据、</w:t>
            </w:r>
            <w:r>
              <w:rPr>
                <w:rStyle w:val="99"/>
                <w:rFonts w:ascii="宋体" w:hAnsi="宋体"/>
                <w:bCs/>
                <w:lang w:bidi="ar"/>
              </w:rPr>
              <w:t xml:space="preserve">C1-2 </w:t>
            </w:r>
            <w:r>
              <w:rPr>
                <w:rStyle w:val="98"/>
                <w:rFonts w:hint="default"/>
                <w:bCs/>
                <w:lang w:bidi="ar"/>
              </w:rPr>
              <w:t>服务记录和日志、</w:t>
            </w:r>
            <w:r>
              <w:rPr>
                <w:rStyle w:val="99"/>
                <w:rFonts w:ascii="宋体" w:hAnsi="宋体"/>
                <w:bCs/>
                <w:lang w:bidi="ar"/>
              </w:rPr>
              <w:t xml:space="preserve">C1-4 </w:t>
            </w:r>
            <w:r>
              <w:rPr>
                <w:rStyle w:val="98"/>
                <w:rFonts w:hint="default"/>
                <w:bCs/>
                <w:lang w:bidi="ar"/>
              </w:rPr>
              <w:t>位置数据、</w:t>
            </w:r>
            <w:r>
              <w:rPr>
                <w:rStyle w:val="99"/>
                <w:rFonts w:ascii="宋体" w:hAnsi="宋体"/>
                <w:bCs/>
                <w:lang w:bidi="ar"/>
              </w:rPr>
              <w:t xml:space="preserve"> D1-1 </w:t>
            </w:r>
            <w:r>
              <w:rPr>
                <w:rStyle w:val="98"/>
                <w:rFonts w:hint="default"/>
                <w:bCs/>
                <w:lang w:bidi="ar"/>
              </w:rPr>
              <w:t>用户使用习惯和行为分析数据、</w:t>
            </w:r>
            <w:r>
              <w:rPr>
                <w:rStyle w:val="99"/>
                <w:rFonts w:ascii="宋体" w:hAnsi="宋体"/>
                <w:bCs/>
                <w:lang w:bidi="ar"/>
              </w:rPr>
              <w:t xml:space="preserve"> D1-2 </w:t>
            </w:r>
            <w:r>
              <w:rPr>
                <w:rStyle w:val="98"/>
                <w:rFonts w:hint="default"/>
                <w:bCs/>
                <w:lang w:bidi="ar"/>
              </w:rPr>
              <w:t>用户上网行为相关统计分析数据、</w:t>
            </w:r>
          </w:p>
        </w:tc>
      </w:tr>
      <w:tr w14:paraId="43467F28">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4F1375A4">
            <w:pPr>
              <w:spacing w:line="360" w:lineRule="auto"/>
              <w:jc w:val="center"/>
              <w:rPr>
                <w:b/>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3894E5F3">
            <w:pPr>
              <w:textAlignment w:val="center"/>
              <w:rPr>
                <w:b/>
                <w:bCs/>
                <w:color w:val="000000"/>
                <w:sz w:val="18"/>
                <w:szCs w:val="18"/>
              </w:rPr>
            </w:pPr>
            <w:r>
              <w:rPr>
                <w:rStyle w:val="99"/>
                <w:rFonts w:ascii="宋体" w:hAnsi="宋体"/>
                <w:bCs/>
                <w:lang w:bidi="ar"/>
              </w:rPr>
              <w:t xml:space="preserve">E1 </w:t>
            </w:r>
            <w:r>
              <w:rPr>
                <w:rStyle w:val="98"/>
                <w:rFonts w:hint="default"/>
                <w:bCs/>
                <w:lang w:bidi="ar"/>
              </w:rPr>
              <w:t>网络规划建设类数据（等保</w:t>
            </w:r>
            <w:r>
              <w:rPr>
                <w:rStyle w:val="99"/>
                <w:rFonts w:ascii="宋体" w:hAnsi="宋体"/>
                <w:bCs/>
                <w:lang w:bidi="ar"/>
              </w:rPr>
              <w:t>3</w:t>
            </w:r>
            <w:r>
              <w:rPr>
                <w:rStyle w:val="98"/>
                <w:rFonts w:hint="default"/>
                <w:bCs/>
                <w:lang w:bidi="ar"/>
              </w:rPr>
              <w:t>级及以上系统，发布前）、</w:t>
            </w:r>
            <w:r>
              <w:rPr>
                <w:rStyle w:val="99"/>
                <w:rFonts w:ascii="宋体" w:hAnsi="宋体"/>
                <w:bCs/>
                <w:lang w:bidi="ar"/>
              </w:rPr>
              <w:t xml:space="preserve">E2 </w:t>
            </w:r>
            <w:r>
              <w:rPr>
                <w:rStyle w:val="98"/>
                <w:rFonts w:hint="default"/>
                <w:bCs/>
                <w:lang w:bidi="ar"/>
              </w:rPr>
              <w:t>网络与系统资源类数据（等保</w:t>
            </w:r>
            <w:r>
              <w:rPr>
                <w:rStyle w:val="99"/>
                <w:rFonts w:ascii="宋体" w:hAnsi="宋体"/>
                <w:bCs/>
                <w:lang w:bidi="ar"/>
              </w:rPr>
              <w:t>3</w:t>
            </w:r>
            <w:r>
              <w:rPr>
                <w:rStyle w:val="98"/>
                <w:rFonts w:hint="default"/>
                <w:bCs/>
                <w:lang w:bidi="ar"/>
              </w:rPr>
              <w:t>级及以上系统）、</w:t>
            </w:r>
            <w:r>
              <w:rPr>
                <w:rStyle w:val="99"/>
                <w:rFonts w:ascii="宋体" w:hAnsi="宋体"/>
                <w:bCs/>
                <w:lang w:bidi="ar"/>
              </w:rPr>
              <w:t xml:space="preserve"> E3 </w:t>
            </w:r>
            <w:r>
              <w:rPr>
                <w:rStyle w:val="98"/>
                <w:rFonts w:hint="default"/>
                <w:bCs/>
                <w:lang w:bidi="ar"/>
              </w:rPr>
              <w:t>网络与系统运维类数据（等保</w:t>
            </w:r>
            <w:r>
              <w:rPr>
                <w:rStyle w:val="99"/>
                <w:rFonts w:ascii="宋体" w:hAnsi="宋体"/>
                <w:bCs/>
                <w:lang w:bidi="ar"/>
              </w:rPr>
              <w:t>3</w:t>
            </w:r>
            <w:r>
              <w:rPr>
                <w:rStyle w:val="98"/>
                <w:rFonts w:hint="default"/>
                <w:bCs/>
                <w:lang w:bidi="ar"/>
              </w:rPr>
              <w:t>级及以上系统）、</w:t>
            </w:r>
            <w:r>
              <w:rPr>
                <w:rStyle w:val="99"/>
                <w:rFonts w:ascii="宋体" w:hAnsi="宋体"/>
                <w:bCs/>
                <w:lang w:bidi="ar"/>
              </w:rPr>
              <w:t xml:space="preserve"> E4 </w:t>
            </w:r>
            <w:r>
              <w:rPr>
                <w:rStyle w:val="98"/>
                <w:rFonts w:hint="default"/>
                <w:bCs/>
                <w:lang w:bidi="ar"/>
              </w:rPr>
              <w:t>网络安全管理类数据（等保</w:t>
            </w:r>
            <w:r>
              <w:rPr>
                <w:rStyle w:val="99"/>
                <w:rFonts w:ascii="宋体" w:hAnsi="宋体"/>
                <w:bCs/>
                <w:lang w:bidi="ar"/>
              </w:rPr>
              <w:t>3</w:t>
            </w:r>
            <w:r>
              <w:rPr>
                <w:rStyle w:val="98"/>
                <w:rFonts w:hint="default"/>
                <w:bCs/>
                <w:lang w:bidi="ar"/>
              </w:rPr>
              <w:t>级及以上系统）、</w:t>
            </w:r>
            <w:r>
              <w:rPr>
                <w:rStyle w:val="99"/>
                <w:rFonts w:ascii="宋体" w:hAnsi="宋体"/>
                <w:bCs/>
                <w:lang w:bidi="ar"/>
              </w:rPr>
              <w:t xml:space="preserve">G1 </w:t>
            </w:r>
            <w:r>
              <w:rPr>
                <w:rStyle w:val="98"/>
                <w:rFonts w:hint="default"/>
                <w:bCs/>
                <w:lang w:bidi="ar"/>
              </w:rPr>
              <w:t>发展战略与重大决策、</w:t>
            </w:r>
            <w:r>
              <w:rPr>
                <w:rStyle w:val="99"/>
                <w:rFonts w:ascii="宋体" w:hAnsi="宋体"/>
                <w:bCs/>
                <w:lang w:bidi="ar"/>
              </w:rPr>
              <w:t xml:space="preserve">G2 </w:t>
            </w:r>
            <w:r>
              <w:rPr>
                <w:rStyle w:val="98"/>
                <w:rFonts w:hint="default"/>
                <w:bCs/>
                <w:lang w:bidi="ar"/>
              </w:rPr>
              <w:t>业务发展类数据、</w:t>
            </w:r>
            <w:r>
              <w:rPr>
                <w:rStyle w:val="99"/>
                <w:rFonts w:ascii="宋体" w:hAnsi="宋体"/>
                <w:bCs/>
                <w:lang w:bidi="ar"/>
              </w:rPr>
              <w:t xml:space="preserve"> G3 </w:t>
            </w:r>
            <w:r>
              <w:rPr>
                <w:rStyle w:val="98"/>
                <w:rFonts w:hint="default"/>
                <w:bCs/>
                <w:lang w:bidi="ar"/>
              </w:rPr>
              <w:t>技术研发类数据、</w:t>
            </w:r>
            <w:r>
              <w:rPr>
                <w:rStyle w:val="99"/>
                <w:rFonts w:ascii="宋体" w:hAnsi="宋体"/>
                <w:bCs/>
                <w:lang w:bidi="ar"/>
              </w:rPr>
              <w:t xml:space="preserve"> G5 </w:t>
            </w:r>
            <w:r>
              <w:rPr>
                <w:rStyle w:val="98"/>
                <w:rFonts w:hint="default"/>
                <w:bCs/>
                <w:lang w:bidi="ar"/>
              </w:rPr>
              <w:t>生产经营类数据、</w:t>
            </w:r>
            <w:r>
              <w:rPr>
                <w:rStyle w:val="99"/>
                <w:rFonts w:ascii="宋体" w:hAnsi="宋体"/>
                <w:bCs/>
                <w:lang w:bidi="ar"/>
              </w:rPr>
              <w:t xml:space="preserve">G6-1 </w:t>
            </w:r>
            <w:r>
              <w:rPr>
                <w:rStyle w:val="98"/>
                <w:rFonts w:hint="default"/>
                <w:bCs/>
                <w:lang w:bidi="ar"/>
              </w:rPr>
              <w:t>人力资源、</w:t>
            </w:r>
            <w:r>
              <w:rPr>
                <w:rStyle w:val="99"/>
                <w:rFonts w:ascii="宋体" w:hAnsi="宋体"/>
                <w:bCs/>
                <w:lang w:bidi="ar"/>
              </w:rPr>
              <w:t xml:space="preserve">G6-2 </w:t>
            </w:r>
            <w:r>
              <w:rPr>
                <w:rStyle w:val="98"/>
                <w:rFonts w:hint="default"/>
                <w:bCs/>
                <w:lang w:bidi="ar"/>
              </w:rPr>
              <w:t>财务信息（公开前）、</w:t>
            </w:r>
            <w:r>
              <w:rPr>
                <w:rStyle w:val="99"/>
                <w:rFonts w:ascii="宋体" w:hAnsi="宋体"/>
                <w:bCs/>
                <w:lang w:bidi="ar"/>
              </w:rPr>
              <w:t xml:space="preserve">G6-3 </w:t>
            </w:r>
            <w:r>
              <w:rPr>
                <w:rStyle w:val="98"/>
                <w:rFonts w:hint="default"/>
                <w:bCs/>
                <w:lang w:bidi="ar"/>
              </w:rPr>
              <w:t>监督管理信息、</w:t>
            </w:r>
            <w:r>
              <w:rPr>
                <w:rStyle w:val="99"/>
                <w:rFonts w:ascii="宋体" w:hAnsi="宋体"/>
                <w:bCs/>
                <w:lang w:bidi="ar"/>
              </w:rPr>
              <w:t xml:space="preserve"> G6-5-1 </w:t>
            </w:r>
            <w:r>
              <w:rPr>
                <w:rStyle w:val="98"/>
                <w:rFonts w:hint="default"/>
                <w:bCs/>
                <w:lang w:bidi="ar"/>
              </w:rPr>
              <w:t>招投标数据（公开前）</w:t>
            </w:r>
          </w:p>
        </w:tc>
      </w:tr>
      <w:tr w14:paraId="5BB8F05C">
        <w:tblPrEx>
          <w:tblCellMar>
            <w:top w:w="0" w:type="dxa"/>
            <w:left w:w="108" w:type="dxa"/>
            <w:bottom w:w="0" w:type="dxa"/>
            <w:right w:w="108" w:type="dxa"/>
          </w:tblCellMar>
        </w:tblPrEx>
        <w:trPr>
          <w:trHeight w:val="480"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0289003F">
            <w:pPr>
              <w:spacing w:line="360" w:lineRule="auto"/>
              <w:jc w:val="center"/>
              <w:textAlignment w:val="center"/>
              <w:rPr>
                <w:b/>
                <w:bCs/>
                <w:color w:val="000000"/>
                <w:sz w:val="18"/>
                <w:szCs w:val="18"/>
              </w:rPr>
            </w:pPr>
            <w:r>
              <w:rPr>
                <w:rFonts w:hint="eastAsia"/>
                <w:bCs/>
                <w:color w:val="000000"/>
                <w:sz w:val="18"/>
                <w:szCs w:val="18"/>
                <w:lang w:bidi="ar"/>
              </w:rPr>
              <w:t>一般数据-</w:t>
            </w:r>
            <w:r>
              <w:rPr>
                <w:rStyle w:val="99"/>
                <w:rFonts w:ascii="宋体" w:hAnsi="宋体"/>
                <w:bCs/>
                <w:lang w:bidi="ar"/>
              </w:rPr>
              <w:t>2</w:t>
            </w:r>
            <w:r>
              <w:rPr>
                <w:rStyle w:val="98"/>
                <w:rFonts w:hint="default"/>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5CDB14C7">
            <w:pPr>
              <w:textAlignment w:val="center"/>
              <w:rPr>
                <w:b/>
                <w:bCs/>
                <w:color w:val="000000"/>
                <w:sz w:val="18"/>
                <w:szCs w:val="18"/>
              </w:rPr>
            </w:pPr>
            <w:r>
              <w:rPr>
                <w:rStyle w:val="99"/>
                <w:rFonts w:ascii="宋体" w:hAnsi="宋体"/>
                <w:bCs/>
                <w:lang w:bidi="ar"/>
              </w:rPr>
              <w:t xml:space="preserve">A1-2 </w:t>
            </w:r>
            <w:r>
              <w:rPr>
                <w:rStyle w:val="98"/>
                <w:rFonts w:hint="default"/>
                <w:bCs/>
                <w:lang w:bidi="ar"/>
              </w:rPr>
              <w:t>网络身份标识、</w:t>
            </w:r>
            <w:r>
              <w:rPr>
                <w:rStyle w:val="99"/>
                <w:rFonts w:ascii="宋体" w:hAnsi="宋体"/>
                <w:bCs/>
                <w:lang w:bidi="ar"/>
              </w:rPr>
              <w:t xml:space="preserve"> A1-3 </w:t>
            </w:r>
            <w:r>
              <w:rPr>
                <w:rStyle w:val="98"/>
                <w:rFonts w:hint="default"/>
                <w:bCs/>
                <w:lang w:bidi="ar"/>
              </w:rPr>
              <w:t>用户基本信息、</w:t>
            </w:r>
            <w:r>
              <w:rPr>
                <w:rStyle w:val="99"/>
                <w:rFonts w:ascii="宋体" w:hAnsi="宋体"/>
                <w:bCs/>
                <w:lang w:bidi="ar"/>
              </w:rPr>
              <w:t xml:space="preserve">A1-6 </w:t>
            </w:r>
            <w:r>
              <w:rPr>
                <w:rStyle w:val="98"/>
                <w:rFonts w:hint="default"/>
                <w:bCs/>
                <w:lang w:bidi="ar"/>
              </w:rPr>
              <w:t>集团客户信息、</w:t>
            </w:r>
            <w:r>
              <w:rPr>
                <w:rStyle w:val="99"/>
                <w:rFonts w:ascii="宋体" w:hAnsi="宋体"/>
                <w:bCs/>
                <w:lang w:bidi="ar"/>
              </w:rPr>
              <w:t>C1-1</w:t>
            </w:r>
            <w:r>
              <w:rPr>
                <w:rStyle w:val="98"/>
                <w:rFonts w:hint="default"/>
                <w:bCs/>
                <w:lang w:bidi="ar"/>
              </w:rPr>
              <w:t>业务订购关系、</w:t>
            </w:r>
            <w:r>
              <w:rPr>
                <w:rStyle w:val="99"/>
                <w:rFonts w:ascii="宋体" w:hAnsi="宋体"/>
                <w:bCs/>
                <w:lang w:bidi="ar"/>
              </w:rPr>
              <w:t xml:space="preserve">C1-3 </w:t>
            </w:r>
            <w:r>
              <w:rPr>
                <w:rStyle w:val="98"/>
                <w:rFonts w:hint="default"/>
                <w:bCs/>
                <w:lang w:bidi="ar"/>
              </w:rPr>
              <w:t>消费信息和账单、</w:t>
            </w:r>
            <w:r>
              <w:rPr>
                <w:rStyle w:val="99"/>
                <w:rFonts w:ascii="宋体" w:hAnsi="宋体"/>
                <w:bCs/>
                <w:lang w:bidi="ar"/>
              </w:rPr>
              <w:t xml:space="preserve"> C2-1 </w:t>
            </w:r>
            <w:r>
              <w:rPr>
                <w:rStyle w:val="98"/>
                <w:rFonts w:hint="default"/>
                <w:bCs/>
                <w:lang w:bidi="ar"/>
              </w:rPr>
              <w:t>终端设备标识、</w:t>
            </w:r>
            <w:r>
              <w:rPr>
                <w:rStyle w:val="99"/>
                <w:rFonts w:ascii="宋体" w:hAnsi="宋体"/>
                <w:bCs/>
                <w:lang w:bidi="ar"/>
              </w:rPr>
              <w:t xml:space="preserve">C2-2 </w:t>
            </w:r>
            <w:r>
              <w:rPr>
                <w:rStyle w:val="98"/>
                <w:rFonts w:hint="default"/>
                <w:bCs/>
                <w:lang w:bidi="ar"/>
              </w:rPr>
              <w:t>终端设备资料、</w:t>
            </w:r>
          </w:p>
        </w:tc>
      </w:tr>
      <w:tr w14:paraId="68C0694E">
        <w:tblPrEx>
          <w:tblCellMar>
            <w:top w:w="0" w:type="dxa"/>
            <w:left w:w="108" w:type="dxa"/>
            <w:bottom w:w="0" w:type="dxa"/>
            <w:right w:w="108" w:type="dxa"/>
          </w:tblCellMar>
        </w:tblPrEx>
        <w:trPr>
          <w:trHeight w:val="1200"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60E9D0A3">
            <w:pPr>
              <w:spacing w:line="360" w:lineRule="auto"/>
              <w:jc w:val="center"/>
              <w:rPr>
                <w:b/>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04F5E78B">
            <w:pPr>
              <w:textAlignment w:val="center"/>
              <w:rPr>
                <w:b/>
                <w:bCs/>
                <w:color w:val="000000"/>
                <w:sz w:val="18"/>
                <w:szCs w:val="18"/>
              </w:rPr>
            </w:pPr>
            <w:r>
              <w:rPr>
                <w:rStyle w:val="99"/>
                <w:rFonts w:ascii="宋体" w:hAnsi="宋体"/>
                <w:bCs/>
                <w:lang w:bidi="ar"/>
              </w:rPr>
              <w:t xml:space="preserve">E1 </w:t>
            </w:r>
            <w:r>
              <w:rPr>
                <w:rStyle w:val="98"/>
                <w:rFonts w:hint="default"/>
                <w:bCs/>
                <w:lang w:bidi="ar"/>
              </w:rPr>
              <w:t>网络规划建设类数据（关键、等保</w:t>
            </w:r>
            <w:r>
              <w:rPr>
                <w:rStyle w:val="99"/>
                <w:rFonts w:ascii="宋体" w:hAnsi="宋体"/>
                <w:bCs/>
                <w:lang w:bidi="ar"/>
              </w:rPr>
              <w:t>3</w:t>
            </w:r>
            <w:r>
              <w:rPr>
                <w:rStyle w:val="98"/>
                <w:rFonts w:hint="default"/>
                <w:bCs/>
                <w:lang w:bidi="ar"/>
              </w:rPr>
              <w:t>级及以上系统发布后、其它系统发布前后）、</w:t>
            </w:r>
            <w:r>
              <w:rPr>
                <w:rStyle w:val="99"/>
                <w:rFonts w:ascii="宋体" w:hAnsi="宋体"/>
                <w:bCs/>
                <w:lang w:bidi="ar"/>
              </w:rPr>
              <w:t xml:space="preserve">E2 </w:t>
            </w:r>
            <w:r>
              <w:rPr>
                <w:rStyle w:val="98"/>
                <w:rFonts w:hint="default"/>
                <w:bCs/>
                <w:lang w:bidi="ar"/>
              </w:rPr>
              <w:t>网络与系统资源类数据（等保</w:t>
            </w:r>
            <w:r>
              <w:rPr>
                <w:rStyle w:val="99"/>
                <w:rFonts w:ascii="宋体" w:hAnsi="宋体"/>
                <w:bCs/>
                <w:lang w:bidi="ar"/>
              </w:rPr>
              <w:t>3</w:t>
            </w:r>
            <w:r>
              <w:rPr>
                <w:rStyle w:val="98"/>
                <w:rFonts w:hint="default"/>
                <w:bCs/>
                <w:lang w:bidi="ar"/>
              </w:rPr>
              <w:t>级以下系统）、</w:t>
            </w:r>
            <w:r>
              <w:rPr>
                <w:rStyle w:val="99"/>
                <w:rFonts w:ascii="宋体" w:hAnsi="宋体"/>
                <w:bCs/>
                <w:lang w:bidi="ar"/>
              </w:rPr>
              <w:t xml:space="preserve"> E3 </w:t>
            </w:r>
            <w:r>
              <w:rPr>
                <w:rStyle w:val="98"/>
                <w:rFonts w:hint="default"/>
                <w:bCs/>
                <w:lang w:bidi="ar"/>
              </w:rPr>
              <w:t>网络与系统运维类数据（等保</w:t>
            </w:r>
            <w:r>
              <w:rPr>
                <w:rStyle w:val="99"/>
                <w:rFonts w:ascii="宋体" w:hAnsi="宋体"/>
                <w:bCs/>
                <w:lang w:bidi="ar"/>
              </w:rPr>
              <w:t>3</w:t>
            </w:r>
            <w:r>
              <w:rPr>
                <w:rStyle w:val="98"/>
                <w:rFonts w:hint="default"/>
                <w:bCs/>
                <w:lang w:bidi="ar"/>
              </w:rPr>
              <w:t>级以下系统）、</w:t>
            </w:r>
            <w:r>
              <w:rPr>
                <w:rStyle w:val="99"/>
                <w:rFonts w:ascii="宋体" w:hAnsi="宋体"/>
                <w:bCs/>
                <w:lang w:bidi="ar"/>
              </w:rPr>
              <w:t xml:space="preserve"> E4 </w:t>
            </w:r>
            <w:r>
              <w:rPr>
                <w:rStyle w:val="98"/>
                <w:rFonts w:hint="default"/>
                <w:bCs/>
                <w:lang w:bidi="ar"/>
              </w:rPr>
              <w:t>网络安全管理类数据（等保</w:t>
            </w:r>
            <w:r>
              <w:rPr>
                <w:rStyle w:val="99"/>
                <w:rFonts w:ascii="宋体" w:hAnsi="宋体"/>
                <w:bCs/>
                <w:lang w:bidi="ar"/>
              </w:rPr>
              <w:t>3</w:t>
            </w:r>
            <w:r>
              <w:rPr>
                <w:rStyle w:val="98"/>
                <w:rFonts w:hint="default"/>
                <w:bCs/>
                <w:lang w:bidi="ar"/>
              </w:rPr>
              <w:t>级以下系统）、</w:t>
            </w:r>
            <w:r>
              <w:rPr>
                <w:rStyle w:val="99"/>
                <w:rFonts w:ascii="宋体" w:hAnsi="宋体"/>
                <w:bCs/>
                <w:lang w:bidi="ar"/>
              </w:rPr>
              <w:t xml:space="preserve"> F1-2 </w:t>
            </w:r>
            <w:r>
              <w:rPr>
                <w:rStyle w:val="98"/>
                <w:rFonts w:hint="default"/>
                <w:bCs/>
                <w:lang w:bidi="ar"/>
              </w:rPr>
              <w:t>渠道信息、</w:t>
            </w:r>
            <w:r>
              <w:rPr>
                <w:rStyle w:val="99"/>
                <w:rFonts w:ascii="宋体" w:hAnsi="宋体"/>
                <w:bCs/>
                <w:lang w:bidi="ar"/>
              </w:rPr>
              <w:t xml:space="preserve"> F1-3 </w:t>
            </w:r>
            <w:r>
              <w:rPr>
                <w:rStyle w:val="98"/>
                <w:rFonts w:hint="default"/>
                <w:bCs/>
                <w:lang w:bidi="ar"/>
              </w:rPr>
              <w:t>客户服务信息、</w:t>
            </w:r>
            <w:r>
              <w:rPr>
                <w:rStyle w:val="99"/>
                <w:rFonts w:ascii="宋体" w:hAnsi="宋体"/>
                <w:bCs/>
                <w:lang w:bidi="ar"/>
              </w:rPr>
              <w:t xml:space="preserve"> F1-4 </w:t>
            </w:r>
            <w:r>
              <w:rPr>
                <w:rStyle w:val="98"/>
                <w:rFonts w:hint="default"/>
                <w:bCs/>
                <w:lang w:bidi="ar"/>
              </w:rPr>
              <w:t>营销信息、</w:t>
            </w:r>
            <w:r>
              <w:rPr>
                <w:rStyle w:val="99"/>
                <w:rFonts w:ascii="宋体" w:hAnsi="宋体"/>
                <w:bCs/>
                <w:lang w:bidi="ar"/>
              </w:rPr>
              <w:t xml:space="preserve">G4 </w:t>
            </w:r>
            <w:r>
              <w:rPr>
                <w:rStyle w:val="98"/>
                <w:rFonts w:hint="default"/>
                <w:bCs/>
                <w:lang w:bidi="ar"/>
              </w:rPr>
              <w:t>运行管理类数据、</w:t>
            </w:r>
            <w:r>
              <w:rPr>
                <w:rStyle w:val="99"/>
                <w:rFonts w:ascii="宋体" w:hAnsi="宋体"/>
                <w:bCs/>
                <w:lang w:bidi="ar"/>
              </w:rPr>
              <w:t xml:space="preserve">G6-4 </w:t>
            </w:r>
            <w:r>
              <w:rPr>
                <w:rStyle w:val="98"/>
                <w:rFonts w:hint="default"/>
                <w:bCs/>
                <w:lang w:bidi="ar"/>
              </w:rPr>
              <w:t>办公自动化、</w:t>
            </w:r>
            <w:r>
              <w:rPr>
                <w:rStyle w:val="99"/>
                <w:rFonts w:ascii="宋体" w:hAnsi="宋体"/>
                <w:bCs/>
                <w:lang w:bidi="ar"/>
              </w:rPr>
              <w:t xml:space="preserve">G6-5-1 </w:t>
            </w:r>
            <w:r>
              <w:rPr>
                <w:rStyle w:val="98"/>
                <w:rFonts w:hint="default"/>
                <w:bCs/>
                <w:lang w:bidi="ar"/>
              </w:rPr>
              <w:t>招投标数据（公开后）、</w:t>
            </w:r>
            <w:r>
              <w:rPr>
                <w:rStyle w:val="99"/>
                <w:rFonts w:ascii="宋体" w:hAnsi="宋体"/>
                <w:bCs/>
                <w:lang w:bidi="ar"/>
              </w:rPr>
              <w:t xml:space="preserve"> G6-5-2 </w:t>
            </w:r>
            <w:r>
              <w:rPr>
                <w:rStyle w:val="98"/>
                <w:rFonts w:hint="default"/>
                <w:bCs/>
                <w:lang w:bidi="ar"/>
              </w:rPr>
              <w:t>物资数据、</w:t>
            </w:r>
            <w:r>
              <w:rPr>
                <w:rStyle w:val="99"/>
                <w:rFonts w:ascii="宋体" w:hAnsi="宋体"/>
                <w:bCs/>
                <w:lang w:bidi="ar"/>
              </w:rPr>
              <w:t xml:space="preserve">G6-5-3 </w:t>
            </w:r>
            <w:r>
              <w:rPr>
                <w:rStyle w:val="98"/>
                <w:rFonts w:hint="default"/>
                <w:bCs/>
                <w:lang w:bidi="ar"/>
              </w:rPr>
              <w:t>业务合作类数据、</w:t>
            </w:r>
            <w:r>
              <w:rPr>
                <w:rStyle w:val="99"/>
                <w:rFonts w:ascii="宋体" w:hAnsi="宋体"/>
                <w:bCs/>
                <w:lang w:bidi="ar"/>
              </w:rPr>
              <w:t xml:space="preserve">H1 </w:t>
            </w:r>
            <w:r>
              <w:rPr>
                <w:rStyle w:val="98"/>
                <w:rFonts w:hint="default"/>
                <w:bCs/>
                <w:lang w:bidi="ar"/>
              </w:rPr>
              <w:t>合作方提供数据</w:t>
            </w:r>
          </w:p>
        </w:tc>
      </w:tr>
      <w:tr w14:paraId="01889850">
        <w:tblPrEx>
          <w:tblCellMar>
            <w:top w:w="0" w:type="dxa"/>
            <w:left w:w="108" w:type="dxa"/>
            <w:bottom w:w="0" w:type="dxa"/>
            <w:right w:w="108" w:type="dxa"/>
          </w:tblCellMar>
        </w:tblPrEx>
        <w:trPr>
          <w:trHeight w:val="288" w:hRule="atLeast"/>
        </w:trPr>
        <w:tc>
          <w:tcPr>
            <w:tcW w:w="1095" w:type="dxa"/>
            <w:vMerge w:val="restart"/>
            <w:tcBorders>
              <w:top w:val="single" w:color="000000" w:sz="4" w:space="0"/>
              <w:left w:val="single" w:color="000000" w:sz="4" w:space="0"/>
              <w:bottom w:val="single" w:color="000000" w:sz="4" w:space="0"/>
              <w:right w:val="single" w:color="000000" w:sz="4" w:space="0"/>
            </w:tcBorders>
            <w:vAlign w:val="center"/>
          </w:tcPr>
          <w:p w14:paraId="3894BCD0">
            <w:pPr>
              <w:spacing w:line="360" w:lineRule="auto"/>
              <w:jc w:val="center"/>
              <w:textAlignment w:val="center"/>
              <w:rPr>
                <w:b/>
                <w:bCs/>
                <w:color w:val="000000"/>
                <w:sz w:val="18"/>
                <w:szCs w:val="18"/>
              </w:rPr>
            </w:pPr>
            <w:r>
              <w:rPr>
                <w:rFonts w:hint="eastAsia"/>
                <w:bCs/>
                <w:color w:val="000000"/>
                <w:sz w:val="18"/>
                <w:szCs w:val="18"/>
                <w:lang w:bidi="ar"/>
              </w:rPr>
              <w:t>一般数据-</w:t>
            </w:r>
            <w:r>
              <w:rPr>
                <w:rStyle w:val="99"/>
                <w:rFonts w:ascii="宋体" w:hAnsi="宋体"/>
                <w:bCs/>
                <w:lang w:bidi="ar"/>
              </w:rPr>
              <w:t>1</w:t>
            </w:r>
            <w:r>
              <w:rPr>
                <w:rStyle w:val="98"/>
                <w:rFonts w:hint="default"/>
                <w:bCs/>
                <w:lang w:bidi="ar"/>
              </w:rPr>
              <w:t>级</w:t>
            </w:r>
          </w:p>
        </w:tc>
        <w:tc>
          <w:tcPr>
            <w:tcW w:w="7259" w:type="dxa"/>
            <w:tcBorders>
              <w:top w:val="single" w:color="000000" w:sz="4" w:space="0"/>
              <w:left w:val="single" w:color="000000" w:sz="4" w:space="0"/>
              <w:bottom w:val="single" w:color="000000" w:sz="4" w:space="0"/>
              <w:right w:val="single" w:color="000000" w:sz="4" w:space="0"/>
            </w:tcBorders>
            <w:vAlign w:val="center"/>
          </w:tcPr>
          <w:p w14:paraId="3D1C4B7C">
            <w:pPr>
              <w:textAlignment w:val="center"/>
              <w:rPr>
                <w:b/>
                <w:bCs/>
                <w:color w:val="000000"/>
                <w:sz w:val="18"/>
                <w:szCs w:val="18"/>
              </w:rPr>
            </w:pPr>
            <w:r>
              <w:rPr>
                <w:rStyle w:val="99"/>
                <w:rFonts w:ascii="宋体" w:hAnsi="宋体"/>
                <w:bCs/>
                <w:lang w:bidi="ar"/>
              </w:rPr>
              <w:t xml:space="preserve">C1-5 </w:t>
            </w:r>
            <w:r>
              <w:rPr>
                <w:rStyle w:val="98"/>
                <w:rFonts w:hint="default"/>
                <w:bCs/>
                <w:lang w:bidi="ar"/>
              </w:rPr>
              <w:t>违规记录数据</w:t>
            </w:r>
          </w:p>
        </w:tc>
      </w:tr>
      <w:tr w14:paraId="65F0CA19">
        <w:tblPrEx>
          <w:tblCellMar>
            <w:top w:w="0" w:type="dxa"/>
            <w:left w:w="108" w:type="dxa"/>
            <w:bottom w:w="0" w:type="dxa"/>
            <w:right w:w="108" w:type="dxa"/>
          </w:tblCellMar>
        </w:tblPrEx>
        <w:trPr>
          <w:trHeight w:val="288" w:hRule="atLeast"/>
        </w:trPr>
        <w:tc>
          <w:tcPr>
            <w:tcW w:w="1095" w:type="dxa"/>
            <w:vMerge w:val="continue"/>
            <w:tcBorders>
              <w:top w:val="single" w:color="000000" w:sz="4" w:space="0"/>
              <w:left w:val="single" w:color="000000" w:sz="4" w:space="0"/>
              <w:bottom w:val="single" w:color="000000" w:sz="4" w:space="0"/>
              <w:right w:val="single" w:color="000000" w:sz="4" w:space="0"/>
            </w:tcBorders>
            <w:vAlign w:val="center"/>
          </w:tcPr>
          <w:p w14:paraId="7047D461">
            <w:pPr>
              <w:spacing w:line="360" w:lineRule="auto"/>
              <w:jc w:val="center"/>
              <w:rPr>
                <w:b/>
                <w:bCs/>
                <w:color w:val="000000"/>
                <w:sz w:val="18"/>
                <w:szCs w:val="18"/>
              </w:rPr>
            </w:pPr>
          </w:p>
        </w:tc>
        <w:tc>
          <w:tcPr>
            <w:tcW w:w="7259" w:type="dxa"/>
            <w:tcBorders>
              <w:top w:val="single" w:color="000000" w:sz="4" w:space="0"/>
              <w:left w:val="single" w:color="000000" w:sz="4" w:space="0"/>
              <w:bottom w:val="single" w:color="000000" w:sz="4" w:space="0"/>
              <w:right w:val="single" w:color="000000" w:sz="4" w:space="0"/>
            </w:tcBorders>
            <w:vAlign w:val="center"/>
          </w:tcPr>
          <w:p w14:paraId="0EAB8A99">
            <w:pPr>
              <w:textAlignment w:val="center"/>
              <w:rPr>
                <w:b/>
                <w:bCs/>
                <w:color w:val="000000"/>
                <w:sz w:val="18"/>
                <w:szCs w:val="18"/>
              </w:rPr>
            </w:pPr>
            <w:r>
              <w:rPr>
                <w:rStyle w:val="99"/>
                <w:rFonts w:ascii="宋体" w:hAnsi="宋体"/>
                <w:bCs/>
                <w:lang w:bidi="ar"/>
              </w:rPr>
              <w:t xml:space="preserve">F1-1 </w:t>
            </w:r>
            <w:r>
              <w:rPr>
                <w:rStyle w:val="98"/>
                <w:rFonts w:hint="default"/>
                <w:bCs/>
                <w:lang w:bidi="ar"/>
              </w:rPr>
              <w:t>产品信息、</w:t>
            </w:r>
            <w:r>
              <w:rPr>
                <w:rStyle w:val="99"/>
                <w:rFonts w:ascii="宋体" w:hAnsi="宋体"/>
                <w:bCs/>
                <w:lang w:bidi="ar"/>
              </w:rPr>
              <w:t xml:space="preserve">F2 </w:t>
            </w:r>
            <w:r>
              <w:rPr>
                <w:rStyle w:val="98"/>
                <w:rFonts w:hint="default"/>
                <w:bCs/>
                <w:lang w:bidi="ar"/>
              </w:rPr>
              <w:t>公开业务运营服务数据、</w:t>
            </w:r>
            <w:r>
              <w:rPr>
                <w:rStyle w:val="99"/>
                <w:rFonts w:ascii="宋体" w:hAnsi="宋体"/>
                <w:bCs/>
                <w:lang w:bidi="ar"/>
              </w:rPr>
              <w:t xml:space="preserve">G6-2 </w:t>
            </w:r>
            <w:r>
              <w:rPr>
                <w:rStyle w:val="98"/>
                <w:rFonts w:hint="default"/>
                <w:bCs/>
                <w:lang w:bidi="ar"/>
              </w:rPr>
              <w:t>财务信息（公开后）</w:t>
            </w:r>
          </w:p>
        </w:tc>
      </w:tr>
    </w:tbl>
    <w:p w14:paraId="61861BF6">
      <w:pPr>
        <w:rPr>
          <w:b/>
        </w:rPr>
      </w:pPr>
    </w:p>
    <w:p w14:paraId="70EBA85F">
      <w:pPr>
        <w:spacing w:line="360" w:lineRule="auto"/>
        <w:rPr>
          <w:b/>
          <w:bCs/>
          <w:color w:val="000000"/>
        </w:rPr>
      </w:pPr>
      <w:r>
        <w:rPr>
          <w:rFonts w:hint="eastAsia"/>
          <w:bCs/>
        </w:rPr>
        <w:t>甲方（盖章）：</w:t>
      </w:r>
      <w:r>
        <w:rPr>
          <w:rFonts w:hint="eastAsia"/>
          <w:bCs/>
          <w:color w:val="000000"/>
        </w:rPr>
        <w:t>江苏天安智联科技股份有限公司</w:t>
      </w:r>
    </w:p>
    <w:p w14:paraId="1BA735F5">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78CDABA0">
      <w:pPr>
        <w:spacing w:line="360" w:lineRule="auto"/>
        <w:ind w:left="-2" w:leftChars="-1" w:firstLine="1"/>
        <w:rPr>
          <w:b/>
          <w:bCs/>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053E1F1A">
      <w:pPr>
        <w:spacing w:line="360" w:lineRule="auto"/>
        <w:ind w:left="-2" w:leftChars="-1" w:firstLine="1"/>
        <w:rPr>
          <w:b/>
          <w:bCs/>
        </w:rPr>
      </w:pPr>
    </w:p>
    <w:p w14:paraId="3B3BD33B">
      <w:pPr>
        <w:spacing w:line="360" w:lineRule="auto"/>
        <w:rPr>
          <w:b/>
          <w:bCs/>
          <w:szCs w:val="18"/>
        </w:rPr>
      </w:pPr>
      <w:r>
        <w:rPr>
          <w:rFonts w:hint="eastAsia"/>
          <w:bCs/>
        </w:rPr>
        <w:t>乙方（盖章）：</w:t>
      </w:r>
      <w:r>
        <w:rPr>
          <w:bCs/>
          <w:szCs w:val="18"/>
        </w:rPr>
        <w:t xml:space="preserve"> </w:t>
      </w:r>
      <w:r>
        <w:rPr>
          <w:rFonts w:hint="eastAsia"/>
          <w:bCs/>
          <w:szCs w:val="18"/>
        </w:rPr>
        <w:t>无锡市车城智联科技有限公司</w:t>
      </w:r>
    </w:p>
    <w:p w14:paraId="01234D6A">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425D79DB">
      <w:pPr>
        <w:spacing w:line="360" w:lineRule="auto"/>
        <w:rPr>
          <w:b/>
          <w:bCs/>
          <w:color w:val="FF0000"/>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17188FB1">
      <w:pPr>
        <w:pStyle w:val="8"/>
        <w:rPr>
          <w:rFonts w:ascii="宋体" w:hAnsi="宋体"/>
          <w:b w:val="0"/>
          <w:sz w:val="24"/>
        </w:rPr>
      </w:pPr>
    </w:p>
    <w:p w14:paraId="244D4308">
      <w:pPr>
        <w:rPr>
          <w:b/>
        </w:rPr>
      </w:pPr>
      <w:r>
        <w:rPr>
          <w:rFonts w:hint="eastAsia"/>
        </w:rPr>
        <w:br w:type="page"/>
      </w:r>
    </w:p>
    <w:p w14:paraId="4311598E">
      <w:pPr>
        <w:rPr>
          <w:b/>
        </w:rPr>
      </w:pPr>
      <w:r>
        <w:rPr>
          <w:rFonts w:hint="eastAsia"/>
        </w:rPr>
        <w:t>附件3</w:t>
      </w:r>
    </w:p>
    <w:p w14:paraId="0BA579A7">
      <w:pPr>
        <w:spacing w:line="276" w:lineRule="auto"/>
        <w:jc w:val="center"/>
        <w:rPr>
          <w:b/>
          <w:bCs/>
        </w:rPr>
      </w:pPr>
      <w:r>
        <w:rPr>
          <w:rFonts w:hint="eastAsia"/>
          <w:bCs/>
        </w:rPr>
        <w:t>施工安全协议</w:t>
      </w:r>
    </w:p>
    <w:p w14:paraId="66389FB5">
      <w:pPr>
        <w:spacing w:line="276" w:lineRule="auto"/>
        <w:rPr>
          <w:b/>
          <w:bCs/>
        </w:rPr>
      </w:pPr>
      <w:r>
        <w:rPr>
          <w:rFonts w:hint="eastAsia"/>
          <w:bCs/>
        </w:rPr>
        <w:t>甲方：江苏天安智联科技股份有限公司</w:t>
      </w:r>
    </w:p>
    <w:p w14:paraId="2553CAC2">
      <w:pPr>
        <w:spacing w:line="276" w:lineRule="auto"/>
        <w:rPr>
          <w:b/>
          <w:bCs/>
        </w:rPr>
      </w:pPr>
      <w:r>
        <w:rPr>
          <w:rFonts w:hint="eastAsia"/>
          <w:bCs/>
        </w:rPr>
        <w:t>乙方:</w:t>
      </w:r>
      <w:r>
        <w:rPr>
          <w:rFonts w:hint="eastAsia"/>
          <w:bCs/>
          <w:szCs w:val="18"/>
        </w:rPr>
        <w:t xml:space="preserve"> 无锡市车城智联科技有限公司</w:t>
      </w:r>
    </w:p>
    <w:p w14:paraId="1A962C73">
      <w:pPr>
        <w:spacing w:line="276" w:lineRule="auto"/>
        <w:rPr>
          <w:b/>
          <w:bCs/>
        </w:rPr>
      </w:pPr>
    </w:p>
    <w:p w14:paraId="0E34058E">
      <w:pPr>
        <w:spacing w:line="276" w:lineRule="auto"/>
        <w:ind w:firstLine="435"/>
        <w:rPr>
          <w:b/>
          <w:bCs/>
        </w:rPr>
      </w:pPr>
      <w:r>
        <w:rPr>
          <w:rFonts w:hint="eastAsia"/>
          <w:bCs/>
        </w:rPr>
        <w:t>乙方在</w:t>
      </w:r>
      <w:r>
        <w:rPr>
          <w:rFonts w:hint="eastAsia"/>
          <w:bCs/>
          <w:u w:val="single"/>
        </w:rPr>
        <w:t>车路云一体化</w:t>
      </w:r>
      <w:r>
        <w:rPr>
          <w:rFonts w:hint="eastAsia"/>
          <w:bCs/>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7CC5E0E3">
      <w:pPr>
        <w:numPr>
          <w:ilvl w:val="0"/>
          <w:numId w:val="7"/>
        </w:numPr>
        <w:spacing w:line="276" w:lineRule="auto"/>
        <w:rPr>
          <w:b/>
          <w:bCs/>
        </w:rPr>
      </w:pPr>
      <w:r>
        <w:rPr>
          <w:rFonts w:hint="eastAsia"/>
          <w:bCs/>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E516F88">
      <w:pPr>
        <w:numPr>
          <w:ilvl w:val="0"/>
          <w:numId w:val="7"/>
        </w:numPr>
        <w:spacing w:line="276" w:lineRule="auto"/>
        <w:rPr>
          <w:b/>
          <w:bCs/>
        </w:rPr>
      </w:pPr>
      <w:r>
        <w:rPr>
          <w:rFonts w:hint="eastAsia"/>
          <w:bCs/>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2530930B">
      <w:pPr>
        <w:numPr>
          <w:ilvl w:val="0"/>
          <w:numId w:val="7"/>
        </w:numPr>
        <w:spacing w:line="276" w:lineRule="auto"/>
        <w:rPr>
          <w:b/>
          <w:bCs/>
        </w:rPr>
      </w:pPr>
      <w:r>
        <w:rPr>
          <w:rFonts w:hint="eastAsia"/>
          <w:bCs/>
        </w:rPr>
        <w:t>乙方在承接工程项目后，未经甲方书面同意，乙方不得擅自将其承包的全部劳务工程转包给他人，也不得将其承包的全部劳务工程肢解以后以分包的名义分别转包给他人。若违反规定，视为乙方严重违反合同约定，甲方有权单方解除合同，由此所造成的一切损失概由乙方承担。</w:t>
      </w:r>
    </w:p>
    <w:p w14:paraId="5385D048">
      <w:pPr>
        <w:numPr>
          <w:ilvl w:val="0"/>
          <w:numId w:val="7"/>
        </w:numPr>
        <w:spacing w:line="276" w:lineRule="auto"/>
        <w:rPr>
          <w:b/>
          <w:bCs/>
        </w:rPr>
      </w:pPr>
      <w:r>
        <w:rPr>
          <w:rFonts w:hint="eastAsia"/>
          <w:bCs/>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4F943857">
      <w:pPr>
        <w:numPr>
          <w:ilvl w:val="0"/>
          <w:numId w:val="7"/>
        </w:numPr>
        <w:spacing w:line="276" w:lineRule="auto"/>
        <w:rPr>
          <w:b/>
          <w:bCs/>
        </w:rPr>
      </w:pPr>
      <w:r>
        <w:rPr>
          <w:rFonts w:hint="eastAsia"/>
          <w:bCs/>
        </w:rPr>
        <w:t>乙方特种作业人员必须持证上岗，不是特种工种不得从事特种作业或不是同种特种工种操作另一特种作业。如有发现坚决制止并事情况进行处罚，由乙方应承担相应法律责任。</w:t>
      </w:r>
    </w:p>
    <w:p w14:paraId="044247D0">
      <w:pPr>
        <w:numPr>
          <w:ilvl w:val="0"/>
          <w:numId w:val="7"/>
        </w:numPr>
        <w:spacing w:line="276" w:lineRule="auto"/>
        <w:rPr>
          <w:b/>
          <w:bCs/>
        </w:rPr>
      </w:pPr>
      <w:r>
        <w:rPr>
          <w:rFonts w:hint="eastAsia"/>
          <w:bCs/>
        </w:rPr>
        <w:t>甲方有权要求乙方整理、整顿、清洁好现场，保障消防通道畅通、保障现场清洁干净、保证各种气瓶、明火符合国家技术规范、保证电缆线不得绞织在一起，下班后把所有管线收拾干净。</w:t>
      </w:r>
    </w:p>
    <w:p w14:paraId="7DC9A0BE">
      <w:pPr>
        <w:numPr>
          <w:ilvl w:val="0"/>
          <w:numId w:val="7"/>
        </w:numPr>
        <w:spacing w:line="276" w:lineRule="auto"/>
        <w:rPr>
          <w:b/>
          <w:bCs/>
        </w:rPr>
      </w:pPr>
      <w:r>
        <w:rPr>
          <w:rFonts w:hint="eastAsia"/>
          <w:bCs/>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hint="eastAsia"/>
          <w:bCs/>
          <w:u w:val="single"/>
        </w:rPr>
        <w:t>500/次</w:t>
      </w:r>
      <w:r>
        <w:rPr>
          <w:rFonts w:hint="eastAsia"/>
          <w:bCs/>
        </w:rPr>
        <w:t>违约金；如发生事故，一切责任及经济损失均由乙方负责。</w:t>
      </w:r>
    </w:p>
    <w:p w14:paraId="3B28A357">
      <w:pPr>
        <w:numPr>
          <w:ilvl w:val="0"/>
          <w:numId w:val="7"/>
        </w:numPr>
        <w:spacing w:line="276" w:lineRule="auto"/>
        <w:rPr>
          <w:b/>
          <w:bCs/>
        </w:rPr>
      </w:pPr>
      <w:r>
        <w:rPr>
          <w:rFonts w:hint="eastAsia"/>
          <w:bCs/>
        </w:rPr>
        <w:t>乙方施工人员未经甲方工地代表与项目主管的许可，不得擅自进入甲方正常施工区，如无故进入，乙方须承担</w:t>
      </w:r>
      <w:r>
        <w:rPr>
          <w:rFonts w:hint="eastAsia"/>
          <w:bCs/>
          <w:u w:val="single"/>
        </w:rPr>
        <w:t>500/次</w:t>
      </w:r>
      <w:r>
        <w:rPr>
          <w:rFonts w:hint="eastAsia"/>
          <w:bCs/>
        </w:rPr>
        <w:t>违约金，如发生事故，一切责任由乙方负责。</w:t>
      </w:r>
    </w:p>
    <w:p w14:paraId="210F2649">
      <w:pPr>
        <w:numPr>
          <w:ilvl w:val="0"/>
          <w:numId w:val="7"/>
        </w:numPr>
        <w:spacing w:line="276" w:lineRule="auto"/>
        <w:rPr>
          <w:b/>
          <w:bCs/>
        </w:rPr>
      </w:pPr>
      <w:r>
        <w:rPr>
          <w:rFonts w:hint="eastAsia"/>
          <w:bCs/>
        </w:rPr>
        <w:t>发生一下情况应停工整顿，并由此停工造成的违约责任由乙方承担：</w:t>
      </w:r>
    </w:p>
    <w:p w14:paraId="5D3C84A7">
      <w:pPr>
        <w:numPr>
          <w:ilvl w:val="0"/>
          <w:numId w:val="8"/>
        </w:numPr>
        <w:spacing w:line="276" w:lineRule="auto"/>
        <w:rPr>
          <w:b/>
          <w:bCs/>
        </w:rPr>
      </w:pPr>
      <w:r>
        <w:rPr>
          <w:rFonts w:hint="eastAsia"/>
          <w:bCs/>
        </w:rPr>
        <w:t>乙方人员在施工中，故意违章，不听劝阻，严重威胁人身及设备安全的。</w:t>
      </w:r>
    </w:p>
    <w:p w14:paraId="75B9D51A">
      <w:pPr>
        <w:numPr>
          <w:ilvl w:val="0"/>
          <w:numId w:val="8"/>
        </w:numPr>
        <w:spacing w:line="276" w:lineRule="auto"/>
        <w:rPr>
          <w:b/>
          <w:bCs/>
        </w:rPr>
      </w:pPr>
      <w:r>
        <w:rPr>
          <w:rFonts w:hint="eastAsia"/>
          <w:bCs/>
        </w:rPr>
        <w:t>乙方原因的人身伤亡事故。</w:t>
      </w:r>
    </w:p>
    <w:p w14:paraId="75314FDC">
      <w:pPr>
        <w:numPr>
          <w:ilvl w:val="0"/>
          <w:numId w:val="8"/>
        </w:numPr>
        <w:spacing w:line="276" w:lineRule="auto"/>
        <w:rPr>
          <w:b/>
          <w:bCs/>
        </w:rPr>
      </w:pPr>
      <w:r>
        <w:rPr>
          <w:rFonts w:hint="eastAsia"/>
          <w:bCs/>
        </w:rPr>
        <w:t>乙方责任造成火灾事故。</w:t>
      </w:r>
    </w:p>
    <w:p w14:paraId="7FD1B011">
      <w:pPr>
        <w:numPr>
          <w:ilvl w:val="0"/>
          <w:numId w:val="8"/>
        </w:numPr>
        <w:spacing w:line="276" w:lineRule="auto"/>
        <w:rPr>
          <w:b/>
          <w:bCs/>
        </w:rPr>
      </w:pPr>
      <w:r>
        <w:rPr>
          <w:rFonts w:hint="eastAsia"/>
          <w:bCs/>
        </w:rPr>
        <w:t>施工现场脏、乱、差，不能满足安全文明施工要求的。</w:t>
      </w:r>
    </w:p>
    <w:p w14:paraId="2A5C73D7">
      <w:pPr>
        <w:numPr>
          <w:ilvl w:val="0"/>
          <w:numId w:val="8"/>
        </w:numPr>
        <w:spacing w:line="276" w:lineRule="auto"/>
        <w:rPr>
          <w:b/>
          <w:bCs/>
        </w:rPr>
      </w:pPr>
      <w:r>
        <w:rPr>
          <w:rFonts w:hint="eastAsia"/>
          <w:bCs/>
        </w:rPr>
        <w:t>发生打架、聚众、闹事。</w:t>
      </w:r>
    </w:p>
    <w:p w14:paraId="37D4B5BB">
      <w:pPr>
        <w:numPr>
          <w:ilvl w:val="0"/>
          <w:numId w:val="7"/>
        </w:numPr>
        <w:spacing w:line="276" w:lineRule="auto"/>
        <w:rPr>
          <w:b/>
          <w:bCs/>
        </w:rPr>
      </w:pPr>
      <w:r>
        <w:rPr>
          <w:rFonts w:hint="eastAsia"/>
          <w:bCs/>
        </w:rPr>
        <w:t>乙方作为工程项目的承包单位，对施工过程中发生的人身伤害、设备损伤事故应承担以下安全责任：</w:t>
      </w:r>
    </w:p>
    <w:p w14:paraId="764C8A5E">
      <w:pPr>
        <w:numPr>
          <w:ilvl w:val="0"/>
          <w:numId w:val="9"/>
        </w:numPr>
        <w:spacing w:line="276" w:lineRule="auto"/>
        <w:rPr>
          <w:b/>
          <w:bCs/>
        </w:rPr>
      </w:pPr>
      <w:r>
        <w:rPr>
          <w:rFonts w:hint="eastAsia"/>
          <w:bCs/>
        </w:rPr>
        <w:t>在施工期间乙方应自备施工机械、维修机械、维修设备和常用工具及施工材料等，并自行妥善保管，采取必要的防盗措施，如有被盗，损失等责任自负。</w:t>
      </w:r>
    </w:p>
    <w:p w14:paraId="71652444">
      <w:pPr>
        <w:numPr>
          <w:ilvl w:val="0"/>
          <w:numId w:val="9"/>
        </w:numPr>
        <w:spacing w:line="276" w:lineRule="auto"/>
        <w:rPr>
          <w:b/>
          <w:bCs/>
        </w:rPr>
      </w:pPr>
      <w:r>
        <w:rPr>
          <w:rFonts w:hint="eastAsia"/>
          <w:bCs/>
        </w:rPr>
        <w:t>乙方必须设专职安全监督管理人员管理安全生产、监督人的不安全行为、物的不安全状态和环境的不安全因素，完善安全管理中存在的缺陷。</w:t>
      </w:r>
    </w:p>
    <w:p w14:paraId="502D491A">
      <w:pPr>
        <w:numPr>
          <w:ilvl w:val="0"/>
          <w:numId w:val="9"/>
        </w:numPr>
        <w:spacing w:line="276" w:lineRule="auto"/>
        <w:rPr>
          <w:b/>
          <w:bCs/>
        </w:rPr>
      </w:pPr>
      <w:r>
        <w:rPr>
          <w:rFonts w:hint="eastAsia"/>
          <w:bCs/>
        </w:rPr>
        <w:t>乙方提供的承包工程要求的相关资质证明材料应真实、有效、合法。</w:t>
      </w:r>
    </w:p>
    <w:p w14:paraId="745A42C8">
      <w:pPr>
        <w:numPr>
          <w:ilvl w:val="0"/>
          <w:numId w:val="9"/>
        </w:numPr>
        <w:spacing w:line="276" w:lineRule="auto"/>
        <w:rPr>
          <w:b/>
          <w:bCs/>
        </w:rPr>
      </w:pPr>
      <w:r>
        <w:rPr>
          <w:rFonts w:hint="eastAsia"/>
          <w:bCs/>
        </w:rPr>
        <w:t>乙方必须对己方施工人员的不安全行为、物的不安全状态所造成的人员伤亡（包括造成甲方的人员伤亡）负责。</w:t>
      </w:r>
    </w:p>
    <w:p w14:paraId="45C0F8C7">
      <w:pPr>
        <w:numPr>
          <w:ilvl w:val="0"/>
          <w:numId w:val="9"/>
        </w:numPr>
        <w:spacing w:line="276" w:lineRule="auto"/>
        <w:rPr>
          <w:b/>
          <w:bCs/>
        </w:rPr>
      </w:pPr>
      <w:r>
        <w:rPr>
          <w:rFonts w:hint="eastAsia"/>
          <w:bCs/>
        </w:rPr>
        <w:t>乙方在开工前必须组织施工人员进行安全教育，将参加安全教育的人员名单（包括临时增补或调换人员）考试成绩报给甲方。</w:t>
      </w:r>
    </w:p>
    <w:p w14:paraId="1714C961">
      <w:pPr>
        <w:numPr>
          <w:ilvl w:val="0"/>
          <w:numId w:val="9"/>
        </w:numPr>
        <w:spacing w:line="276" w:lineRule="auto"/>
        <w:rPr>
          <w:b/>
          <w:bCs/>
        </w:rPr>
      </w:pPr>
      <w:r>
        <w:rPr>
          <w:rFonts w:hint="eastAsia"/>
          <w:bCs/>
        </w:rPr>
        <w:t>开工前，乙方应组织人员对作业环境、施工区域、工具进行检查，确认符合安全要求，一经开工，表示乙方已确认施工现场、作业环境、工具安全要求处于安全状态。</w:t>
      </w:r>
    </w:p>
    <w:p w14:paraId="137E54F9">
      <w:pPr>
        <w:numPr>
          <w:ilvl w:val="0"/>
          <w:numId w:val="7"/>
        </w:numPr>
        <w:spacing w:line="276" w:lineRule="auto"/>
        <w:rPr>
          <w:b/>
          <w:bCs/>
        </w:rPr>
      </w:pPr>
      <w:r>
        <w:rPr>
          <w:rFonts w:hint="eastAsia"/>
          <w:bCs/>
        </w:rPr>
        <w:t>乙方因施工需要，临时随人、随车携带工具、物件进入施工区域的，必须做好登记、备案。</w:t>
      </w:r>
    </w:p>
    <w:p w14:paraId="708E99EA">
      <w:pPr>
        <w:numPr>
          <w:ilvl w:val="0"/>
          <w:numId w:val="7"/>
        </w:numPr>
        <w:spacing w:line="276" w:lineRule="auto"/>
        <w:rPr>
          <w:b/>
          <w:bCs/>
        </w:rPr>
      </w:pPr>
      <w:r>
        <w:rPr>
          <w:rFonts w:hint="eastAsia"/>
          <w:bCs/>
        </w:rPr>
        <w:t>乙方人员不得擅自挪用甲方的物资和工具。违者一经发现均做偷窃论处，除归还原物外，承担原物价格叁倍的违约金，情节严重的，移交公安机关处理。</w:t>
      </w:r>
    </w:p>
    <w:p w14:paraId="29B38E76">
      <w:pPr>
        <w:numPr>
          <w:ilvl w:val="0"/>
          <w:numId w:val="7"/>
        </w:numPr>
        <w:spacing w:line="276" w:lineRule="auto"/>
        <w:rPr>
          <w:b/>
          <w:bCs/>
        </w:rPr>
      </w:pPr>
      <w:r>
        <w:rPr>
          <w:rFonts w:hint="eastAsia"/>
          <w:bCs/>
        </w:rPr>
        <w:t>爱护施工各方的所有成品、半成品，不得损坏施工各方的设备、材料，对在施工现场发生的乙方人为的损坏行为和盗窃行为，乙方承担一切经济和法律责任。</w:t>
      </w:r>
    </w:p>
    <w:p w14:paraId="686D0048">
      <w:pPr>
        <w:numPr>
          <w:ilvl w:val="0"/>
          <w:numId w:val="7"/>
        </w:numPr>
        <w:spacing w:line="276" w:lineRule="auto"/>
        <w:rPr>
          <w:b/>
          <w:bCs/>
        </w:rPr>
      </w:pPr>
      <w:r>
        <w:rPr>
          <w:rFonts w:hint="eastAsia"/>
          <w:bCs/>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38B0CBEF">
      <w:pPr>
        <w:numPr>
          <w:ilvl w:val="0"/>
          <w:numId w:val="7"/>
        </w:numPr>
        <w:spacing w:line="276" w:lineRule="auto"/>
        <w:rPr>
          <w:b/>
          <w:bCs/>
        </w:rPr>
      </w:pPr>
      <w:r>
        <w:rPr>
          <w:rFonts w:hint="eastAsia"/>
          <w:bCs/>
        </w:rPr>
        <w:t>乙方施工人员必须备齐身份证、暂住证、流动人口生育证明等相关证件，向甲方项目经理提交施工人员明细清单。乙方必须为其员工购买相关社会保险和意外伤害险，必须按时发放员工工资及福利。</w:t>
      </w:r>
    </w:p>
    <w:p w14:paraId="718C5A60">
      <w:pPr>
        <w:numPr>
          <w:ilvl w:val="0"/>
          <w:numId w:val="7"/>
        </w:numPr>
        <w:spacing w:line="276" w:lineRule="auto"/>
        <w:rPr>
          <w:b/>
          <w:bCs/>
        </w:rPr>
      </w:pPr>
      <w:r>
        <w:rPr>
          <w:rFonts w:hint="eastAsia"/>
          <w:bCs/>
        </w:rPr>
        <w:t>乙方在甲方施工过程中，如因自身管理不善，操作不当，造成各方（含甲方及任何第三方）设备损坏和人身伤亡、工伤事故的，均由乙方自负责任，甲方不承担责任，给甲方造成损失的乙方应进行赔偿。</w:t>
      </w:r>
    </w:p>
    <w:p w14:paraId="30740AD0">
      <w:pPr>
        <w:numPr>
          <w:ilvl w:val="0"/>
          <w:numId w:val="7"/>
        </w:numPr>
        <w:spacing w:line="276" w:lineRule="auto"/>
        <w:rPr>
          <w:b/>
          <w:bCs/>
        </w:rPr>
      </w:pPr>
      <w:r>
        <w:rPr>
          <w:rFonts w:hint="eastAsia"/>
          <w:bCs/>
        </w:rPr>
        <w:t>乙方施工人员严禁在施工区域内吸烟，如发现吸烟现象及在施工区域内发现烟头则给予每人每次500元的违约金。如情节严重，引发事故，一切责任及经济损失均由乙方负责。</w:t>
      </w:r>
    </w:p>
    <w:p w14:paraId="6ECFA3A7">
      <w:pPr>
        <w:numPr>
          <w:ilvl w:val="0"/>
          <w:numId w:val="7"/>
        </w:numPr>
        <w:spacing w:line="276" w:lineRule="auto"/>
        <w:rPr>
          <w:b/>
          <w:bCs/>
        </w:rPr>
      </w:pPr>
      <w:r>
        <w:rPr>
          <w:rFonts w:hint="eastAsia"/>
          <w:bCs/>
        </w:rPr>
        <w:t>乙方应严格遵守落实各级政府部门下发的各项疫情防控措施工作文件要求，杜绝漏报、瞒报、谎报、迟报的情况发生。如引发事故，一切责任均由乙方负责。</w:t>
      </w:r>
    </w:p>
    <w:p w14:paraId="2EC6328F">
      <w:pPr>
        <w:numPr>
          <w:ilvl w:val="0"/>
          <w:numId w:val="7"/>
        </w:numPr>
        <w:tabs>
          <w:tab w:val="clear" w:pos="1290"/>
        </w:tabs>
        <w:spacing w:line="276" w:lineRule="auto"/>
        <w:rPr>
          <w:b/>
          <w:bCs/>
        </w:rPr>
      </w:pPr>
      <w:r>
        <w:rPr>
          <w:rFonts w:hint="eastAsia"/>
          <w:bCs/>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048E5937">
      <w:pPr>
        <w:numPr>
          <w:ilvl w:val="0"/>
          <w:numId w:val="7"/>
        </w:numPr>
        <w:spacing w:line="276" w:lineRule="auto"/>
        <w:rPr>
          <w:b/>
          <w:bCs/>
          <w:color w:val="000000"/>
        </w:rPr>
      </w:pPr>
      <w:r>
        <w:rPr>
          <w:rFonts w:hint="eastAsia"/>
          <w:bCs/>
          <w:color w:val="000000"/>
        </w:rPr>
        <w:t>本协议自双方代表签字盖章后生效。</w:t>
      </w:r>
    </w:p>
    <w:p w14:paraId="64014E79">
      <w:pPr>
        <w:numPr>
          <w:ilvl w:val="0"/>
          <w:numId w:val="7"/>
        </w:numPr>
        <w:spacing w:line="276" w:lineRule="auto"/>
        <w:rPr>
          <w:b/>
          <w:bCs/>
        </w:rPr>
      </w:pPr>
      <w:r>
        <w:rPr>
          <w:rFonts w:hint="eastAsia"/>
          <w:bCs/>
        </w:rPr>
        <w:t>本协议一式肆份，甲、乙双方各执贰份。</w:t>
      </w:r>
    </w:p>
    <w:p w14:paraId="212C5A57">
      <w:pPr>
        <w:numPr>
          <w:ilvl w:val="0"/>
          <w:numId w:val="7"/>
        </w:numPr>
        <w:spacing w:line="276" w:lineRule="auto"/>
        <w:rPr>
          <w:b/>
          <w:bCs/>
        </w:rPr>
      </w:pPr>
      <w:r>
        <w:rPr>
          <w:rFonts w:hint="eastAsia"/>
          <w:bCs/>
        </w:rPr>
        <w:t>因履行本协议发生争议的，双方应协商解决。协商不成的，可向甲方所在地人民法院提起诉讼。</w:t>
      </w:r>
    </w:p>
    <w:p w14:paraId="3D92820A">
      <w:pPr>
        <w:tabs>
          <w:tab w:val="left" w:pos="1290"/>
        </w:tabs>
        <w:spacing w:line="276" w:lineRule="auto"/>
        <w:ind w:left="1290"/>
        <w:rPr>
          <w:b/>
          <w:bCs/>
        </w:rPr>
      </w:pPr>
    </w:p>
    <w:p w14:paraId="38938995">
      <w:pPr>
        <w:spacing w:line="276" w:lineRule="auto"/>
        <w:rPr>
          <w:b/>
          <w:bCs/>
        </w:rPr>
      </w:pPr>
    </w:p>
    <w:p w14:paraId="0F11EBB4">
      <w:pPr>
        <w:spacing w:line="360" w:lineRule="auto"/>
        <w:rPr>
          <w:b/>
          <w:bCs/>
          <w:color w:val="000000"/>
        </w:rPr>
      </w:pPr>
      <w:r>
        <w:rPr>
          <w:rFonts w:hint="eastAsia"/>
          <w:bCs/>
        </w:rPr>
        <w:t>甲方（盖章）：</w:t>
      </w:r>
      <w:r>
        <w:rPr>
          <w:rFonts w:hint="eastAsia"/>
          <w:bCs/>
          <w:color w:val="000000"/>
        </w:rPr>
        <w:t>江苏天安智联科技股份有限公司</w:t>
      </w:r>
    </w:p>
    <w:p w14:paraId="3D8C1250">
      <w:pPr>
        <w:spacing w:line="360" w:lineRule="auto"/>
        <w:rPr>
          <w:b/>
          <w:bCs/>
        </w:rPr>
      </w:pPr>
    </w:p>
    <w:p w14:paraId="41A74A33">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49D656C6">
      <w:pPr>
        <w:spacing w:line="360" w:lineRule="auto"/>
        <w:rPr>
          <w:b/>
          <w:bCs/>
          <w:u w:val="single"/>
        </w:rPr>
      </w:pPr>
    </w:p>
    <w:p w14:paraId="3ECBD860">
      <w:pPr>
        <w:spacing w:line="360" w:lineRule="auto"/>
        <w:ind w:left="-2" w:leftChars="-1" w:firstLine="1"/>
        <w:rPr>
          <w:b/>
          <w:bCs/>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2D38AAAD">
      <w:pPr>
        <w:spacing w:line="360" w:lineRule="auto"/>
        <w:rPr>
          <w:b/>
          <w:bCs/>
        </w:rPr>
      </w:pPr>
    </w:p>
    <w:p w14:paraId="71F8737B">
      <w:pPr>
        <w:spacing w:line="360" w:lineRule="auto"/>
        <w:rPr>
          <w:b/>
          <w:bCs/>
          <w:szCs w:val="18"/>
        </w:rPr>
      </w:pPr>
      <w:r>
        <w:rPr>
          <w:rFonts w:hint="eastAsia"/>
          <w:bCs/>
        </w:rPr>
        <w:t>乙方（盖章）：</w:t>
      </w:r>
      <w:r>
        <w:rPr>
          <w:bCs/>
          <w:szCs w:val="18"/>
        </w:rPr>
        <w:t xml:space="preserve"> </w:t>
      </w:r>
      <w:r>
        <w:rPr>
          <w:rFonts w:hint="eastAsia"/>
          <w:bCs/>
          <w:szCs w:val="18"/>
        </w:rPr>
        <w:t>无锡市车城智联科技有限公司</w:t>
      </w:r>
    </w:p>
    <w:p w14:paraId="63731E35">
      <w:pPr>
        <w:spacing w:line="360" w:lineRule="auto"/>
        <w:rPr>
          <w:b/>
          <w:bCs/>
          <w:u w:val="single"/>
        </w:rPr>
      </w:pPr>
    </w:p>
    <w:p w14:paraId="525AC014">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7E879D86">
      <w:pPr>
        <w:spacing w:line="360" w:lineRule="auto"/>
        <w:rPr>
          <w:b/>
          <w:bCs/>
          <w:u w:val="single"/>
        </w:rPr>
      </w:pPr>
    </w:p>
    <w:p w14:paraId="33B30ADA">
      <w:pPr>
        <w:spacing w:line="360" w:lineRule="auto"/>
        <w:rPr>
          <w:b/>
          <w:bCs/>
          <w:color w:val="FF0000"/>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76B419B2">
      <w:pPr>
        <w:spacing w:before="240" w:after="240" w:line="360" w:lineRule="auto"/>
        <w:rPr>
          <w:b/>
        </w:rPr>
      </w:pPr>
      <w:r>
        <w:rPr>
          <w:rFonts w:hint="eastAsia"/>
        </w:rPr>
        <w:br w:type="page"/>
      </w:r>
    </w:p>
    <w:p w14:paraId="764AACF5">
      <w:pPr>
        <w:spacing w:before="240" w:after="240" w:line="360" w:lineRule="auto"/>
        <w:rPr>
          <w:sz w:val="36"/>
          <w:szCs w:val="36"/>
        </w:rPr>
      </w:pPr>
      <w:r>
        <w:rPr>
          <w:rFonts w:hint="eastAsia"/>
        </w:rPr>
        <w:t>附件4</w:t>
      </w:r>
      <w:r>
        <w:rPr>
          <w:rFonts w:hint="eastAsia"/>
          <w:bCs/>
          <w:sz w:val="36"/>
          <w:szCs w:val="36"/>
        </w:rPr>
        <w:t>：</w:t>
      </w:r>
      <w:r>
        <w:rPr>
          <w:rFonts w:hint="eastAsia"/>
          <w:sz w:val="36"/>
          <w:szCs w:val="36"/>
        </w:rPr>
        <w:t xml:space="preserve">    通用网络与信息安全责任条款</w:t>
      </w:r>
    </w:p>
    <w:p w14:paraId="29DA3767">
      <w:pPr>
        <w:spacing w:line="360" w:lineRule="auto"/>
        <w:rPr>
          <w:b/>
          <w:bCs/>
        </w:rPr>
      </w:pPr>
      <w:r>
        <w:rPr>
          <w:rFonts w:hint="eastAsia"/>
          <w:bCs/>
        </w:rPr>
        <w:t>甲方：江苏天安智联科技股份有限公司</w:t>
      </w:r>
    </w:p>
    <w:p w14:paraId="338C42C2">
      <w:pPr>
        <w:spacing w:line="360" w:lineRule="auto"/>
        <w:rPr>
          <w:b/>
          <w:bCs/>
        </w:rPr>
      </w:pPr>
      <w:r>
        <w:rPr>
          <w:rFonts w:hint="eastAsia"/>
          <w:bCs/>
        </w:rPr>
        <w:t>乙方：</w:t>
      </w:r>
      <w:r>
        <w:rPr>
          <w:rFonts w:hint="eastAsia"/>
          <w:bCs/>
          <w:szCs w:val="18"/>
        </w:rPr>
        <w:t>无锡市车城智联科技有限公司</w:t>
      </w:r>
    </w:p>
    <w:p w14:paraId="26E9EC3D">
      <w:pPr>
        <w:spacing w:line="360" w:lineRule="auto"/>
        <w:ind w:firstLine="602" w:firstLineChars="250"/>
        <w:rPr>
          <w:b/>
          <w:bCs/>
        </w:rPr>
      </w:pPr>
    </w:p>
    <w:p w14:paraId="771898E1">
      <w:pPr>
        <w:spacing w:line="360" w:lineRule="auto"/>
        <w:ind w:firstLine="600" w:firstLineChars="250"/>
        <w:rPr>
          <w:b/>
          <w:bCs/>
        </w:rPr>
      </w:pPr>
      <w:r>
        <w:rPr>
          <w:rFonts w:hint="eastAsia"/>
          <w:bCs/>
        </w:rPr>
        <w:t>本条款所包含的安全责任如无特别说明，适用于设备到货、入场施工、项目验收以及系统运行维护整个过程的各个环节，甲、乙方需要严格执行。</w:t>
      </w:r>
    </w:p>
    <w:p w14:paraId="05ADDCD6">
      <w:pPr>
        <w:spacing w:line="360" w:lineRule="auto"/>
        <w:rPr>
          <w:b/>
          <w:bCs/>
        </w:rPr>
      </w:pPr>
      <w:r>
        <w:rPr>
          <w:bCs/>
        </w:rPr>
        <w:t>1、乙方应保证本工程新增设备至少符合</w:t>
      </w:r>
      <w:r>
        <w:rPr>
          <w:rFonts w:hint="eastAsia" w:cs="等线"/>
        </w:rPr>
        <w:t>业主或甲方客户或甲方的</w:t>
      </w:r>
      <w:r>
        <w:rPr>
          <w:bCs/>
        </w:rPr>
        <w:t>设备通用安全功能和配置规范</w:t>
      </w:r>
      <w:r>
        <w:rPr>
          <w:rFonts w:hint="eastAsia"/>
          <w:bCs/>
        </w:rPr>
        <w:t>等</w:t>
      </w:r>
      <w:r>
        <w:rPr>
          <w:bCs/>
        </w:rPr>
        <w:t>规定的以下必选安全配置要求。</w:t>
      </w:r>
    </w:p>
    <w:tbl>
      <w:tblPr>
        <w:tblStyle w:val="18"/>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4"/>
        <w:gridCol w:w="5955"/>
      </w:tblGrid>
      <w:tr w14:paraId="1CA64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shd w:val="clear" w:color="auto" w:fill="E0E0E0"/>
          </w:tcPr>
          <w:p w14:paraId="79FDC333">
            <w:pPr>
              <w:spacing w:line="360" w:lineRule="auto"/>
              <w:rPr>
                <w:b/>
                <w:bCs/>
              </w:rPr>
            </w:pPr>
            <w:r>
              <w:rPr>
                <w:rFonts w:hint="eastAsia"/>
                <w:bCs/>
              </w:rPr>
              <w:t>编号</w:t>
            </w:r>
          </w:p>
        </w:tc>
        <w:tc>
          <w:tcPr>
            <w:tcW w:w="5955" w:type="dxa"/>
            <w:shd w:val="clear" w:color="auto" w:fill="E0E0E0"/>
          </w:tcPr>
          <w:p w14:paraId="173663FB">
            <w:pPr>
              <w:spacing w:line="360" w:lineRule="auto"/>
              <w:rPr>
                <w:b/>
                <w:bCs/>
              </w:rPr>
            </w:pPr>
            <w:r>
              <w:rPr>
                <w:rFonts w:hint="eastAsia"/>
                <w:bCs/>
              </w:rPr>
              <w:t>内容</w:t>
            </w:r>
          </w:p>
        </w:tc>
      </w:tr>
      <w:tr w14:paraId="274C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348A25C">
            <w:pPr>
              <w:spacing w:line="360" w:lineRule="auto"/>
              <w:rPr>
                <w:b/>
                <w:bCs/>
              </w:rPr>
            </w:pPr>
            <w:r>
              <w:rPr>
                <w:rFonts w:hint="eastAsia"/>
                <w:bCs/>
              </w:rPr>
              <w:t>安全要求</w:t>
            </w:r>
            <w:r>
              <w:rPr>
                <w:bCs/>
              </w:rPr>
              <w:t xml:space="preserve">-设备-通用-功能-1 </w:t>
            </w:r>
          </w:p>
        </w:tc>
        <w:tc>
          <w:tcPr>
            <w:tcW w:w="5955" w:type="dxa"/>
          </w:tcPr>
          <w:p w14:paraId="04896DFB">
            <w:pPr>
              <w:spacing w:line="360" w:lineRule="auto"/>
              <w:rPr>
                <w:b/>
                <w:bCs/>
              </w:rPr>
            </w:pPr>
            <w:r>
              <w:rPr>
                <w:rFonts w:hint="eastAsia"/>
                <w:bCs/>
              </w:rPr>
              <w:t>支持按用户分配账号。</w:t>
            </w:r>
          </w:p>
        </w:tc>
      </w:tr>
      <w:tr w14:paraId="6FAD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B22FBC9">
            <w:pPr>
              <w:spacing w:line="360" w:lineRule="auto"/>
              <w:rPr>
                <w:b/>
                <w:bCs/>
              </w:rPr>
            </w:pPr>
            <w:r>
              <w:rPr>
                <w:rFonts w:hint="eastAsia"/>
                <w:bCs/>
              </w:rPr>
              <w:t>安全要求</w:t>
            </w:r>
            <w:r>
              <w:rPr>
                <w:bCs/>
              </w:rPr>
              <w:t>-设备-通用-功能-2</w:t>
            </w:r>
          </w:p>
        </w:tc>
        <w:tc>
          <w:tcPr>
            <w:tcW w:w="5955" w:type="dxa"/>
          </w:tcPr>
          <w:p w14:paraId="18221C8C">
            <w:pPr>
              <w:spacing w:line="360" w:lineRule="auto"/>
              <w:rPr>
                <w:b/>
                <w:bCs/>
              </w:rPr>
            </w:pPr>
            <w:r>
              <w:rPr>
                <w:rFonts w:hint="eastAsia"/>
                <w:bCs/>
              </w:rPr>
              <w:t>与设备运行、维护等工作无关的账号，应能够删除或锁定。</w:t>
            </w:r>
          </w:p>
        </w:tc>
      </w:tr>
      <w:tr w14:paraId="32E1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7DAECF1D">
            <w:pPr>
              <w:spacing w:line="360" w:lineRule="auto"/>
              <w:rPr>
                <w:b/>
                <w:bCs/>
              </w:rPr>
            </w:pPr>
            <w:r>
              <w:rPr>
                <w:rFonts w:hint="eastAsia"/>
                <w:bCs/>
              </w:rPr>
              <w:t>安全要求</w:t>
            </w:r>
            <w:r>
              <w:rPr>
                <w:bCs/>
              </w:rPr>
              <w:t>-设备-通用-功能-4</w:t>
            </w:r>
          </w:p>
        </w:tc>
        <w:tc>
          <w:tcPr>
            <w:tcW w:w="5955" w:type="dxa"/>
          </w:tcPr>
          <w:p w14:paraId="364C9448">
            <w:pPr>
              <w:spacing w:line="360" w:lineRule="auto"/>
              <w:rPr>
                <w:b/>
                <w:bCs/>
              </w:rPr>
            </w:pPr>
            <w:r>
              <w:rPr>
                <w:rFonts w:hint="eastAsia"/>
                <w:bCs/>
              </w:rPr>
              <w:t>对于采用静态口令认证技术的设备，应支持数字、小写字母、大写字母和特殊符号</w:t>
            </w:r>
            <w:r>
              <w:rPr>
                <w:bCs/>
              </w:rPr>
              <w:t>4类字符构成的口令。应支持配置口令复杂度。在配置了复杂度后，设备自动拒绝用户设置不符合复杂度要求的口令。</w:t>
            </w:r>
          </w:p>
        </w:tc>
      </w:tr>
      <w:tr w14:paraId="4617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979D4AE">
            <w:pPr>
              <w:spacing w:line="360" w:lineRule="auto"/>
              <w:rPr>
                <w:b/>
                <w:bCs/>
              </w:rPr>
            </w:pPr>
            <w:r>
              <w:rPr>
                <w:rFonts w:hint="eastAsia"/>
                <w:bCs/>
              </w:rPr>
              <w:t>安全要求</w:t>
            </w:r>
            <w:r>
              <w:rPr>
                <w:bCs/>
              </w:rPr>
              <w:t>-设备-通用-功能-5</w:t>
            </w:r>
          </w:p>
        </w:tc>
        <w:tc>
          <w:tcPr>
            <w:tcW w:w="5955" w:type="dxa"/>
          </w:tcPr>
          <w:p w14:paraId="21E0BF4D">
            <w:pPr>
              <w:spacing w:line="360" w:lineRule="auto"/>
              <w:rPr>
                <w:b/>
                <w:bCs/>
              </w:rPr>
            </w:pPr>
            <w:r>
              <w:rPr>
                <w:rFonts w:hint="eastAsia"/>
                <w:bCs/>
              </w:rPr>
              <w:t>对于采用静态口令认证技术的设备，应支持按天配置口令生存期功能。在配置了口令生存期后，设备在口令超过生存期的用户登录时，应提示并强迫该用户设置新口令。</w:t>
            </w:r>
          </w:p>
        </w:tc>
      </w:tr>
      <w:tr w14:paraId="78E6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1478C1AF">
            <w:pPr>
              <w:spacing w:line="360" w:lineRule="auto"/>
              <w:rPr>
                <w:b/>
                <w:bCs/>
              </w:rPr>
            </w:pPr>
            <w:r>
              <w:rPr>
                <w:rFonts w:hint="eastAsia"/>
                <w:bCs/>
              </w:rPr>
              <w:t>安全要求</w:t>
            </w:r>
            <w:r>
              <w:rPr>
                <w:bCs/>
              </w:rPr>
              <w:t>-设备-通用-功能-21</w:t>
            </w:r>
          </w:p>
        </w:tc>
        <w:tc>
          <w:tcPr>
            <w:tcW w:w="5955" w:type="dxa"/>
          </w:tcPr>
          <w:p w14:paraId="77AB1237">
            <w:pPr>
              <w:spacing w:line="360" w:lineRule="auto"/>
              <w:rPr>
                <w:b/>
                <w:bCs/>
              </w:rPr>
            </w:pPr>
            <w:r>
              <w:rPr>
                <w:rFonts w:hint="eastAsia"/>
                <w:bCs/>
              </w:rPr>
              <w:t>对于采用静态口令认证技术的设备，必须支持口令修改，口令修改后不影响设备中业务的正常使用。</w:t>
            </w:r>
          </w:p>
        </w:tc>
      </w:tr>
      <w:tr w14:paraId="64E7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639203D">
            <w:pPr>
              <w:spacing w:line="360" w:lineRule="auto"/>
              <w:rPr>
                <w:b/>
                <w:bCs/>
              </w:rPr>
            </w:pPr>
            <w:r>
              <w:rPr>
                <w:rFonts w:hint="eastAsia"/>
                <w:bCs/>
              </w:rPr>
              <w:t>安全要求</w:t>
            </w:r>
            <w:r>
              <w:rPr>
                <w:bCs/>
              </w:rPr>
              <w:t>-设备-通用-功能-22</w:t>
            </w:r>
          </w:p>
        </w:tc>
        <w:tc>
          <w:tcPr>
            <w:tcW w:w="5955" w:type="dxa"/>
          </w:tcPr>
          <w:p w14:paraId="18969BE7">
            <w:pPr>
              <w:spacing w:line="360" w:lineRule="auto"/>
              <w:rPr>
                <w:b/>
                <w:bCs/>
              </w:rPr>
            </w:pPr>
            <w:r>
              <w:rPr>
                <w:rFonts w:hint="eastAsia"/>
                <w:bCs/>
              </w:rPr>
              <w:t>对于采用静态口令认证技术的设备，支持静态口令加密存放。</w:t>
            </w:r>
          </w:p>
        </w:tc>
      </w:tr>
      <w:tr w14:paraId="5345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290905F0">
            <w:pPr>
              <w:spacing w:line="360" w:lineRule="auto"/>
              <w:rPr>
                <w:b/>
                <w:bCs/>
              </w:rPr>
            </w:pPr>
            <w:r>
              <w:rPr>
                <w:rFonts w:hint="eastAsia"/>
                <w:bCs/>
              </w:rPr>
              <w:t>安全要求</w:t>
            </w:r>
            <w:r>
              <w:rPr>
                <w:bCs/>
              </w:rPr>
              <w:t>-设备-通用-配置-4</w:t>
            </w:r>
          </w:p>
        </w:tc>
        <w:tc>
          <w:tcPr>
            <w:tcW w:w="5955" w:type="dxa"/>
          </w:tcPr>
          <w:p w14:paraId="5A358BEC">
            <w:pPr>
              <w:spacing w:line="360" w:lineRule="auto"/>
              <w:rPr>
                <w:b/>
                <w:bCs/>
              </w:rPr>
            </w:pPr>
            <w:r>
              <w:rPr>
                <w:rFonts w:hint="eastAsia"/>
                <w:bCs/>
              </w:rPr>
              <w:t>对于采用静态口令认证技术的设备，口令长度至少</w:t>
            </w:r>
            <w:r>
              <w:rPr>
                <w:bCs/>
              </w:rPr>
              <w:t>6位，并包括数字、小写字母、大写字母和特殊符号4类中至少2类。</w:t>
            </w:r>
          </w:p>
        </w:tc>
      </w:tr>
      <w:tr w14:paraId="2356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5A4E9A0">
            <w:pPr>
              <w:spacing w:line="360" w:lineRule="auto"/>
              <w:rPr>
                <w:b/>
                <w:bCs/>
              </w:rPr>
            </w:pPr>
            <w:r>
              <w:rPr>
                <w:rFonts w:hint="eastAsia"/>
                <w:bCs/>
              </w:rPr>
              <w:t>安全要求</w:t>
            </w:r>
            <w:r>
              <w:rPr>
                <w:bCs/>
              </w:rPr>
              <w:t>-设备-通用-配置-5</w:t>
            </w:r>
          </w:p>
        </w:tc>
        <w:tc>
          <w:tcPr>
            <w:tcW w:w="5955" w:type="dxa"/>
          </w:tcPr>
          <w:p w14:paraId="12A371ED">
            <w:pPr>
              <w:spacing w:line="360" w:lineRule="auto"/>
              <w:rPr>
                <w:b/>
                <w:bCs/>
              </w:rPr>
            </w:pPr>
            <w:r>
              <w:rPr>
                <w:rFonts w:hint="eastAsia"/>
                <w:bCs/>
              </w:rPr>
              <w:t>对于采用静态口令认证技术的设备，账户口令的生存期不长于</w:t>
            </w:r>
            <w:r>
              <w:rPr>
                <w:bCs/>
              </w:rPr>
              <w:t>90天。</w:t>
            </w:r>
          </w:p>
        </w:tc>
      </w:tr>
      <w:tr w14:paraId="70C6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3DEB0016">
            <w:pPr>
              <w:spacing w:line="360" w:lineRule="auto"/>
              <w:rPr>
                <w:b/>
                <w:bCs/>
              </w:rPr>
            </w:pPr>
            <w:r>
              <w:rPr>
                <w:rFonts w:hint="eastAsia"/>
                <w:bCs/>
              </w:rPr>
              <w:t>安全要求</w:t>
            </w:r>
            <w:r>
              <w:rPr>
                <w:bCs/>
              </w:rPr>
              <w:t>-设备-通用-功能-9</w:t>
            </w:r>
          </w:p>
        </w:tc>
        <w:tc>
          <w:tcPr>
            <w:tcW w:w="5955" w:type="dxa"/>
          </w:tcPr>
          <w:p w14:paraId="7B6F1D5C">
            <w:pPr>
              <w:spacing w:line="360" w:lineRule="auto"/>
              <w:rPr>
                <w:b/>
                <w:bCs/>
              </w:rPr>
            </w:pPr>
            <w:r>
              <w:rPr>
                <w:rFonts w:hint="eastAsia"/>
                <w:bCs/>
              </w:rPr>
              <w:t>设备应支持对不同用户授予不同权限。</w:t>
            </w:r>
          </w:p>
        </w:tc>
      </w:tr>
      <w:tr w14:paraId="3CB5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4DDC48C">
            <w:pPr>
              <w:spacing w:line="360" w:lineRule="auto"/>
              <w:rPr>
                <w:b/>
                <w:bCs/>
              </w:rPr>
            </w:pPr>
            <w:r>
              <w:rPr>
                <w:rFonts w:hint="eastAsia"/>
                <w:bCs/>
              </w:rPr>
              <w:t>安全要求</w:t>
            </w:r>
            <w:r>
              <w:rPr>
                <w:bCs/>
              </w:rPr>
              <w:t>-设备-通用-配置-9</w:t>
            </w:r>
          </w:p>
        </w:tc>
        <w:tc>
          <w:tcPr>
            <w:tcW w:w="5955" w:type="dxa"/>
          </w:tcPr>
          <w:p w14:paraId="4AC9D9CB">
            <w:pPr>
              <w:spacing w:line="360" w:lineRule="auto"/>
              <w:rPr>
                <w:b/>
                <w:bCs/>
              </w:rPr>
            </w:pPr>
            <w:r>
              <w:rPr>
                <w:rFonts w:hint="eastAsia"/>
                <w:bCs/>
              </w:rPr>
              <w:t>在设备权限配置能力内，根据用户的业务需要，配置其所需的最小权限。</w:t>
            </w:r>
          </w:p>
        </w:tc>
      </w:tr>
      <w:tr w14:paraId="7B56C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B3F98DD">
            <w:pPr>
              <w:spacing w:line="360" w:lineRule="auto"/>
              <w:rPr>
                <w:b/>
                <w:bCs/>
              </w:rPr>
            </w:pPr>
            <w:r>
              <w:rPr>
                <w:rFonts w:hint="eastAsia"/>
                <w:bCs/>
              </w:rPr>
              <w:t>安全要求</w:t>
            </w:r>
            <w:r>
              <w:rPr>
                <w:bCs/>
              </w:rPr>
              <w:t xml:space="preserve">-设备-通用-功能-12 </w:t>
            </w:r>
          </w:p>
        </w:tc>
        <w:tc>
          <w:tcPr>
            <w:tcW w:w="5955" w:type="dxa"/>
          </w:tcPr>
          <w:p w14:paraId="21D8202B">
            <w:pPr>
              <w:spacing w:line="360" w:lineRule="auto"/>
              <w:rPr>
                <w:b/>
                <w:bCs/>
              </w:rPr>
            </w:pPr>
            <w:r>
              <w:rPr>
                <w:rFonts w:hint="eastAsia"/>
                <w:bCs/>
              </w:rPr>
              <w:t>设备日志应支持对用户登录</w:t>
            </w:r>
            <w:r>
              <w:rPr>
                <w:bCs/>
              </w:rPr>
              <w:t>/登出进行记录。记录内容包括用户登录使用的账号，登录是否成功，登录时间，以及远程登录时，用户使用的IP地址。</w:t>
            </w:r>
          </w:p>
        </w:tc>
      </w:tr>
      <w:tr w14:paraId="4D5D4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4B63DB4A">
            <w:pPr>
              <w:spacing w:line="360" w:lineRule="auto"/>
              <w:rPr>
                <w:b/>
                <w:bCs/>
              </w:rPr>
            </w:pPr>
            <w:r>
              <w:rPr>
                <w:rFonts w:hint="eastAsia"/>
                <w:bCs/>
              </w:rPr>
              <w:t>安全要求</w:t>
            </w:r>
            <w:r>
              <w:rPr>
                <w:bCs/>
              </w:rPr>
              <w:t>-设备-通用-配置-12</w:t>
            </w:r>
          </w:p>
        </w:tc>
        <w:tc>
          <w:tcPr>
            <w:tcW w:w="5955" w:type="dxa"/>
          </w:tcPr>
          <w:p w14:paraId="50E07109">
            <w:pPr>
              <w:spacing w:line="360" w:lineRule="auto"/>
              <w:rPr>
                <w:b/>
                <w:bCs/>
              </w:rPr>
            </w:pPr>
            <w:r>
              <w:rPr>
                <w:rFonts w:hint="eastAsia"/>
                <w:bCs/>
              </w:rPr>
              <w:t>设备应配置日志功能，对用户登录进行记录，记录内容包括用户登录使用的账号，登录是否成功，登录时间，以及远程登录时，用户使用的</w:t>
            </w:r>
            <w:r>
              <w:rPr>
                <w:bCs/>
              </w:rPr>
              <w:t>IP地址。</w:t>
            </w:r>
          </w:p>
        </w:tc>
      </w:tr>
      <w:tr w14:paraId="137B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4" w:type="dxa"/>
          </w:tcPr>
          <w:p w14:paraId="0E825790">
            <w:pPr>
              <w:spacing w:line="360" w:lineRule="auto"/>
              <w:rPr>
                <w:b/>
                <w:bCs/>
              </w:rPr>
            </w:pPr>
            <w:r>
              <w:rPr>
                <w:rFonts w:hint="eastAsia"/>
                <w:bCs/>
              </w:rPr>
              <w:t>安全要求</w:t>
            </w:r>
            <w:r>
              <w:rPr>
                <w:bCs/>
              </w:rPr>
              <w:t>-设备-通用-功能-15</w:t>
            </w:r>
          </w:p>
        </w:tc>
        <w:tc>
          <w:tcPr>
            <w:tcW w:w="5955" w:type="dxa"/>
          </w:tcPr>
          <w:p w14:paraId="3965DA79">
            <w:pPr>
              <w:spacing w:line="360" w:lineRule="auto"/>
              <w:rPr>
                <w:b/>
                <w:bCs/>
              </w:rPr>
            </w:pPr>
            <w:r>
              <w:rPr>
                <w:rFonts w:hint="eastAsia"/>
                <w:bCs/>
              </w:rPr>
              <w:t>对于具备</w:t>
            </w:r>
            <w:r>
              <w:rPr>
                <w:bCs/>
              </w:rPr>
              <w:t>TCP/UDP协议功能的设备，应支持列出当前开放端口列表以及设备和其他设备连接情况。</w:t>
            </w:r>
          </w:p>
        </w:tc>
      </w:tr>
    </w:tbl>
    <w:p w14:paraId="7570D59C">
      <w:pPr>
        <w:spacing w:line="360" w:lineRule="auto"/>
        <w:rPr>
          <w:b/>
          <w:bCs/>
        </w:rPr>
      </w:pPr>
      <w:r>
        <w:rPr>
          <w:bCs/>
        </w:rPr>
        <w:t>2、乙方应遵守</w:t>
      </w:r>
      <w:r>
        <w:rPr>
          <w:rFonts w:hint="eastAsia" w:cs="等线"/>
        </w:rPr>
        <w:t>业主或甲方客户或甲方的</w:t>
      </w:r>
      <w:r>
        <w:rPr>
          <w:bCs/>
        </w:rPr>
        <w:t>相关安全管理规定要求，具体规定如下：</w:t>
      </w:r>
    </w:p>
    <w:p w14:paraId="04BFB30B">
      <w:pPr>
        <w:spacing w:line="360" w:lineRule="auto"/>
        <w:rPr>
          <w:b/>
          <w:bCs/>
        </w:rPr>
      </w:pPr>
      <w:r>
        <w:rPr>
          <w:bCs/>
        </w:rPr>
        <w:t>1）根据</w:t>
      </w:r>
      <w:r>
        <w:rPr>
          <w:rFonts w:hint="eastAsia" w:cs="等线"/>
        </w:rPr>
        <w:t>业主或甲方客户或甲方的</w:t>
      </w:r>
      <w:r>
        <w:rPr>
          <w:bCs/>
        </w:rPr>
        <w:t>安全域管理办法</w:t>
      </w:r>
      <w:r>
        <w:rPr>
          <w:rFonts w:hint="eastAsia"/>
          <w:bCs/>
        </w:rPr>
        <w:t>等规定</w:t>
      </w:r>
      <w:r>
        <w:rPr>
          <w:bCs/>
        </w:rPr>
        <w:t>，乙方应服从</w:t>
      </w:r>
      <w:r>
        <w:rPr>
          <w:rFonts w:hint="eastAsia" w:cs="等线"/>
        </w:rPr>
        <w:t>业主或甲方客户或甲方</w:t>
      </w:r>
      <w:r>
        <w:rPr>
          <w:bCs/>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494459BA">
      <w:pPr>
        <w:spacing w:line="360" w:lineRule="auto"/>
        <w:rPr>
          <w:b/>
          <w:bCs/>
        </w:rPr>
      </w:pPr>
      <w:r>
        <w:rPr>
          <w:bCs/>
        </w:rPr>
        <w:t>2）根据</w:t>
      </w:r>
      <w:r>
        <w:rPr>
          <w:rFonts w:hint="eastAsia" w:cs="等线"/>
        </w:rPr>
        <w:t>业主或甲方客户或甲方的</w:t>
      </w:r>
      <w:r>
        <w:rPr>
          <w:bCs/>
        </w:rPr>
        <w:t>帐号口令管理办法</w:t>
      </w:r>
      <w:r>
        <w:rPr>
          <w:rFonts w:hint="eastAsia"/>
          <w:bCs/>
        </w:rPr>
        <w:t>等规定</w:t>
      </w:r>
      <w:r>
        <w:rPr>
          <w:bCs/>
        </w:rPr>
        <w:t>，乙方应服从</w:t>
      </w:r>
      <w:r>
        <w:rPr>
          <w:rFonts w:hint="eastAsia" w:cs="等线"/>
        </w:rPr>
        <w:t>业主或甲方客户或甲方</w:t>
      </w:r>
      <w:r>
        <w:rPr>
          <w:bCs/>
        </w:rPr>
        <w:t>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5E331F44">
      <w:pPr>
        <w:spacing w:line="360" w:lineRule="auto"/>
        <w:rPr>
          <w:b/>
          <w:bCs/>
        </w:rPr>
      </w:pPr>
      <w:r>
        <w:rPr>
          <w:bCs/>
        </w:rPr>
        <w:t>3）根据</w:t>
      </w:r>
      <w:r>
        <w:rPr>
          <w:rFonts w:hint="eastAsia" w:cs="等线"/>
        </w:rPr>
        <w:t>业主或甲方客户或甲方的</w:t>
      </w:r>
      <w:r>
        <w:rPr>
          <w:bCs/>
        </w:rPr>
        <w:t>远程接入安全管理办法</w:t>
      </w:r>
      <w:r>
        <w:rPr>
          <w:rFonts w:hint="eastAsia"/>
          <w:bCs/>
        </w:rPr>
        <w:t>等规定</w:t>
      </w:r>
      <w:r>
        <w:rPr>
          <w:bCs/>
        </w:rPr>
        <w:t>，乙方应按照</w:t>
      </w:r>
      <w:r>
        <w:rPr>
          <w:rFonts w:hint="eastAsia" w:cs="等线"/>
        </w:rPr>
        <w:t>业主或甲方客户或甲方</w:t>
      </w:r>
      <w:r>
        <w:rPr>
          <w:bCs/>
        </w:rPr>
        <w:t>远程接入审批要求，对远程接入提出书面申请，并完成相关设置，确保安全接入；访问结束后，应及时终止接入；不得将相关帐号、口令告诉其它人，或者用于其它目的，否则应承担由此引起的一切后果。</w:t>
      </w:r>
    </w:p>
    <w:p w14:paraId="6A4366B7">
      <w:pPr>
        <w:spacing w:line="360" w:lineRule="auto"/>
        <w:rPr>
          <w:b/>
          <w:bCs/>
        </w:rPr>
      </w:pPr>
      <w:r>
        <w:rPr>
          <w:bCs/>
        </w:rPr>
        <w:t>4）根据</w:t>
      </w:r>
      <w:r>
        <w:rPr>
          <w:rFonts w:hint="eastAsia" w:cs="等线"/>
        </w:rPr>
        <w:t>业主或甲方客户或甲方的</w:t>
      </w:r>
      <w:r>
        <w:rPr>
          <w:bCs/>
        </w:rPr>
        <w:t>网络互联安全管理办法</w:t>
      </w:r>
      <w:r>
        <w:rPr>
          <w:rFonts w:hint="eastAsia"/>
          <w:bCs/>
        </w:rPr>
        <w:t>等规定</w:t>
      </w:r>
      <w:r>
        <w:rPr>
          <w:bCs/>
        </w:rPr>
        <w:t>，乙方应按照网络互联审批要求，向甲方提出网络互联的书面申请，并建立相应的防护手段和管理流程，在互联需求发生变更（包括互联目的或方式的变化）时，应及时向甲方提出互联变更申请。</w:t>
      </w:r>
    </w:p>
    <w:p w14:paraId="36C873B7">
      <w:pPr>
        <w:spacing w:line="360" w:lineRule="auto"/>
        <w:rPr>
          <w:b/>
          <w:bCs/>
        </w:rPr>
      </w:pPr>
      <w:r>
        <w:rPr>
          <w:bCs/>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430C0946">
      <w:pPr>
        <w:spacing w:line="360" w:lineRule="auto"/>
        <w:rPr>
          <w:b/>
          <w:bCs/>
        </w:rPr>
      </w:pPr>
      <w:r>
        <w:rPr>
          <w:bCs/>
        </w:rPr>
        <w:t>4、乙方提供的应用软件中账号所使用的口令已采用加密方式保存，不可固化在软件里。</w:t>
      </w:r>
    </w:p>
    <w:p w14:paraId="3FCC9B72">
      <w:pPr>
        <w:spacing w:line="360" w:lineRule="auto"/>
        <w:rPr>
          <w:b/>
          <w:bCs/>
        </w:rPr>
      </w:pPr>
      <w:r>
        <w:rPr>
          <w:bCs/>
        </w:rPr>
        <w:t>5、乙方在设备上线前，应详细提供本工程新增设备和应用的进程、端口、账号等方面的情况。</w:t>
      </w:r>
    </w:p>
    <w:p w14:paraId="2774362A">
      <w:pPr>
        <w:spacing w:line="360" w:lineRule="auto"/>
        <w:rPr>
          <w:b/>
          <w:bCs/>
        </w:rPr>
      </w:pPr>
      <w:r>
        <w:rPr>
          <w:bCs/>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304EA341">
      <w:pPr>
        <w:spacing w:line="360" w:lineRule="auto"/>
        <w:rPr>
          <w:b/>
          <w:bCs/>
        </w:rPr>
      </w:pPr>
      <w:r>
        <w:rPr>
          <w:bCs/>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53D9BEB7">
      <w:pPr>
        <w:spacing w:line="360" w:lineRule="auto"/>
        <w:rPr>
          <w:b/>
          <w:bCs/>
        </w:rPr>
      </w:pPr>
      <w:r>
        <w:rPr>
          <w:bCs/>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637664F8">
      <w:pPr>
        <w:spacing w:line="360" w:lineRule="auto"/>
        <w:rPr>
          <w:b/>
          <w:bCs/>
        </w:rPr>
      </w:pPr>
      <w:r>
        <w:rPr>
          <w:bCs/>
        </w:rPr>
        <w:t>9、当本工程新增设备的安全补丁安装失败时，乙方有责任协助甲方对补丁加载失败原因进行分析、测试。</w:t>
      </w:r>
    </w:p>
    <w:p w14:paraId="500C6CE9">
      <w:pPr>
        <w:spacing w:line="360" w:lineRule="auto"/>
        <w:rPr>
          <w:b/>
          <w:bCs/>
        </w:rPr>
      </w:pPr>
      <w:r>
        <w:rPr>
          <w:bCs/>
        </w:rPr>
        <w:t>10、当加载的安全补丁与乙方所提供的应用系统存在冲突时，乙方原则上应在1个月内，最迟不超过3个月内，对应用系统进行升级改造。</w:t>
      </w:r>
    </w:p>
    <w:p w14:paraId="07BB194A">
      <w:pPr>
        <w:spacing w:line="360" w:lineRule="auto"/>
        <w:rPr>
          <w:b/>
          <w:bCs/>
        </w:rPr>
      </w:pPr>
      <w:r>
        <w:rPr>
          <w:bCs/>
        </w:rPr>
        <w:t>11、对于乙方提供运行在Windows操作系统的应用软件，乙方必须承诺与趋势科技（TrendMicro）、赛门铁克（Symantec）以及NAI公司等主流网络版防病毒软件或其中之一兼容。</w:t>
      </w:r>
    </w:p>
    <w:p w14:paraId="2FC5DBEA">
      <w:pPr>
        <w:spacing w:line="360" w:lineRule="auto"/>
        <w:rPr>
          <w:b/>
          <w:bCs/>
        </w:rPr>
      </w:pPr>
      <w:r>
        <w:rPr>
          <w:bCs/>
        </w:rPr>
        <w:t>12、对于乙方提供的运行在</w:t>
      </w:r>
      <w:r>
        <w:rPr>
          <w:rFonts w:hint="eastAsia"/>
          <w:bCs/>
        </w:rPr>
        <w:t>W</w:t>
      </w:r>
      <w:r>
        <w:rPr>
          <w:bCs/>
        </w:rPr>
        <w:t>indows操作系统的应用软件，版本应在Win 2000（含）以上，同时不能使用家用版，如X</w:t>
      </w:r>
      <w:r>
        <w:rPr>
          <w:rFonts w:hint="eastAsia"/>
          <w:bCs/>
        </w:rPr>
        <w:t>P</w:t>
      </w:r>
      <w:r>
        <w:rPr>
          <w:bCs/>
        </w:rPr>
        <w:t xml:space="preserve"> Home </w:t>
      </w:r>
      <w:r>
        <w:rPr>
          <w:rFonts w:hint="eastAsia"/>
          <w:bCs/>
        </w:rPr>
        <w:t>版的操作系统。</w:t>
      </w:r>
    </w:p>
    <w:p w14:paraId="5492640B">
      <w:pPr>
        <w:spacing w:line="360" w:lineRule="auto"/>
        <w:rPr>
          <w:b/>
          <w:bCs/>
        </w:rPr>
      </w:pPr>
      <w:r>
        <w:rPr>
          <w:bCs/>
        </w:rPr>
        <w:t>13、乙方安全应急处理方面的责任：</w:t>
      </w:r>
    </w:p>
    <w:p w14:paraId="0F14D124">
      <w:pPr>
        <w:spacing w:line="360" w:lineRule="auto"/>
        <w:rPr>
          <w:b/>
          <w:bCs/>
        </w:rPr>
      </w:pPr>
      <w:r>
        <w:rPr>
          <w:bCs/>
        </w:rPr>
        <w:t>1）如果出现未知原因的攻击导致系统或网络设备异常，乙方应承诺配合甲方查找原因，给出解决方案。</w:t>
      </w:r>
    </w:p>
    <w:p w14:paraId="2CA80F12">
      <w:pPr>
        <w:spacing w:line="360" w:lineRule="auto"/>
        <w:rPr>
          <w:b/>
          <w:bCs/>
        </w:rPr>
      </w:pPr>
      <w:r>
        <w:rPr>
          <w:bCs/>
        </w:rPr>
        <w:t>2）乙方需建立必要的测试环境，对于各类安全解决方案进行及时测试，并给出可行的现网实施办法。</w:t>
      </w:r>
    </w:p>
    <w:p w14:paraId="4656F9D5">
      <w:pPr>
        <w:spacing w:line="360" w:lineRule="auto"/>
        <w:rPr>
          <w:b/>
          <w:bCs/>
          <w:color w:val="000000"/>
        </w:rPr>
      </w:pPr>
      <w:r>
        <w:rPr>
          <w:bCs/>
          <w:color w:val="000000"/>
        </w:rPr>
        <w:t>14、本协议作为合同附件，生效起止时间同合同。本协议需经双方法人代表（或法人代表委托人）签名并盖章，与所签合同具有同等法律效力。合同正本一式</w:t>
      </w:r>
      <w:r>
        <w:rPr>
          <w:rFonts w:hint="eastAsia"/>
          <w:bCs/>
          <w:color w:val="000000"/>
        </w:rPr>
        <w:t>肆</w:t>
      </w:r>
      <w:r>
        <w:rPr>
          <w:bCs/>
          <w:color w:val="000000"/>
        </w:rPr>
        <w:t>份，甲方</w:t>
      </w:r>
      <w:r>
        <w:rPr>
          <w:rFonts w:hint="eastAsia"/>
          <w:bCs/>
          <w:color w:val="000000"/>
        </w:rPr>
        <w:t>贰</w:t>
      </w:r>
      <w:r>
        <w:rPr>
          <w:bCs/>
          <w:color w:val="000000"/>
        </w:rPr>
        <w:t>份，乙方贰份，均具有同等法律效</w:t>
      </w:r>
      <w:r>
        <w:rPr>
          <w:rFonts w:hint="eastAsia"/>
          <w:bCs/>
          <w:color w:val="000000"/>
        </w:rPr>
        <w:t>力。</w:t>
      </w:r>
    </w:p>
    <w:p w14:paraId="11BB477C">
      <w:pPr>
        <w:spacing w:line="360" w:lineRule="auto"/>
        <w:rPr>
          <w:b/>
          <w:bCs/>
          <w:color w:val="000000"/>
        </w:rPr>
      </w:pPr>
    </w:p>
    <w:p w14:paraId="58B21120">
      <w:pPr>
        <w:spacing w:line="360" w:lineRule="auto"/>
        <w:rPr>
          <w:b/>
          <w:bCs/>
        </w:rPr>
      </w:pPr>
    </w:p>
    <w:p w14:paraId="4247D17D">
      <w:pPr>
        <w:spacing w:line="360" w:lineRule="auto"/>
        <w:rPr>
          <w:b/>
          <w:bCs/>
          <w:color w:val="000000"/>
        </w:rPr>
      </w:pPr>
      <w:r>
        <w:rPr>
          <w:rFonts w:hint="eastAsia"/>
          <w:bCs/>
        </w:rPr>
        <w:t>甲方（盖章）：</w:t>
      </w:r>
      <w:r>
        <w:rPr>
          <w:rFonts w:hint="eastAsia"/>
          <w:bCs/>
          <w:color w:val="000000"/>
        </w:rPr>
        <w:t>江苏天安智联科技股份有限公司</w:t>
      </w:r>
    </w:p>
    <w:p w14:paraId="583C9295">
      <w:pPr>
        <w:spacing w:line="360" w:lineRule="auto"/>
        <w:rPr>
          <w:b/>
          <w:bCs/>
        </w:rPr>
      </w:pPr>
    </w:p>
    <w:p w14:paraId="26D046BB">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1F363D4A">
      <w:pPr>
        <w:spacing w:line="360" w:lineRule="auto"/>
        <w:rPr>
          <w:b/>
          <w:bCs/>
          <w:u w:val="single"/>
        </w:rPr>
      </w:pPr>
    </w:p>
    <w:p w14:paraId="7EDA130D">
      <w:pPr>
        <w:spacing w:line="360" w:lineRule="auto"/>
        <w:ind w:left="-2" w:leftChars="-1" w:firstLine="1"/>
        <w:rPr>
          <w:b/>
          <w:bCs/>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0F19CB64">
      <w:pPr>
        <w:spacing w:line="360" w:lineRule="auto"/>
        <w:ind w:left="-2" w:leftChars="-1" w:firstLine="1"/>
        <w:rPr>
          <w:b/>
          <w:bCs/>
        </w:rPr>
      </w:pPr>
    </w:p>
    <w:p w14:paraId="6B9C83EE">
      <w:pPr>
        <w:spacing w:line="360" w:lineRule="auto"/>
        <w:rPr>
          <w:b/>
          <w:bCs/>
        </w:rPr>
      </w:pPr>
    </w:p>
    <w:p w14:paraId="6E7E4209">
      <w:pPr>
        <w:spacing w:line="360" w:lineRule="auto"/>
        <w:rPr>
          <w:b/>
          <w:bCs/>
          <w:szCs w:val="18"/>
        </w:rPr>
      </w:pPr>
      <w:r>
        <w:rPr>
          <w:rFonts w:hint="eastAsia"/>
          <w:bCs/>
        </w:rPr>
        <w:t>乙方（盖章）：</w:t>
      </w:r>
      <w:r>
        <w:rPr>
          <w:bCs/>
          <w:szCs w:val="18"/>
        </w:rPr>
        <w:t xml:space="preserve"> </w:t>
      </w:r>
      <w:r>
        <w:rPr>
          <w:rFonts w:hint="eastAsia"/>
          <w:bCs/>
          <w:szCs w:val="18"/>
        </w:rPr>
        <w:t>无锡市车城智联科技有限公司</w:t>
      </w:r>
    </w:p>
    <w:p w14:paraId="7CB847C8">
      <w:pPr>
        <w:spacing w:line="360" w:lineRule="auto"/>
        <w:rPr>
          <w:b/>
          <w:bCs/>
          <w:u w:val="single"/>
        </w:rPr>
      </w:pPr>
    </w:p>
    <w:p w14:paraId="44A6AEE1">
      <w:pPr>
        <w:spacing w:line="360" w:lineRule="auto"/>
        <w:rPr>
          <w:b/>
          <w:bCs/>
          <w:u w:val="single"/>
        </w:rPr>
      </w:pPr>
      <w:r>
        <w:rPr>
          <w:rFonts w:hint="eastAsia"/>
          <w:bCs/>
          <w:szCs w:val="18"/>
        </w:rPr>
        <w:t>法定代表人或授权代表（签字）</w:t>
      </w:r>
      <w:r>
        <w:rPr>
          <w:rFonts w:hint="eastAsia"/>
          <w:bCs/>
        </w:rPr>
        <w:t>：</w:t>
      </w:r>
      <w:r>
        <w:rPr>
          <w:rFonts w:hint="eastAsia"/>
          <w:bCs/>
          <w:u w:val="single"/>
        </w:rPr>
        <w:t xml:space="preserve">                       </w:t>
      </w:r>
    </w:p>
    <w:p w14:paraId="498FC4E1">
      <w:pPr>
        <w:spacing w:line="360" w:lineRule="auto"/>
        <w:rPr>
          <w:b/>
          <w:bCs/>
          <w:u w:val="single"/>
        </w:rPr>
      </w:pPr>
    </w:p>
    <w:p w14:paraId="2B80CF18">
      <w:pPr>
        <w:spacing w:line="360" w:lineRule="auto"/>
        <w:rPr>
          <w:b/>
          <w:bCs/>
          <w:color w:val="FF0000"/>
        </w:rPr>
      </w:pPr>
      <w:r>
        <w:rPr>
          <w:rFonts w:hint="eastAsia"/>
          <w:bCs/>
        </w:rPr>
        <w:t>日    期：</w:t>
      </w:r>
      <w:r>
        <w:rPr>
          <w:rFonts w:hint="eastAsia"/>
          <w:bCs/>
          <w:u w:val="single"/>
        </w:rPr>
        <w:t xml:space="preserve"> 2025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w:t>
      </w:r>
    </w:p>
    <w:p w14:paraId="0795A004">
      <w:pPr>
        <w:rPr>
          <w:b/>
          <w:bCs/>
        </w:rPr>
      </w:pPr>
    </w:p>
    <w:sectPr>
      <w:pgSz w:w="11906" w:h="16838"/>
      <w:pgMar w:top="1440" w:right="1175" w:bottom="1440" w:left="1516" w:header="851" w:footer="992" w:gutter="0"/>
      <w:cols w:space="425" w:num="1"/>
      <w:docGrid w:type="lines" w:linePitch="38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B0604020202020204"/>
    <w:charset w:val="86"/>
    <w:family w:val="modern"/>
    <w:pitch w:val="default"/>
    <w:sig w:usb0="00000000" w:usb1="00000000" w:usb2="00000010"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B0604020202020204"/>
    <w:charset w:val="86"/>
    <w:family w:val="modern"/>
    <w:pitch w:val="default"/>
    <w:sig w:usb0="00000000" w:usb1="00000000" w:usb2="00000010" w:usb3="00000000" w:csb0="00040001"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87812"/>
    </w:sdtPr>
    <w:sdtContent>
      <w:p w14:paraId="5F49B4C6">
        <w:pPr>
          <w:pStyle w:val="13"/>
          <w:jc w:val="center"/>
        </w:pPr>
        <w:r>
          <w:fldChar w:fldCharType="begin"/>
        </w:r>
        <w:r>
          <w:instrText xml:space="preserve"> PAGE   \* MERGEFORMAT </w:instrText>
        </w:r>
        <w:r>
          <w:fldChar w:fldCharType="separate"/>
        </w:r>
        <w:r>
          <w:rPr>
            <w:lang w:val="zh-CN"/>
          </w:rPr>
          <w:t>6</w:t>
        </w:r>
        <w:r>
          <w:rPr>
            <w:lang w:val="zh-CN"/>
          </w:rPr>
          <w:fldChar w:fldCharType="end"/>
        </w:r>
      </w:p>
    </w:sdtContent>
  </w:sdt>
  <w:p w14:paraId="29A905CB">
    <w:pPr>
      <w:pStyle w:val="1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A5C32"/>
    <w:multiLevelType w:val="multilevel"/>
    <w:tmpl w:val="0A9A5C32"/>
    <w:lvl w:ilvl="0" w:tentative="0">
      <w:start w:val="1"/>
      <w:numFmt w:val="decimal"/>
      <w:lvlText w:val="%1、"/>
      <w:lvlJc w:val="left"/>
      <w:pPr>
        <w:ind w:left="360" w:hanging="360"/>
      </w:pPr>
      <w:rPr>
        <w:rFonts w:hint="default"/>
      </w:rPr>
    </w:lvl>
    <w:lvl w:ilvl="1" w:tentative="0">
      <w:start w:val="1"/>
      <w:numFmt w:val="decimal"/>
      <w:lvlText w:val="（%2）"/>
      <w:lvlJc w:val="left"/>
      <w:pPr>
        <w:ind w:left="1140" w:hanging="720"/>
      </w:pPr>
      <w:rPr>
        <w:rFonts w:hint="default"/>
      </w:rPr>
    </w:lvl>
    <w:lvl w:ilvl="2" w:tentative="0">
      <w:start w:val="3"/>
      <w:numFmt w:val="decimalEnclosedCircle"/>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5464504"/>
    <w:multiLevelType w:val="multilevel"/>
    <w:tmpl w:val="15464504"/>
    <w:lvl w:ilvl="0" w:tentative="0">
      <w:start w:val="1"/>
      <w:numFmt w:val="decimalEnclosedCircle"/>
      <w:lvlText w:val="%1"/>
      <w:lvlJc w:val="left"/>
      <w:pPr>
        <w:ind w:left="830" w:hanging="360"/>
      </w:pPr>
      <w:rPr>
        <w:rFonts w:hint="default"/>
      </w:rPr>
    </w:lvl>
    <w:lvl w:ilvl="1" w:tentative="0">
      <w:start w:val="1"/>
      <w:numFmt w:val="lowerLetter"/>
      <w:lvlText w:val="%2)"/>
      <w:lvlJc w:val="left"/>
      <w:pPr>
        <w:ind w:left="1350" w:hanging="440"/>
      </w:pPr>
    </w:lvl>
    <w:lvl w:ilvl="2" w:tentative="0">
      <w:start w:val="1"/>
      <w:numFmt w:val="lowerRoman"/>
      <w:lvlText w:val="%3."/>
      <w:lvlJc w:val="right"/>
      <w:pPr>
        <w:ind w:left="1790" w:hanging="440"/>
      </w:pPr>
    </w:lvl>
    <w:lvl w:ilvl="3" w:tentative="0">
      <w:start w:val="1"/>
      <w:numFmt w:val="decimal"/>
      <w:lvlText w:val="%4."/>
      <w:lvlJc w:val="left"/>
      <w:pPr>
        <w:ind w:left="2230" w:hanging="440"/>
      </w:pPr>
    </w:lvl>
    <w:lvl w:ilvl="4" w:tentative="0">
      <w:start w:val="1"/>
      <w:numFmt w:val="lowerLetter"/>
      <w:lvlText w:val="%5)"/>
      <w:lvlJc w:val="left"/>
      <w:pPr>
        <w:ind w:left="2670" w:hanging="440"/>
      </w:pPr>
    </w:lvl>
    <w:lvl w:ilvl="5" w:tentative="0">
      <w:start w:val="1"/>
      <w:numFmt w:val="lowerRoman"/>
      <w:lvlText w:val="%6."/>
      <w:lvlJc w:val="right"/>
      <w:pPr>
        <w:ind w:left="3110" w:hanging="440"/>
      </w:pPr>
    </w:lvl>
    <w:lvl w:ilvl="6" w:tentative="0">
      <w:start w:val="1"/>
      <w:numFmt w:val="decimal"/>
      <w:lvlText w:val="%7."/>
      <w:lvlJc w:val="left"/>
      <w:pPr>
        <w:ind w:left="3550" w:hanging="440"/>
      </w:pPr>
    </w:lvl>
    <w:lvl w:ilvl="7" w:tentative="0">
      <w:start w:val="1"/>
      <w:numFmt w:val="lowerLetter"/>
      <w:lvlText w:val="%8)"/>
      <w:lvlJc w:val="left"/>
      <w:pPr>
        <w:ind w:left="3990" w:hanging="440"/>
      </w:pPr>
    </w:lvl>
    <w:lvl w:ilvl="8" w:tentative="0">
      <w:start w:val="1"/>
      <w:numFmt w:val="lowerRoman"/>
      <w:lvlText w:val="%9."/>
      <w:lvlJc w:val="right"/>
      <w:pPr>
        <w:ind w:left="4430" w:hanging="440"/>
      </w:pPr>
    </w:lvl>
  </w:abstractNum>
  <w:abstractNum w:abstractNumId="2">
    <w:nsid w:val="22F53F81"/>
    <w:multiLevelType w:val="singleLevel"/>
    <w:tmpl w:val="22F53F81"/>
    <w:lvl w:ilvl="0" w:tentative="0">
      <w:start w:val="1"/>
      <w:numFmt w:val="chineseCountingThousand"/>
      <w:lvlText w:val="第%1条"/>
      <w:lvlJc w:val="left"/>
      <w:pPr>
        <w:tabs>
          <w:tab w:val="left" w:pos="1280"/>
        </w:tabs>
        <w:ind w:left="1280" w:hanging="855"/>
      </w:pPr>
      <w:rPr>
        <w:rFonts w:hint="eastAsia"/>
      </w:rPr>
    </w:lvl>
  </w:abstractNum>
  <w:abstractNum w:abstractNumId="3">
    <w:nsid w:val="2726220D"/>
    <w:multiLevelType w:val="multilevel"/>
    <w:tmpl w:val="2726220D"/>
    <w:lvl w:ilvl="0" w:tentative="0">
      <w:start w:val="1"/>
      <w:numFmt w:val="japaneseCounting"/>
      <w:lvlText w:val="%1、"/>
      <w:lvlJc w:val="left"/>
      <w:pPr>
        <w:tabs>
          <w:tab w:val="left" w:pos="1290"/>
        </w:tabs>
        <w:ind w:left="1290" w:hanging="855"/>
      </w:pPr>
      <w:rPr>
        <w:rFonts w:hint="default"/>
      </w:rPr>
    </w:lvl>
    <w:lvl w:ilvl="1" w:tentative="0">
      <w:start w:val="1"/>
      <w:numFmt w:val="lowerLetter"/>
      <w:lvlText w:val="%2)"/>
      <w:lvlJc w:val="left"/>
      <w:pPr>
        <w:tabs>
          <w:tab w:val="left" w:pos="1275"/>
        </w:tabs>
        <w:ind w:left="1275" w:hanging="420"/>
      </w:pPr>
    </w:lvl>
    <w:lvl w:ilvl="2" w:tentative="0">
      <w:start w:val="1"/>
      <w:numFmt w:val="lowerRoman"/>
      <w:lvlText w:val="%3."/>
      <w:lvlJc w:val="right"/>
      <w:pPr>
        <w:tabs>
          <w:tab w:val="left" w:pos="1695"/>
        </w:tabs>
        <w:ind w:left="1695" w:hanging="420"/>
      </w:pPr>
    </w:lvl>
    <w:lvl w:ilvl="3" w:tentative="0">
      <w:start w:val="1"/>
      <w:numFmt w:val="decimal"/>
      <w:lvlText w:val="%4."/>
      <w:lvlJc w:val="left"/>
      <w:pPr>
        <w:tabs>
          <w:tab w:val="left" w:pos="2115"/>
        </w:tabs>
        <w:ind w:left="2115" w:hanging="420"/>
      </w:pPr>
    </w:lvl>
    <w:lvl w:ilvl="4" w:tentative="0">
      <w:start w:val="1"/>
      <w:numFmt w:val="lowerLetter"/>
      <w:lvlText w:val="%5)"/>
      <w:lvlJc w:val="left"/>
      <w:pPr>
        <w:tabs>
          <w:tab w:val="left" w:pos="2535"/>
        </w:tabs>
        <w:ind w:left="2535" w:hanging="420"/>
      </w:pPr>
    </w:lvl>
    <w:lvl w:ilvl="5" w:tentative="0">
      <w:start w:val="1"/>
      <w:numFmt w:val="lowerRoman"/>
      <w:lvlText w:val="%6."/>
      <w:lvlJc w:val="right"/>
      <w:pPr>
        <w:tabs>
          <w:tab w:val="left" w:pos="2955"/>
        </w:tabs>
        <w:ind w:left="2955" w:hanging="420"/>
      </w:pPr>
    </w:lvl>
    <w:lvl w:ilvl="6" w:tentative="0">
      <w:start w:val="1"/>
      <w:numFmt w:val="decimal"/>
      <w:lvlText w:val="%7."/>
      <w:lvlJc w:val="left"/>
      <w:pPr>
        <w:tabs>
          <w:tab w:val="left" w:pos="3375"/>
        </w:tabs>
        <w:ind w:left="3375" w:hanging="420"/>
      </w:pPr>
    </w:lvl>
    <w:lvl w:ilvl="7" w:tentative="0">
      <w:start w:val="1"/>
      <w:numFmt w:val="lowerLetter"/>
      <w:lvlText w:val="%8)"/>
      <w:lvlJc w:val="left"/>
      <w:pPr>
        <w:tabs>
          <w:tab w:val="left" w:pos="3795"/>
        </w:tabs>
        <w:ind w:left="3795" w:hanging="420"/>
      </w:pPr>
    </w:lvl>
    <w:lvl w:ilvl="8" w:tentative="0">
      <w:start w:val="1"/>
      <w:numFmt w:val="lowerRoman"/>
      <w:lvlText w:val="%9."/>
      <w:lvlJc w:val="right"/>
      <w:pPr>
        <w:tabs>
          <w:tab w:val="left" w:pos="4215"/>
        </w:tabs>
        <w:ind w:left="4215" w:hanging="420"/>
      </w:pPr>
    </w:lvl>
  </w:abstractNum>
  <w:abstractNum w:abstractNumId="4">
    <w:nsid w:val="2A3029D9"/>
    <w:multiLevelType w:val="multilevel"/>
    <w:tmpl w:val="2A3029D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30833BA2"/>
    <w:multiLevelType w:val="multilevel"/>
    <w:tmpl w:val="30833BA2"/>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51AF7922"/>
    <w:multiLevelType w:val="multilevel"/>
    <w:tmpl w:val="51AF7922"/>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abstractNum w:abstractNumId="7">
    <w:nsid w:val="52701BAF"/>
    <w:multiLevelType w:val="singleLevel"/>
    <w:tmpl w:val="52701BAF"/>
    <w:lvl w:ilvl="0" w:tentative="0">
      <w:start w:val="2"/>
      <w:numFmt w:val="chineseCounting"/>
      <w:suff w:val="nothing"/>
      <w:lvlText w:val="%1、"/>
      <w:lvlJc w:val="left"/>
      <w:rPr>
        <w:rFonts w:hint="eastAsia"/>
      </w:rPr>
    </w:lvl>
  </w:abstractNum>
  <w:abstractNum w:abstractNumId="8">
    <w:nsid w:val="68BA7DBD"/>
    <w:multiLevelType w:val="multilevel"/>
    <w:tmpl w:val="68BA7DBD"/>
    <w:lvl w:ilvl="0" w:tentative="0">
      <w:start w:val="1"/>
      <w:numFmt w:val="decimal"/>
      <w:lvlText w:val="%1、"/>
      <w:lvlJc w:val="left"/>
      <w:pPr>
        <w:ind w:left="1650" w:hanging="360"/>
      </w:pPr>
      <w:rPr>
        <w:rFonts w:hint="default"/>
      </w:rPr>
    </w:lvl>
    <w:lvl w:ilvl="1" w:tentative="0">
      <w:start w:val="1"/>
      <w:numFmt w:val="lowerLetter"/>
      <w:lvlText w:val="%2)"/>
      <w:lvlJc w:val="left"/>
      <w:pPr>
        <w:ind w:left="2130" w:hanging="420"/>
      </w:pPr>
    </w:lvl>
    <w:lvl w:ilvl="2" w:tentative="0">
      <w:start w:val="1"/>
      <w:numFmt w:val="lowerRoman"/>
      <w:lvlText w:val="%3."/>
      <w:lvlJc w:val="right"/>
      <w:pPr>
        <w:ind w:left="2550" w:hanging="420"/>
      </w:pPr>
    </w:lvl>
    <w:lvl w:ilvl="3" w:tentative="0">
      <w:start w:val="1"/>
      <w:numFmt w:val="decimal"/>
      <w:lvlText w:val="%4."/>
      <w:lvlJc w:val="left"/>
      <w:pPr>
        <w:ind w:left="2970" w:hanging="420"/>
      </w:pPr>
    </w:lvl>
    <w:lvl w:ilvl="4" w:tentative="0">
      <w:start w:val="1"/>
      <w:numFmt w:val="lowerLetter"/>
      <w:lvlText w:val="%5)"/>
      <w:lvlJc w:val="left"/>
      <w:pPr>
        <w:ind w:left="3390" w:hanging="420"/>
      </w:pPr>
    </w:lvl>
    <w:lvl w:ilvl="5" w:tentative="0">
      <w:start w:val="1"/>
      <w:numFmt w:val="lowerRoman"/>
      <w:lvlText w:val="%6."/>
      <w:lvlJc w:val="right"/>
      <w:pPr>
        <w:ind w:left="3810" w:hanging="420"/>
      </w:pPr>
    </w:lvl>
    <w:lvl w:ilvl="6" w:tentative="0">
      <w:start w:val="1"/>
      <w:numFmt w:val="decimal"/>
      <w:lvlText w:val="%7."/>
      <w:lvlJc w:val="left"/>
      <w:pPr>
        <w:ind w:left="4230" w:hanging="420"/>
      </w:pPr>
    </w:lvl>
    <w:lvl w:ilvl="7" w:tentative="0">
      <w:start w:val="1"/>
      <w:numFmt w:val="lowerLetter"/>
      <w:lvlText w:val="%8)"/>
      <w:lvlJc w:val="left"/>
      <w:pPr>
        <w:ind w:left="4650" w:hanging="420"/>
      </w:pPr>
    </w:lvl>
    <w:lvl w:ilvl="8" w:tentative="0">
      <w:start w:val="1"/>
      <w:numFmt w:val="lowerRoman"/>
      <w:lvlText w:val="%9."/>
      <w:lvlJc w:val="right"/>
      <w:pPr>
        <w:ind w:left="5070" w:hanging="420"/>
      </w:pPr>
    </w:lvl>
  </w:abstractNum>
  <w:num w:numId="1">
    <w:abstractNumId w:val="2"/>
  </w:num>
  <w:num w:numId="2">
    <w:abstractNumId w:val="0"/>
  </w:num>
  <w:num w:numId="3">
    <w:abstractNumId w:val="4"/>
  </w:num>
  <w:num w:numId="4">
    <w:abstractNumId w:val="5"/>
  </w:num>
  <w:num w:numId="5">
    <w:abstractNumId w:val="1"/>
  </w:num>
  <w:num w:numId="6">
    <w:abstractNumId w:val="7"/>
  </w:num>
  <w:num w:numId="7">
    <w:abstractNumId w:val="3"/>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HorizontalSpacing w:val="120"/>
  <w:drawingGridVerticalSpacing w:val="194"/>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MzMDU3YzAyZmU5Y2FkZGU0ODIwMGZiOGE0ZGM5NWIifQ=="/>
  </w:docVars>
  <w:rsids>
    <w:rsidRoot w:val="00EE18EE"/>
    <w:rsid w:val="000023AE"/>
    <w:rsid w:val="000075C1"/>
    <w:rsid w:val="000140DF"/>
    <w:rsid w:val="00020BBD"/>
    <w:rsid w:val="000253A1"/>
    <w:rsid w:val="000359A7"/>
    <w:rsid w:val="00057CA1"/>
    <w:rsid w:val="00064BC3"/>
    <w:rsid w:val="00074315"/>
    <w:rsid w:val="00074424"/>
    <w:rsid w:val="00090195"/>
    <w:rsid w:val="00094354"/>
    <w:rsid w:val="000D000B"/>
    <w:rsid w:val="000D6646"/>
    <w:rsid w:val="000D7791"/>
    <w:rsid w:val="000E521A"/>
    <w:rsid w:val="000F2484"/>
    <w:rsid w:val="000F3254"/>
    <w:rsid w:val="001118AD"/>
    <w:rsid w:val="00116708"/>
    <w:rsid w:val="00130E22"/>
    <w:rsid w:val="00132E48"/>
    <w:rsid w:val="001339BB"/>
    <w:rsid w:val="001509CF"/>
    <w:rsid w:val="00151395"/>
    <w:rsid w:val="0017155D"/>
    <w:rsid w:val="00175EC5"/>
    <w:rsid w:val="00184CF6"/>
    <w:rsid w:val="00194239"/>
    <w:rsid w:val="00195617"/>
    <w:rsid w:val="001969DE"/>
    <w:rsid w:val="00197C07"/>
    <w:rsid w:val="001A6882"/>
    <w:rsid w:val="001D0CB6"/>
    <w:rsid w:val="001D54FF"/>
    <w:rsid w:val="001D6DC6"/>
    <w:rsid w:val="001E2DA4"/>
    <w:rsid w:val="001F5383"/>
    <w:rsid w:val="001F5B94"/>
    <w:rsid w:val="0020308B"/>
    <w:rsid w:val="00217FF5"/>
    <w:rsid w:val="0022098C"/>
    <w:rsid w:val="00223375"/>
    <w:rsid w:val="00227CDA"/>
    <w:rsid w:val="002303A7"/>
    <w:rsid w:val="00237D04"/>
    <w:rsid w:val="00242503"/>
    <w:rsid w:val="00245E3D"/>
    <w:rsid w:val="002547F9"/>
    <w:rsid w:val="00294089"/>
    <w:rsid w:val="002A1884"/>
    <w:rsid w:val="002A4F1D"/>
    <w:rsid w:val="002A7CE2"/>
    <w:rsid w:val="002B1172"/>
    <w:rsid w:val="002D07A5"/>
    <w:rsid w:val="002E5369"/>
    <w:rsid w:val="002E64F8"/>
    <w:rsid w:val="002F26E4"/>
    <w:rsid w:val="002F6768"/>
    <w:rsid w:val="00321C81"/>
    <w:rsid w:val="003340C8"/>
    <w:rsid w:val="00352E72"/>
    <w:rsid w:val="00380753"/>
    <w:rsid w:val="0038236A"/>
    <w:rsid w:val="003A7D9C"/>
    <w:rsid w:val="003D4ED7"/>
    <w:rsid w:val="003E106A"/>
    <w:rsid w:val="003E1B3B"/>
    <w:rsid w:val="003F0E69"/>
    <w:rsid w:val="003F4BC1"/>
    <w:rsid w:val="00401A88"/>
    <w:rsid w:val="004121DE"/>
    <w:rsid w:val="004225C6"/>
    <w:rsid w:val="00424539"/>
    <w:rsid w:val="00437D46"/>
    <w:rsid w:val="00442481"/>
    <w:rsid w:val="00473D93"/>
    <w:rsid w:val="00476BAF"/>
    <w:rsid w:val="00487869"/>
    <w:rsid w:val="004901EE"/>
    <w:rsid w:val="004A2799"/>
    <w:rsid w:val="004C278D"/>
    <w:rsid w:val="004C5F8E"/>
    <w:rsid w:val="004D7C08"/>
    <w:rsid w:val="005035BA"/>
    <w:rsid w:val="0050621D"/>
    <w:rsid w:val="00511338"/>
    <w:rsid w:val="005128C1"/>
    <w:rsid w:val="00516360"/>
    <w:rsid w:val="00516757"/>
    <w:rsid w:val="0052407B"/>
    <w:rsid w:val="00526696"/>
    <w:rsid w:val="00526922"/>
    <w:rsid w:val="00526ACE"/>
    <w:rsid w:val="00537D4A"/>
    <w:rsid w:val="00565633"/>
    <w:rsid w:val="00566624"/>
    <w:rsid w:val="0058659B"/>
    <w:rsid w:val="0059233C"/>
    <w:rsid w:val="005938A3"/>
    <w:rsid w:val="005B4AD5"/>
    <w:rsid w:val="005C4BFA"/>
    <w:rsid w:val="005D27B1"/>
    <w:rsid w:val="005E02CE"/>
    <w:rsid w:val="005E09C4"/>
    <w:rsid w:val="005E1852"/>
    <w:rsid w:val="0060122E"/>
    <w:rsid w:val="006103A5"/>
    <w:rsid w:val="006108EA"/>
    <w:rsid w:val="00613430"/>
    <w:rsid w:val="00622359"/>
    <w:rsid w:val="00623E08"/>
    <w:rsid w:val="00626944"/>
    <w:rsid w:val="006338C5"/>
    <w:rsid w:val="006870B7"/>
    <w:rsid w:val="006937FC"/>
    <w:rsid w:val="006A7308"/>
    <w:rsid w:val="006B711E"/>
    <w:rsid w:val="006C393B"/>
    <w:rsid w:val="006F2A02"/>
    <w:rsid w:val="00706CEF"/>
    <w:rsid w:val="00707EE3"/>
    <w:rsid w:val="00731F1F"/>
    <w:rsid w:val="007342AD"/>
    <w:rsid w:val="00744735"/>
    <w:rsid w:val="007460CD"/>
    <w:rsid w:val="00770610"/>
    <w:rsid w:val="00771D28"/>
    <w:rsid w:val="007A682D"/>
    <w:rsid w:val="007C1811"/>
    <w:rsid w:val="007C56F9"/>
    <w:rsid w:val="007E4748"/>
    <w:rsid w:val="0080007D"/>
    <w:rsid w:val="00803BB1"/>
    <w:rsid w:val="0082242C"/>
    <w:rsid w:val="0083551C"/>
    <w:rsid w:val="00837447"/>
    <w:rsid w:val="008608DF"/>
    <w:rsid w:val="008613D0"/>
    <w:rsid w:val="00867EBA"/>
    <w:rsid w:val="00874C8C"/>
    <w:rsid w:val="008816EB"/>
    <w:rsid w:val="008B2BBC"/>
    <w:rsid w:val="008E141F"/>
    <w:rsid w:val="008F5A78"/>
    <w:rsid w:val="008F64F7"/>
    <w:rsid w:val="008F7EFE"/>
    <w:rsid w:val="00903B54"/>
    <w:rsid w:val="009256A6"/>
    <w:rsid w:val="00942AF4"/>
    <w:rsid w:val="00947515"/>
    <w:rsid w:val="00955410"/>
    <w:rsid w:val="00955A8B"/>
    <w:rsid w:val="0096139F"/>
    <w:rsid w:val="00961B60"/>
    <w:rsid w:val="00967631"/>
    <w:rsid w:val="00971C81"/>
    <w:rsid w:val="009A549D"/>
    <w:rsid w:val="009B5A6F"/>
    <w:rsid w:val="009B60BC"/>
    <w:rsid w:val="009D02E2"/>
    <w:rsid w:val="009D1AEF"/>
    <w:rsid w:val="009D4816"/>
    <w:rsid w:val="009D6AB8"/>
    <w:rsid w:val="00A2504F"/>
    <w:rsid w:val="00A31E10"/>
    <w:rsid w:val="00A61D7A"/>
    <w:rsid w:val="00A74A5D"/>
    <w:rsid w:val="00A966A8"/>
    <w:rsid w:val="00A97B6C"/>
    <w:rsid w:val="00AA026B"/>
    <w:rsid w:val="00AA665A"/>
    <w:rsid w:val="00AB4F24"/>
    <w:rsid w:val="00AC7671"/>
    <w:rsid w:val="00AD2971"/>
    <w:rsid w:val="00AD411D"/>
    <w:rsid w:val="00AD70C5"/>
    <w:rsid w:val="00B0361B"/>
    <w:rsid w:val="00B15B25"/>
    <w:rsid w:val="00B22168"/>
    <w:rsid w:val="00B377C2"/>
    <w:rsid w:val="00BA65DD"/>
    <w:rsid w:val="00BC64A5"/>
    <w:rsid w:val="00BE064F"/>
    <w:rsid w:val="00BE12E9"/>
    <w:rsid w:val="00BF14D8"/>
    <w:rsid w:val="00BF172F"/>
    <w:rsid w:val="00BF61F1"/>
    <w:rsid w:val="00C132A6"/>
    <w:rsid w:val="00C33CA9"/>
    <w:rsid w:val="00C33CB3"/>
    <w:rsid w:val="00C44579"/>
    <w:rsid w:val="00C72490"/>
    <w:rsid w:val="00C87F23"/>
    <w:rsid w:val="00C90AA1"/>
    <w:rsid w:val="00C924B1"/>
    <w:rsid w:val="00CA1EA7"/>
    <w:rsid w:val="00CB2471"/>
    <w:rsid w:val="00CB69E9"/>
    <w:rsid w:val="00CC6066"/>
    <w:rsid w:val="00CD3790"/>
    <w:rsid w:val="00CD422C"/>
    <w:rsid w:val="00CE10AF"/>
    <w:rsid w:val="00CF0D71"/>
    <w:rsid w:val="00CF4EA3"/>
    <w:rsid w:val="00D35449"/>
    <w:rsid w:val="00D40E50"/>
    <w:rsid w:val="00D50B8D"/>
    <w:rsid w:val="00D8669B"/>
    <w:rsid w:val="00D96E84"/>
    <w:rsid w:val="00DA5448"/>
    <w:rsid w:val="00DA72F4"/>
    <w:rsid w:val="00DD2393"/>
    <w:rsid w:val="00DD3B6D"/>
    <w:rsid w:val="00DD452B"/>
    <w:rsid w:val="00DD6A6D"/>
    <w:rsid w:val="00DD6D86"/>
    <w:rsid w:val="00DE42F6"/>
    <w:rsid w:val="00DE7556"/>
    <w:rsid w:val="00DF3412"/>
    <w:rsid w:val="00DF5697"/>
    <w:rsid w:val="00DF6B07"/>
    <w:rsid w:val="00E00C82"/>
    <w:rsid w:val="00E0290A"/>
    <w:rsid w:val="00E06C67"/>
    <w:rsid w:val="00E13E92"/>
    <w:rsid w:val="00E20E1E"/>
    <w:rsid w:val="00E3106F"/>
    <w:rsid w:val="00E31AE8"/>
    <w:rsid w:val="00E5602A"/>
    <w:rsid w:val="00E73550"/>
    <w:rsid w:val="00E92C9F"/>
    <w:rsid w:val="00E92D8E"/>
    <w:rsid w:val="00EA0C86"/>
    <w:rsid w:val="00EA45F1"/>
    <w:rsid w:val="00EA50F5"/>
    <w:rsid w:val="00EA7BB7"/>
    <w:rsid w:val="00EB084E"/>
    <w:rsid w:val="00EB3B21"/>
    <w:rsid w:val="00EC63F0"/>
    <w:rsid w:val="00ED07F2"/>
    <w:rsid w:val="00ED4A92"/>
    <w:rsid w:val="00EE18EE"/>
    <w:rsid w:val="00EE46C0"/>
    <w:rsid w:val="00EF0ECC"/>
    <w:rsid w:val="00EF21C5"/>
    <w:rsid w:val="00F00851"/>
    <w:rsid w:val="00F17C49"/>
    <w:rsid w:val="00F2338F"/>
    <w:rsid w:val="00F23A20"/>
    <w:rsid w:val="00F23D04"/>
    <w:rsid w:val="00F27F0D"/>
    <w:rsid w:val="00F34230"/>
    <w:rsid w:val="00F34BA2"/>
    <w:rsid w:val="00F46970"/>
    <w:rsid w:val="00F66FEE"/>
    <w:rsid w:val="00F76A72"/>
    <w:rsid w:val="00F8183A"/>
    <w:rsid w:val="00F83E48"/>
    <w:rsid w:val="00F87C6B"/>
    <w:rsid w:val="00FA2DCD"/>
    <w:rsid w:val="00FA381C"/>
    <w:rsid w:val="00FB4A5A"/>
    <w:rsid w:val="00FD1598"/>
    <w:rsid w:val="00FD3A9B"/>
    <w:rsid w:val="00FD3ABA"/>
    <w:rsid w:val="00FD650D"/>
    <w:rsid w:val="00FE029A"/>
    <w:rsid w:val="00FE09A3"/>
    <w:rsid w:val="00FE1FED"/>
    <w:rsid w:val="00FF1A45"/>
    <w:rsid w:val="01623D39"/>
    <w:rsid w:val="04B149C8"/>
    <w:rsid w:val="06952EE0"/>
    <w:rsid w:val="06C632A9"/>
    <w:rsid w:val="07DE18AC"/>
    <w:rsid w:val="08E20120"/>
    <w:rsid w:val="08F407F1"/>
    <w:rsid w:val="09897C8F"/>
    <w:rsid w:val="0A402FCB"/>
    <w:rsid w:val="0C3F59FD"/>
    <w:rsid w:val="0D097FEC"/>
    <w:rsid w:val="0D2C17FD"/>
    <w:rsid w:val="0D6B068B"/>
    <w:rsid w:val="0DD237BC"/>
    <w:rsid w:val="0E9B4C74"/>
    <w:rsid w:val="0EB37199"/>
    <w:rsid w:val="0F34413D"/>
    <w:rsid w:val="127D180B"/>
    <w:rsid w:val="13362772"/>
    <w:rsid w:val="13857CA0"/>
    <w:rsid w:val="13C133CE"/>
    <w:rsid w:val="14DF6802"/>
    <w:rsid w:val="156E1FF2"/>
    <w:rsid w:val="16115B25"/>
    <w:rsid w:val="195B59A7"/>
    <w:rsid w:val="19B117EF"/>
    <w:rsid w:val="1B494B1B"/>
    <w:rsid w:val="1EC445CC"/>
    <w:rsid w:val="207215AC"/>
    <w:rsid w:val="207D1E74"/>
    <w:rsid w:val="21D868B6"/>
    <w:rsid w:val="22F268DB"/>
    <w:rsid w:val="23FB6101"/>
    <w:rsid w:val="24691703"/>
    <w:rsid w:val="27D779CD"/>
    <w:rsid w:val="283221FE"/>
    <w:rsid w:val="285F2DE5"/>
    <w:rsid w:val="28B92995"/>
    <w:rsid w:val="293A7B99"/>
    <w:rsid w:val="29644A23"/>
    <w:rsid w:val="2ACB6489"/>
    <w:rsid w:val="2BEF1B8F"/>
    <w:rsid w:val="2CAC682C"/>
    <w:rsid w:val="2DAC79D4"/>
    <w:rsid w:val="30104542"/>
    <w:rsid w:val="314D4C13"/>
    <w:rsid w:val="32AC3044"/>
    <w:rsid w:val="362231BE"/>
    <w:rsid w:val="36E1648D"/>
    <w:rsid w:val="36E6532D"/>
    <w:rsid w:val="37157E85"/>
    <w:rsid w:val="37600828"/>
    <w:rsid w:val="385B52F0"/>
    <w:rsid w:val="38F022D9"/>
    <w:rsid w:val="39A80CB0"/>
    <w:rsid w:val="3AAD058B"/>
    <w:rsid w:val="3B1B48C3"/>
    <w:rsid w:val="3C8841DA"/>
    <w:rsid w:val="3D8155D0"/>
    <w:rsid w:val="3DC6044E"/>
    <w:rsid w:val="3FE07E89"/>
    <w:rsid w:val="410B461F"/>
    <w:rsid w:val="43BD53B1"/>
    <w:rsid w:val="45960BC6"/>
    <w:rsid w:val="47FC121B"/>
    <w:rsid w:val="483F42E6"/>
    <w:rsid w:val="48AC3513"/>
    <w:rsid w:val="4CAA2A76"/>
    <w:rsid w:val="4CD40892"/>
    <w:rsid w:val="4E10087D"/>
    <w:rsid w:val="4F1B46F2"/>
    <w:rsid w:val="5049010D"/>
    <w:rsid w:val="50A425DE"/>
    <w:rsid w:val="51CB2747"/>
    <w:rsid w:val="52CB5F88"/>
    <w:rsid w:val="53A07C03"/>
    <w:rsid w:val="55BE5ED1"/>
    <w:rsid w:val="56386E89"/>
    <w:rsid w:val="56C8291A"/>
    <w:rsid w:val="56D91391"/>
    <w:rsid w:val="58DA5D50"/>
    <w:rsid w:val="58FF10CA"/>
    <w:rsid w:val="5926369C"/>
    <w:rsid w:val="5A7949BC"/>
    <w:rsid w:val="5B6E2259"/>
    <w:rsid w:val="5C3908A2"/>
    <w:rsid w:val="5C883C67"/>
    <w:rsid w:val="5C8B6E93"/>
    <w:rsid w:val="5D7F1F57"/>
    <w:rsid w:val="5EF3152F"/>
    <w:rsid w:val="5F5109AE"/>
    <w:rsid w:val="5F5B6B96"/>
    <w:rsid w:val="5F6E5059"/>
    <w:rsid w:val="5FC86155"/>
    <w:rsid w:val="602120CC"/>
    <w:rsid w:val="613C1835"/>
    <w:rsid w:val="631D0D60"/>
    <w:rsid w:val="63515591"/>
    <w:rsid w:val="635A392B"/>
    <w:rsid w:val="63A84B78"/>
    <w:rsid w:val="6A762352"/>
    <w:rsid w:val="6AAF6C4B"/>
    <w:rsid w:val="6BBC5649"/>
    <w:rsid w:val="6C862B8A"/>
    <w:rsid w:val="6D1F7E14"/>
    <w:rsid w:val="6ED14240"/>
    <w:rsid w:val="6F031CA2"/>
    <w:rsid w:val="6F3109CC"/>
    <w:rsid w:val="6F6D20ED"/>
    <w:rsid w:val="6F892DD5"/>
    <w:rsid w:val="70370D80"/>
    <w:rsid w:val="70B70C0B"/>
    <w:rsid w:val="74032C44"/>
    <w:rsid w:val="75742F72"/>
    <w:rsid w:val="77363092"/>
    <w:rsid w:val="785A08A0"/>
    <w:rsid w:val="79D7762B"/>
    <w:rsid w:val="7A422278"/>
    <w:rsid w:val="7A4C4E41"/>
    <w:rsid w:val="7D457D26"/>
    <w:rsid w:val="7E3E74AD"/>
    <w:rsid w:val="7E6150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28"/>
    <w:qFormat/>
    <w:uiPriority w:val="0"/>
    <w:pPr>
      <w:keepNext/>
      <w:keepLines/>
      <w:widowControl w:val="0"/>
      <w:tabs>
        <w:tab w:val="left" w:pos="855"/>
        <w:tab w:val="left" w:pos="1280"/>
      </w:tabs>
      <w:adjustRightInd w:val="0"/>
      <w:spacing w:before="360" w:after="360" w:line="400" w:lineRule="atLeast"/>
      <w:ind w:left="1280" w:hanging="855"/>
      <w:jc w:val="both"/>
      <w:outlineLvl w:val="0"/>
    </w:pPr>
    <w:rPr>
      <w:rFonts w:ascii="楷体_GB2312" w:eastAsia="楷体_GB2312" w:cs="Times New Roman"/>
      <w:b/>
      <w:kern w:val="44"/>
      <w:sz w:val="28"/>
      <w:szCs w:val="20"/>
    </w:rPr>
  </w:style>
  <w:style w:type="paragraph" w:styleId="3">
    <w:name w:val="heading 2"/>
    <w:basedOn w:val="1"/>
    <w:next w:val="4"/>
    <w:link w:val="67"/>
    <w:qFormat/>
    <w:uiPriority w:val="0"/>
    <w:pPr>
      <w:keepNext/>
      <w:keepLines/>
      <w:widowControl w:val="0"/>
      <w:spacing w:before="260" w:after="260" w:line="416" w:lineRule="atLeast"/>
      <w:jc w:val="both"/>
      <w:outlineLvl w:val="1"/>
    </w:pPr>
    <w:rPr>
      <w:rFonts w:ascii="Arial" w:hAnsi="Arial" w:eastAsia="黑体" w:cs="Times New Roman"/>
      <w:b/>
      <w:sz w:val="32"/>
      <w:szCs w:val="20"/>
      <w:lang w:val="zh-CN"/>
    </w:rPr>
  </w:style>
  <w:style w:type="paragraph" w:styleId="5">
    <w:name w:val="heading 4"/>
    <w:basedOn w:val="1"/>
    <w:next w:val="4"/>
    <w:link w:val="60"/>
    <w:qFormat/>
    <w:uiPriority w:val="0"/>
    <w:pPr>
      <w:keepNext/>
      <w:keepLines/>
      <w:widowControl w:val="0"/>
      <w:spacing w:before="280" w:after="290" w:line="376" w:lineRule="auto"/>
      <w:jc w:val="both"/>
      <w:outlineLvl w:val="3"/>
    </w:pPr>
    <w:rPr>
      <w:rFonts w:ascii="Arial" w:hAnsi="Arial" w:eastAsia="黑体" w:cs="Times New Roman"/>
      <w:b/>
      <w:sz w:val="28"/>
      <w:szCs w:val="20"/>
      <w:lang w:val="zh-CN"/>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widowControl w:val="0"/>
      <w:spacing w:line="240" w:lineRule="atLeast"/>
      <w:ind w:firstLine="420"/>
      <w:jc w:val="both"/>
    </w:pPr>
    <w:rPr>
      <w:rFonts w:ascii="Times New Roman" w:hAnsi="Times New Roman" w:cs="Times New Roman"/>
      <w:b/>
      <w:kern w:val="2"/>
      <w:sz w:val="28"/>
      <w:szCs w:val="20"/>
    </w:rPr>
  </w:style>
  <w:style w:type="paragraph" w:styleId="6">
    <w:name w:val="Document Map"/>
    <w:basedOn w:val="1"/>
    <w:link w:val="57"/>
    <w:unhideWhenUsed/>
    <w:qFormat/>
    <w:uiPriority w:val="99"/>
    <w:pPr>
      <w:widowControl w:val="0"/>
      <w:spacing w:line="240" w:lineRule="atLeast"/>
      <w:jc w:val="both"/>
    </w:pPr>
    <w:rPr>
      <w:rFonts w:hAnsi="Times New Roman" w:cs="Times New Roman"/>
      <w:b/>
      <w:kern w:val="2"/>
      <w:sz w:val="18"/>
      <w:szCs w:val="18"/>
    </w:rPr>
  </w:style>
  <w:style w:type="paragraph" w:styleId="7">
    <w:name w:val="annotation text"/>
    <w:basedOn w:val="1"/>
    <w:link w:val="75"/>
    <w:semiHidden/>
    <w:unhideWhenUsed/>
    <w:qFormat/>
    <w:uiPriority w:val="0"/>
    <w:pPr>
      <w:widowControl w:val="0"/>
      <w:spacing w:line="240" w:lineRule="atLeast"/>
    </w:pPr>
    <w:rPr>
      <w:rFonts w:ascii="Times New Roman" w:hAnsi="Times New Roman" w:cs="Times New Roman"/>
      <w:b/>
      <w:kern w:val="2"/>
      <w:sz w:val="28"/>
      <w:szCs w:val="20"/>
    </w:rPr>
  </w:style>
  <w:style w:type="paragraph" w:styleId="8">
    <w:name w:val="Body Text"/>
    <w:basedOn w:val="1"/>
    <w:qFormat/>
    <w:uiPriority w:val="0"/>
    <w:pPr>
      <w:widowControl w:val="0"/>
      <w:spacing w:after="120" w:line="240" w:lineRule="atLeast"/>
      <w:jc w:val="both"/>
    </w:pPr>
    <w:rPr>
      <w:rFonts w:ascii="Times New Roman" w:hAnsi="Times New Roman" w:cs="Times New Roman"/>
      <w:b/>
      <w:kern w:val="2"/>
      <w:sz w:val="28"/>
      <w:szCs w:val="20"/>
    </w:rPr>
  </w:style>
  <w:style w:type="paragraph" w:styleId="9">
    <w:name w:val="Body Text Indent"/>
    <w:basedOn w:val="1"/>
    <w:link w:val="29"/>
    <w:qFormat/>
    <w:uiPriority w:val="0"/>
    <w:pPr>
      <w:widowControl w:val="0"/>
      <w:adjustRightInd w:val="0"/>
      <w:spacing w:line="312" w:lineRule="atLeast"/>
      <w:ind w:left="360"/>
      <w:jc w:val="both"/>
      <w:textAlignment w:val="baseline"/>
    </w:pPr>
    <w:rPr>
      <w:rFonts w:ascii="Times New Roman" w:hAnsi="Times New Roman" w:eastAsiaTheme="minorEastAsia" w:cstheme="minorBidi"/>
      <w:kern w:val="2"/>
      <w:sz w:val="21"/>
      <w:szCs w:val="22"/>
    </w:rPr>
  </w:style>
  <w:style w:type="paragraph" w:styleId="10">
    <w:name w:val="Plain Text"/>
    <w:basedOn w:val="1"/>
    <w:link w:val="32"/>
    <w:qFormat/>
    <w:uiPriority w:val="99"/>
    <w:pPr>
      <w:widowControl w:val="0"/>
      <w:jc w:val="both"/>
    </w:pPr>
    <w:rPr>
      <w:rFonts w:hAnsi="Courier New" w:eastAsiaTheme="minorEastAsia" w:cstheme="minorBidi"/>
      <w:kern w:val="2"/>
      <w:sz w:val="21"/>
      <w:szCs w:val="22"/>
    </w:rPr>
  </w:style>
  <w:style w:type="paragraph" w:styleId="11">
    <w:name w:val="Body Text Indent 2"/>
    <w:basedOn w:val="1"/>
    <w:link w:val="64"/>
    <w:qFormat/>
    <w:uiPriority w:val="0"/>
    <w:pPr>
      <w:widowControl w:val="0"/>
      <w:spacing w:after="120" w:line="480" w:lineRule="auto"/>
      <w:ind w:left="420" w:leftChars="200"/>
      <w:jc w:val="both"/>
    </w:pPr>
    <w:rPr>
      <w:rFonts w:ascii="Times New Roman" w:hAnsi="Times New Roman" w:cs="Times New Roman"/>
      <w:kern w:val="2"/>
      <w:sz w:val="21"/>
    </w:rPr>
  </w:style>
  <w:style w:type="paragraph" w:styleId="12">
    <w:name w:val="Balloon Text"/>
    <w:basedOn w:val="1"/>
    <w:link w:val="68"/>
    <w:unhideWhenUsed/>
    <w:qFormat/>
    <w:uiPriority w:val="99"/>
    <w:pPr>
      <w:widowControl w:val="0"/>
      <w:jc w:val="both"/>
    </w:pPr>
    <w:rPr>
      <w:rFonts w:ascii="Times New Roman" w:hAnsi="Times New Roman" w:cs="Times New Roman"/>
      <w:b/>
      <w:sz w:val="18"/>
      <w:szCs w:val="18"/>
    </w:rPr>
  </w:style>
  <w:style w:type="paragraph" w:styleId="13">
    <w:name w:val="footer"/>
    <w:basedOn w:val="1"/>
    <w:link w:val="27"/>
    <w:unhideWhenUsed/>
    <w:qFormat/>
    <w:uiPriority w:val="99"/>
    <w:pPr>
      <w:widowControl w:val="0"/>
      <w:tabs>
        <w:tab w:val="center" w:pos="4153"/>
        <w:tab w:val="right" w:pos="8306"/>
      </w:tabs>
      <w:snapToGrid w:val="0"/>
      <w:spacing w:line="240" w:lineRule="atLeast"/>
    </w:pPr>
    <w:rPr>
      <w:rFonts w:ascii="Times New Roman" w:hAnsi="Times New Roman" w:cs="Times New Roman"/>
      <w:b/>
      <w:kern w:val="2"/>
      <w:sz w:val="18"/>
      <w:szCs w:val="18"/>
    </w:rPr>
  </w:style>
  <w:style w:type="paragraph" w:styleId="14">
    <w:name w:val="header"/>
    <w:basedOn w:val="1"/>
    <w:link w:val="26"/>
    <w:unhideWhenUsed/>
    <w:qFormat/>
    <w:uiPriority w:val="0"/>
    <w:pPr>
      <w:widowControl w:val="0"/>
      <w:pBdr>
        <w:bottom w:val="single" w:color="auto" w:sz="6" w:space="1"/>
      </w:pBdr>
      <w:tabs>
        <w:tab w:val="center" w:pos="4153"/>
        <w:tab w:val="right" w:pos="8306"/>
      </w:tabs>
      <w:snapToGrid w:val="0"/>
      <w:spacing w:line="240" w:lineRule="atLeast"/>
      <w:jc w:val="center"/>
    </w:pPr>
    <w:rPr>
      <w:rFonts w:ascii="Times New Roman" w:hAnsi="Times New Roman" w:cs="Times New Roman"/>
      <w:b/>
      <w:kern w:val="2"/>
      <w:sz w:val="18"/>
      <w:szCs w:val="18"/>
    </w:rPr>
  </w:style>
  <w:style w:type="paragraph" w:styleId="15">
    <w:name w:val="footnote text"/>
    <w:basedOn w:val="1"/>
    <w:link w:val="72"/>
    <w:semiHidden/>
    <w:qFormat/>
    <w:uiPriority w:val="0"/>
    <w:pPr>
      <w:snapToGrid w:val="0"/>
    </w:pPr>
    <w:rPr>
      <w:b/>
      <w:sz w:val="18"/>
      <w:szCs w:val="18"/>
    </w:rPr>
  </w:style>
  <w:style w:type="paragraph" w:styleId="16">
    <w:name w:val="Normal (Web)"/>
    <w:basedOn w:val="1"/>
    <w:unhideWhenUsed/>
    <w:qFormat/>
    <w:uiPriority w:val="99"/>
    <w:pPr>
      <w:spacing w:before="100" w:beforeAutospacing="1" w:after="100" w:afterAutospacing="1"/>
    </w:pPr>
    <w:rPr>
      <w:rFonts w:ascii="Times New Roman" w:hAnsi="Times New Roman" w:cs="Times New Roman"/>
      <w:kern w:val="2"/>
      <w:sz w:val="21"/>
      <w:szCs w:val="20"/>
    </w:rPr>
  </w:style>
  <w:style w:type="paragraph" w:styleId="17">
    <w:name w:val="annotation subject"/>
    <w:basedOn w:val="7"/>
    <w:next w:val="7"/>
    <w:link w:val="58"/>
    <w:unhideWhenUsed/>
    <w:qFormat/>
    <w:uiPriority w:val="99"/>
    <w:rPr>
      <w:bCs/>
    </w:rPr>
  </w:style>
  <w:style w:type="character" w:styleId="20">
    <w:name w:val="Strong"/>
    <w:qFormat/>
    <w:uiPriority w:val="22"/>
    <w:rPr>
      <w:b/>
      <w:bCs/>
    </w:rPr>
  </w:style>
  <w:style w:type="character" w:styleId="21">
    <w:name w:val="page number"/>
    <w:basedOn w:val="19"/>
    <w:qFormat/>
    <w:uiPriority w:val="0"/>
  </w:style>
  <w:style w:type="character" w:styleId="22">
    <w:name w:val="FollowedHyperlink"/>
    <w:basedOn w:val="19"/>
    <w:semiHidden/>
    <w:unhideWhenUsed/>
    <w:qFormat/>
    <w:uiPriority w:val="99"/>
    <w:rPr>
      <w:color w:val="800080"/>
      <w:u w:val="single"/>
    </w:rPr>
  </w:style>
  <w:style w:type="character" w:styleId="23">
    <w:name w:val="Hyperlink"/>
    <w:basedOn w:val="19"/>
    <w:unhideWhenUsed/>
    <w:qFormat/>
    <w:uiPriority w:val="99"/>
    <w:rPr>
      <w:color w:val="0000FF"/>
      <w:u w:val="single"/>
    </w:rPr>
  </w:style>
  <w:style w:type="character" w:styleId="24">
    <w:name w:val="annotation reference"/>
    <w:semiHidden/>
    <w:qFormat/>
    <w:uiPriority w:val="0"/>
    <w:rPr>
      <w:sz w:val="21"/>
      <w:szCs w:val="21"/>
    </w:rPr>
  </w:style>
  <w:style w:type="character" w:styleId="25">
    <w:name w:val="footnote reference"/>
    <w:semiHidden/>
    <w:qFormat/>
    <w:uiPriority w:val="0"/>
    <w:rPr>
      <w:vertAlign w:val="superscript"/>
    </w:rPr>
  </w:style>
  <w:style w:type="character" w:customStyle="1" w:styleId="26">
    <w:name w:val="页眉 字符"/>
    <w:basedOn w:val="19"/>
    <w:link w:val="14"/>
    <w:qFormat/>
    <w:uiPriority w:val="99"/>
    <w:rPr>
      <w:sz w:val="18"/>
      <w:szCs w:val="18"/>
    </w:rPr>
  </w:style>
  <w:style w:type="character" w:customStyle="1" w:styleId="27">
    <w:name w:val="页脚 字符"/>
    <w:basedOn w:val="19"/>
    <w:link w:val="13"/>
    <w:qFormat/>
    <w:uiPriority w:val="99"/>
    <w:rPr>
      <w:sz w:val="18"/>
      <w:szCs w:val="18"/>
    </w:rPr>
  </w:style>
  <w:style w:type="character" w:customStyle="1" w:styleId="28">
    <w:name w:val="标题 1 字符"/>
    <w:basedOn w:val="19"/>
    <w:link w:val="2"/>
    <w:qFormat/>
    <w:uiPriority w:val="0"/>
    <w:rPr>
      <w:rFonts w:ascii="楷体_GB2312" w:hAnsi="宋体" w:eastAsia="楷体_GB2312"/>
      <w:b/>
      <w:kern w:val="44"/>
      <w:sz w:val="28"/>
    </w:rPr>
  </w:style>
  <w:style w:type="character" w:customStyle="1" w:styleId="29">
    <w:name w:val="正文文本缩进 字符"/>
    <w:link w:val="9"/>
    <w:qFormat/>
    <w:uiPriority w:val="0"/>
    <w:rPr>
      <w:rFonts w:ascii="Times New Roman" w:hAnsi="Times New Roman"/>
    </w:rPr>
  </w:style>
  <w:style w:type="character" w:customStyle="1" w:styleId="30">
    <w:name w:val="Andy_正文 Char"/>
    <w:link w:val="31"/>
    <w:qFormat/>
    <w:uiPriority w:val="0"/>
    <w:rPr>
      <w:sz w:val="24"/>
      <w:szCs w:val="24"/>
    </w:rPr>
  </w:style>
  <w:style w:type="paragraph" w:customStyle="1" w:styleId="31">
    <w:name w:val="Andy_正文"/>
    <w:basedOn w:val="1"/>
    <w:link w:val="30"/>
    <w:qFormat/>
    <w:uiPriority w:val="0"/>
    <w:pPr>
      <w:widowControl w:val="0"/>
      <w:spacing w:line="360" w:lineRule="auto"/>
      <w:ind w:firstLine="480" w:firstLineChars="200"/>
      <w:jc w:val="both"/>
    </w:pPr>
    <w:rPr>
      <w:rFonts w:asciiTheme="minorHAnsi" w:hAnsiTheme="minorHAnsi" w:eastAsiaTheme="minorEastAsia" w:cstheme="minorBidi"/>
      <w:kern w:val="2"/>
    </w:rPr>
  </w:style>
  <w:style w:type="character" w:customStyle="1" w:styleId="32">
    <w:name w:val="纯文本 字符"/>
    <w:link w:val="10"/>
    <w:qFormat/>
    <w:locked/>
    <w:uiPriority w:val="99"/>
    <w:rPr>
      <w:rFonts w:ascii="宋体" w:hAnsi="Courier New"/>
    </w:rPr>
  </w:style>
  <w:style w:type="character" w:customStyle="1" w:styleId="33">
    <w:name w:val="正文文本缩进 Char1"/>
    <w:basedOn w:val="19"/>
    <w:semiHidden/>
    <w:qFormat/>
    <w:uiPriority w:val="99"/>
    <w:rPr>
      <w:rFonts w:ascii="Times New Roman" w:hAnsi="Times New Roman" w:eastAsia="宋体" w:cs="Times New Roman"/>
      <w:b/>
      <w:sz w:val="28"/>
      <w:szCs w:val="20"/>
    </w:rPr>
  </w:style>
  <w:style w:type="character" w:customStyle="1" w:styleId="34">
    <w:name w:val="纯文本 Char"/>
    <w:basedOn w:val="19"/>
    <w:semiHidden/>
    <w:qFormat/>
    <w:uiPriority w:val="99"/>
    <w:rPr>
      <w:rFonts w:ascii="宋体" w:hAnsi="Courier New" w:eastAsia="宋体" w:cs="Courier New"/>
      <w:b/>
      <w:szCs w:val="21"/>
    </w:rPr>
  </w:style>
  <w:style w:type="paragraph" w:customStyle="1" w:styleId="35">
    <w:name w:val="首行缩进"/>
    <w:basedOn w:val="1"/>
    <w:qFormat/>
    <w:uiPriority w:val="0"/>
    <w:pPr>
      <w:widowControl w:val="0"/>
      <w:ind w:firstLine="480" w:firstLineChars="200"/>
      <w:jc w:val="both"/>
    </w:pPr>
    <w:rPr>
      <w:rFonts w:ascii="Times New Roman" w:hAnsi="Times New Roman" w:cs="Times New Roman"/>
      <w:kern w:val="2"/>
      <w:sz w:val="21"/>
      <w:szCs w:val="20"/>
      <w:lang w:val="zh-CN"/>
    </w:rPr>
  </w:style>
  <w:style w:type="paragraph" w:customStyle="1" w:styleId="36">
    <w:name w:val="xl70"/>
    <w:basedOn w:val="1"/>
    <w:qFormat/>
    <w:uiPriority w:val="0"/>
    <w:pPr>
      <w:spacing w:before="100" w:beforeAutospacing="1" w:after="100" w:afterAutospacing="1"/>
      <w:jc w:val="center"/>
    </w:pPr>
  </w:style>
  <w:style w:type="paragraph" w:customStyle="1" w:styleId="37">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color w:val="000000"/>
      <w:sz w:val="18"/>
      <w:szCs w:val="18"/>
    </w:rPr>
  </w:style>
  <w:style w:type="paragraph" w:customStyle="1" w:styleId="38">
    <w:name w:val="xl7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sz w:val="18"/>
      <w:szCs w:val="18"/>
    </w:rPr>
  </w:style>
  <w:style w:type="paragraph" w:customStyle="1" w:styleId="39">
    <w:name w:val="xl73"/>
    <w:basedOn w:val="1"/>
    <w:qFormat/>
    <w:uiPriority w:val="0"/>
    <w:pPr>
      <w:pBdr>
        <w:top w:val="single" w:color="auto" w:sz="4" w:space="0"/>
        <w:bottom w:val="single" w:color="auto" w:sz="4" w:space="0"/>
        <w:right w:val="single" w:color="auto" w:sz="4" w:space="0"/>
      </w:pBdr>
      <w:spacing w:before="100" w:beforeAutospacing="1" w:after="100" w:afterAutospacing="1"/>
      <w:jc w:val="center"/>
    </w:pPr>
    <w:rPr>
      <w:b/>
      <w:bCs/>
      <w:sz w:val="18"/>
      <w:szCs w:val="18"/>
    </w:rPr>
  </w:style>
  <w:style w:type="paragraph" w:customStyle="1" w:styleId="40">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color w:val="000000"/>
      <w:sz w:val="20"/>
      <w:szCs w:val="20"/>
    </w:rPr>
  </w:style>
  <w:style w:type="paragraph" w:customStyle="1" w:styleId="41">
    <w:name w:val="xl7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sz w:val="18"/>
      <w:szCs w:val="18"/>
    </w:rPr>
  </w:style>
  <w:style w:type="paragraph" w:customStyle="1" w:styleId="42">
    <w:name w:val="xl7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color w:val="000000"/>
      <w:sz w:val="18"/>
      <w:szCs w:val="18"/>
    </w:rPr>
  </w:style>
  <w:style w:type="paragraph" w:customStyle="1" w:styleId="43">
    <w:name w:val="xl7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000000"/>
      <w:sz w:val="18"/>
      <w:szCs w:val="18"/>
    </w:rPr>
  </w:style>
  <w:style w:type="paragraph" w:customStyle="1" w:styleId="44">
    <w:name w:val="xl7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sz w:val="18"/>
      <w:szCs w:val="18"/>
    </w:rPr>
  </w:style>
  <w:style w:type="paragraph" w:customStyle="1" w:styleId="45">
    <w:name w:val="xl7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46">
    <w:name w:val="xl8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rPr>
  </w:style>
  <w:style w:type="paragraph" w:customStyle="1" w:styleId="47">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sz w:val="20"/>
      <w:szCs w:val="20"/>
    </w:rPr>
  </w:style>
  <w:style w:type="paragraph" w:customStyle="1" w:styleId="48">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sz w:val="18"/>
      <w:szCs w:val="18"/>
    </w:rPr>
  </w:style>
  <w:style w:type="paragraph" w:customStyle="1" w:styleId="49">
    <w:name w:val="xl8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50">
    <w:name w:val="xl8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51">
    <w:name w:val="xl8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52">
    <w:name w:val="xl86"/>
    <w:basedOn w:val="1"/>
    <w:qFormat/>
    <w:uiPriority w:val="0"/>
    <w:pPr>
      <w:pBdr>
        <w:top w:val="single" w:color="auto" w:sz="4" w:space="0"/>
        <w:left w:val="single" w:color="auto" w:sz="4" w:space="0"/>
        <w:bottom w:val="single" w:color="auto" w:sz="4" w:space="0"/>
      </w:pBdr>
      <w:spacing w:before="100" w:beforeAutospacing="1" w:after="100" w:afterAutospacing="1"/>
      <w:jc w:val="center"/>
    </w:pPr>
    <w:rPr>
      <w:b/>
      <w:bCs/>
    </w:rPr>
  </w:style>
  <w:style w:type="paragraph" w:customStyle="1" w:styleId="53">
    <w:name w:val="xl87"/>
    <w:basedOn w:val="1"/>
    <w:qFormat/>
    <w:uiPriority w:val="0"/>
    <w:pPr>
      <w:pBdr>
        <w:top w:val="single" w:color="auto" w:sz="4" w:space="0"/>
        <w:bottom w:val="single" w:color="auto" w:sz="4" w:space="0"/>
      </w:pBdr>
      <w:spacing w:before="100" w:beforeAutospacing="1" w:after="100" w:afterAutospacing="1"/>
      <w:jc w:val="center"/>
    </w:pPr>
    <w:rPr>
      <w:b/>
      <w:bCs/>
    </w:rPr>
  </w:style>
  <w:style w:type="paragraph" w:customStyle="1" w:styleId="54">
    <w:name w:val="xl8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sz w:val="20"/>
      <w:szCs w:val="20"/>
    </w:rPr>
  </w:style>
  <w:style w:type="character" w:customStyle="1" w:styleId="55">
    <w:name w:val="标题 2 字符"/>
    <w:basedOn w:val="19"/>
    <w:semiHidden/>
    <w:qFormat/>
    <w:uiPriority w:val="9"/>
    <w:rPr>
      <w:rFonts w:asciiTheme="majorHAnsi" w:hAnsiTheme="majorHAnsi" w:eastAsiaTheme="majorEastAsia" w:cstheme="majorBidi"/>
      <w:b/>
      <w:bCs/>
      <w:kern w:val="2"/>
      <w:sz w:val="32"/>
      <w:szCs w:val="32"/>
    </w:rPr>
  </w:style>
  <w:style w:type="character" w:customStyle="1" w:styleId="56">
    <w:name w:val="标题 4 字符"/>
    <w:basedOn w:val="19"/>
    <w:semiHidden/>
    <w:qFormat/>
    <w:uiPriority w:val="9"/>
    <w:rPr>
      <w:rFonts w:asciiTheme="majorHAnsi" w:hAnsiTheme="majorHAnsi" w:eastAsiaTheme="majorEastAsia" w:cstheme="majorBidi"/>
      <w:b/>
      <w:bCs/>
      <w:kern w:val="2"/>
      <w:sz w:val="28"/>
      <w:szCs w:val="28"/>
    </w:rPr>
  </w:style>
  <w:style w:type="character" w:customStyle="1" w:styleId="57">
    <w:name w:val="文档结构图 字符1"/>
    <w:link w:val="6"/>
    <w:qFormat/>
    <w:uiPriority w:val="99"/>
    <w:rPr>
      <w:rFonts w:ascii="宋体"/>
      <w:b/>
      <w:kern w:val="2"/>
      <w:sz w:val="18"/>
      <w:szCs w:val="18"/>
    </w:rPr>
  </w:style>
  <w:style w:type="character" w:customStyle="1" w:styleId="58">
    <w:name w:val="批注主题 字符1"/>
    <w:link w:val="17"/>
    <w:qFormat/>
    <w:uiPriority w:val="99"/>
    <w:rPr>
      <w:b/>
      <w:bCs/>
      <w:kern w:val="2"/>
      <w:sz w:val="28"/>
    </w:rPr>
  </w:style>
  <w:style w:type="character" w:customStyle="1" w:styleId="59">
    <w:name w:val="正文文本缩进 Char"/>
    <w:qFormat/>
    <w:uiPriority w:val="0"/>
    <w:rPr>
      <w:rFonts w:ascii="Times New Roman" w:hAnsi="Times New Roman"/>
      <w:sz w:val="21"/>
    </w:rPr>
  </w:style>
  <w:style w:type="character" w:customStyle="1" w:styleId="60">
    <w:name w:val="标题 4 字符1"/>
    <w:link w:val="5"/>
    <w:qFormat/>
    <w:uiPriority w:val="0"/>
    <w:rPr>
      <w:rFonts w:ascii="Arial" w:hAnsi="Arial" w:eastAsia="黑体"/>
      <w:b/>
      <w:sz w:val="28"/>
      <w:lang w:val="zh-CN" w:eastAsia="zh-CN"/>
    </w:rPr>
  </w:style>
  <w:style w:type="character" w:customStyle="1" w:styleId="61">
    <w:name w:val="页眉 Char"/>
    <w:qFormat/>
    <w:uiPriority w:val="0"/>
    <w:rPr>
      <w:rFonts w:ascii="Times New Roman" w:hAnsi="Times New Roman" w:eastAsia="宋体" w:cs="Times New Roman"/>
      <w:b/>
      <w:sz w:val="18"/>
      <w:szCs w:val="20"/>
    </w:rPr>
  </w:style>
  <w:style w:type="character" w:customStyle="1" w:styleId="62">
    <w:name w:val="Andy_2级 Char"/>
    <w:link w:val="63"/>
    <w:qFormat/>
    <w:uiPriority w:val="0"/>
    <w:rPr>
      <w:sz w:val="24"/>
    </w:rPr>
  </w:style>
  <w:style w:type="paragraph" w:customStyle="1" w:styleId="63">
    <w:name w:val="Andy_2级"/>
    <w:basedOn w:val="1"/>
    <w:link w:val="62"/>
    <w:qFormat/>
    <w:uiPriority w:val="0"/>
    <w:pPr>
      <w:widowControl w:val="0"/>
      <w:numPr>
        <w:ilvl w:val="1"/>
        <w:numId w:val="1"/>
      </w:numPr>
      <w:tabs>
        <w:tab w:val="left" w:pos="1280"/>
      </w:tabs>
      <w:spacing w:line="360" w:lineRule="auto"/>
      <w:jc w:val="both"/>
    </w:pPr>
    <w:rPr>
      <w:rFonts w:ascii="Times New Roman" w:hAnsi="Times New Roman" w:cs="Times New Roman"/>
      <w:szCs w:val="20"/>
    </w:rPr>
  </w:style>
  <w:style w:type="character" w:customStyle="1" w:styleId="64">
    <w:name w:val="正文文本缩进 2 字符1"/>
    <w:link w:val="11"/>
    <w:qFormat/>
    <w:uiPriority w:val="0"/>
    <w:rPr>
      <w:kern w:val="2"/>
      <w:sz w:val="21"/>
      <w:szCs w:val="24"/>
    </w:rPr>
  </w:style>
  <w:style w:type="character" w:customStyle="1" w:styleId="65">
    <w:name w:val="页脚 Char"/>
    <w:qFormat/>
    <w:uiPriority w:val="99"/>
    <w:rPr>
      <w:rFonts w:ascii="Times New Roman" w:hAnsi="Times New Roman" w:eastAsia="宋体" w:cs="Times New Roman"/>
      <w:b/>
      <w:sz w:val="18"/>
      <w:szCs w:val="20"/>
    </w:rPr>
  </w:style>
  <w:style w:type="character" w:customStyle="1" w:styleId="66">
    <w:name w:val="批注文字 字符"/>
    <w:semiHidden/>
    <w:qFormat/>
    <w:uiPriority w:val="0"/>
    <w:rPr>
      <w:rFonts w:ascii="宋体" w:hAnsi="Times New Roman" w:eastAsia="宋体" w:cs="Times New Roman"/>
      <w:kern w:val="0"/>
      <w:sz w:val="24"/>
      <w:szCs w:val="20"/>
    </w:rPr>
  </w:style>
  <w:style w:type="character" w:customStyle="1" w:styleId="67">
    <w:name w:val="标题 2 字符1"/>
    <w:link w:val="3"/>
    <w:qFormat/>
    <w:uiPriority w:val="0"/>
    <w:rPr>
      <w:rFonts w:ascii="Arial" w:hAnsi="Arial" w:eastAsia="黑体"/>
      <w:b/>
      <w:sz w:val="32"/>
      <w:lang w:val="zh-CN" w:eastAsia="zh-CN"/>
    </w:rPr>
  </w:style>
  <w:style w:type="character" w:customStyle="1" w:styleId="68">
    <w:name w:val="批注框文本 字符1"/>
    <w:link w:val="12"/>
    <w:qFormat/>
    <w:uiPriority w:val="99"/>
    <w:rPr>
      <w:b/>
      <w:sz w:val="18"/>
      <w:szCs w:val="18"/>
    </w:rPr>
  </w:style>
  <w:style w:type="character" w:customStyle="1" w:styleId="69">
    <w:name w:val="批注文字 Char"/>
    <w:semiHidden/>
    <w:qFormat/>
    <w:uiPriority w:val="0"/>
    <w:rPr>
      <w:rFonts w:ascii="宋体" w:hAnsi="Times New Roman" w:eastAsia="宋体" w:cs="Times New Roman"/>
      <w:kern w:val="0"/>
      <w:sz w:val="24"/>
      <w:szCs w:val="20"/>
    </w:rPr>
  </w:style>
  <w:style w:type="character" w:customStyle="1" w:styleId="70">
    <w:name w:val="标题 1 Char"/>
    <w:qFormat/>
    <w:uiPriority w:val="0"/>
    <w:rPr>
      <w:rFonts w:ascii="楷体_GB2312" w:hAnsi="宋体" w:eastAsia="楷体_GB2312"/>
      <w:b/>
      <w:kern w:val="44"/>
      <w:sz w:val="28"/>
    </w:rPr>
  </w:style>
  <w:style w:type="character" w:customStyle="1" w:styleId="71">
    <w:name w:val="纯文本 Char1"/>
    <w:qFormat/>
    <w:locked/>
    <w:uiPriority w:val="99"/>
    <w:rPr>
      <w:rFonts w:ascii="宋体" w:hAnsi="Courier New"/>
    </w:rPr>
  </w:style>
  <w:style w:type="character" w:customStyle="1" w:styleId="72">
    <w:name w:val="脚注文本 字符1"/>
    <w:link w:val="15"/>
    <w:semiHidden/>
    <w:qFormat/>
    <w:uiPriority w:val="0"/>
    <w:rPr>
      <w:kern w:val="2"/>
      <w:sz w:val="18"/>
      <w:szCs w:val="18"/>
    </w:rPr>
  </w:style>
  <w:style w:type="paragraph" w:customStyle="1" w:styleId="73">
    <w:name w:val="_Style 62"/>
    <w:basedOn w:val="1"/>
    <w:next w:val="1"/>
    <w:qFormat/>
    <w:uiPriority w:val="0"/>
    <w:pPr>
      <w:widowControl w:val="0"/>
      <w:tabs>
        <w:tab w:val="right" w:leader="dot" w:pos="9628"/>
      </w:tabs>
      <w:spacing w:line="360" w:lineRule="auto"/>
      <w:ind w:left="561" w:leftChars="200"/>
      <w:jc w:val="both"/>
    </w:pPr>
    <w:rPr>
      <w:rFonts w:cs="Times New Roman"/>
      <w:kern w:val="2"/>
      <w:szCs w:val="32"/>
    </w:rPr>
  </w:style>
  <w:style w:type="character" w:customStyle="1" w:styleId="74">
    <w:name w:val="文档结构图 字符"/>
    <w:basedOn w:val="19"/>
    <w:semiHidden/>
    <w:qFormat/>
    <w:uiPriority w:val="99"/>
    <w:rPr>
      <w:rFonts w:ascii="Microsoft YaHei UI" w:eastAsia="Microsoft YaHei UI"/>
      <w:b/>
      <w:kern w:val="2"/>
      <w:sz w:val="18"/>
      <w:szCs w:val="18"/>
    </w:rPr>
  </w:style>
  <w:style w:type="character" w:customStyle="1" w:styleId="75">
    <w:name w:val="批注文字 字符1"/>
    <w:basedOn w:val="19"/>
    <w:link w:val="7"/>
    <w:semiHidden/>
    <w:qFormat/>
    <w:uiPriority w:val="99"/>
    <w:rPr>
      <w:b/>
      <w:kern w:val="2"/>
      <w:sz w:val="28"/>
    </w:rPr>
  </w:style>
  <w:style w:type="character" w:customStyle="1" w:styleId="76">
    <w:name w:val="批注主题 字符"/>
    <w:basedOn w:val="75"/>
    <w:semiHidden/>
    <w:qFormat/>
    <w:uiPriority w:val="99"/>
    <w:rPr>
      <w:bCs/>
      <w:kern w:val="2"/>
      <w:sz w:val="28"/>
    </w:rPr>
  </w:style>
  <w:style w:type="character" w:customStyle="1" w:styleId="77">
    <w:name w:val="脚注文本 字符"/>
    <w:basedOn w:val="19"/>
    <w:semiHidden/>
    <w:qFormat/>
    <w:uiPriority w:val="99"/>
    <w:rPr>
      <w:b/>
      <w:kern w:val="2"/>
      <w:sz w:val="18"/>
      <w:szCs w:val="18"/>
    </w:rPr>
  </w:style>
  <w:style w:type="character" w:customStyle="1" w:styleId="78">
    <w:name w:val="批注框文本 字符"/>
    <w:basedOn w:val="19"/>
    <w:semiHidden/>
    <w:qFormat/>
    <w:uiPriority w:val="99"/>
    <w:rPr>
      <w:b/>
      <w:kern w:val="2"/>
      <w:sz w:val="18"/>
      <w:szCs w:val="18"/>
    </w:rPr>
  </w:style>
  <w:style w:type="character" w:customStyle="1" w:styleId="79">
    <w:name w:val="正文文本缩进 2 字符"/>
    <w:basedOn w:val="19"/>
    <w:semiHidden/>
    <w:qFormat/>
    <w:uiPriority w:val="99"/>
    <w:rPr>
      <w:b/>
      <w:kern w:val="2"/>
      <w:sz w:val="28"/>
    </w:rPr>
  </w:style>
  <w:style w:type="paragraph" w:customStyle="1" w:styleId="80">
    <w:name w:val="彩色列表 - 强调文字颜色 11"/>
    <w:basedOn w:val="1"/>
    <w:qFormat/>
    <w:uiPriority w:val="34"/>
    <w:pPr>
      <w:widowControl w:val="0"/>
      <w:ind w:firstLine="420" w:firstLineChars="200"/>
      <w:jc w:val="both"/>
    </w:pPr>
    <w:rPr>
      <w:rFonts w:ascii="Calibri" w:hAnsi="Calibri" w:cs="Times New Roman"/>
      <w:kern w:val="2"/>
      <w:sz w:val="21"/>
      <w:szCs w:val="22"/>
    </w:rPr>
  </w:style>
  <w:style w:type="paragraph" w:customStyle="1" w:styleId="81">
    <w:name w:val="Char Char1 Char Char Char Char Char Char"/>
    <w:basedOn w:val="1"/>
    <w:qFormat/>
    <w:uiPriority w:val="0"/>
    <w:pPr>
      <w:spacing w:after="160" w:line="240" w:lineRule="exact"/>
    </w:pPr>
    <w:rPr>
      <w:rFonts w:ascii="Verdana" w:hAnsi="Verdana" w:eastAsia="仿宋_GB2312" w:cs="Times New Roman"/>
      <w:szCs w:val="20"/>
      <w:lang w:eastAsia="en-US"/>
    </w:rPr>
  </w:style>
  <w:style w:type="paragraph" w:customStyle="1" w:styleId="82">
    <w:name w:val="p0"/>
    <w:basedOn w:val="1"/>
    <w:qFormat/>
    <w:uiPriority w:val="0"/>
    <w:pPr>
      <w:jc w:val="both"/>
    </w:pPr>
    <w:rPr>
      <w:rFonts w:ascii="Times New Roman" w:hAnsi="Times New Roman" w:cs="Times New Roman"/>
      <w:sz w:val="21"/>
      <w:szCs w:val="21"/>
    </w:rPr>
  </w:style>
  <w:style w:type="paragraph" w:customStyle="1" w:styleId="83">
    <w:name w:val="修订1"/>
    <w:semiHidden/>
    <w:qFormat/>
    <w:uiPriority w:val="99"/>
    <w:rPr>
      <w:rFonts w:ascii="Times New Roman" w:hAnsi="Times New Roman" w:eastAsia="宋体" w:cs="Times New Roman"/>
      <w:b/>
      <w:kern w:val="2"/>
      <w:sz w:val="28"/>
      <w:lang w:val="en-US" w:eastAsia="zh-CN" w:bidi="ar-SA"/>
    </w:rPr>
  </w:style>
  <w:style w:type="paragraph" w:customStyle="1" w:styleId="84">
    <w:name w:val="_正文段落"/>
    <w:basedOn w:val="1"/>
    <w:qFormat/>
    <w:uiPriority w:val="0"/>
    <w:pPr>
      <w:spacing w:before="100" w:beforeLines="100" w:after="100" w:afterLines="100" w:line="360" w:lineRule="auto"/>
      <w:ind w:firstLine="200" w:firstLineChars="200"/>
    </w:pPr>
    <w:rPr>
      <w:rFonts w:cs="Times New Roman"/>
      <w:szCs w:val="22"/>
    </w:rPr>
  </w:style>
  <w:style w:type="paragraph" w:customStyle="1" w:styleId="85">
    <w:name w:val="msonormal"/>
    <w:basedOn w:val="1"/>
    <w:qFormat/>
    <w:uiPriority w:val="0"/>
    <w:pPr>
      <w:spacing w:before="100" w:beforeAutospacing="1" w:after="100" w:afterAutospacing="1"/>
    </w:pPr>
  </w:style>
  <w:style w:type="paragraph" w:customStyle="1" w:styleId="86">
    <w:name w:val="xl69"/>
    <w:basedOn w:val="1"/>
    <w:qFormat/>
    <w:uiPriority w:val="0"/>
    <w:pPr>
      <w:shd w:val="clear" w:color="000000" w:fill="FFFF00"/>
      <w:spacing w:before="100" w:beforeAutospacing="1" w:after="100" w:afterAutospacing="1"/>
    </w:pPr>
  </w:style>
  <w:style w:type="paragraph" w:customStyle="1" w:styleId="87">
    <w:name w:val="xl89"/>
    <w:basedOn w:val="1"/>
    <w:qFormat/>
    <w:uiPriority w:val="0"/>
    <w:pPr>
      <w:pBdr>
        <w:top w:val="single" w:color="auto" w:sz="4" w:space="0"/>
        <w:bottom w:val="single" w:color="auto" w:sz="4" w:space="0"/>
        <w:right w:val="single" w:color="auto" w:sz="4" w:space="0"/>
      </w:pBdr>
      <w:spacing w:before="100" w:beforeAutospacing="1" w:after="100" w:afterAutospacing="1"/>
      <w:jc w:val="center"/>
    </w:pPr>
  </w:style>
  <w:style w:type="paragraph" w:customStyle="1" w:styleId="88">
    <w:name w:val="xl9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000000"/>
    </w:rPr>
  </w:style>
  <w:style w:type="paragraph" w:customStyle="1" w:styleId="89">
    <w:name w:val="xl9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90">
    <w:name w:val="xl9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000000"/>
      <w:sz w:val="18"/>
      <w:szCs w:val="18"/>
    </w:rPr>
  </w:style>
  <w:style w:type="paragraph" w:customStyle="1" w:styleId="91">
    <w:name w:val="xl93"/>
    <w:basedOn w:val="1"/>
    <w:qFormat/>
    <w:uiPriority w:val="0"/>
    <w:pPr>
      <w:pBdr>
        <w:top w:val="single" w:color="auto" w:sz="4" w:space="0"/>
        <w:left w:val="single" w:color="auto" w:sz="4" w:space="0"/>
        <w:bottom w:val="single" w:color="auto" w:sz="4" w:space="0"/>
      </w:pBdr>
      <w:spacing w:before="100" w:beforeAutospacing="1" w:after="100" w:afterAutospacing="1"/>
    </w:pPr>
    <w:rPr>
      <w:color w:val="000000"/>
      <w:sz w:val="18"/>
      <w:szCs w:val="18"/>
    </w:rPr>
  </w:style>
  <w:style w:type="paragraph" w:customStyle="1" w:styleId="92">
    <w:name w:val="xl94"/>
    <w:basedOn w:val="1"/>
    <w:qFormat/>
    <w:uiPriority w:val="0"/>
    <w:pPr>
      <w:pBdr>
        <w:top w:val="single" w:color="auto" w:sz="4" w:space="0"/>
        <w:bottom w:val="single" w:color="auto" w:sz="4" w:space="0"/>
        <w:right w:val="single" w:color="auto" w:sz="4" w:space="0"/>
      </w:pBdr>
      <w:spacing w:before="100" w:beforeAutospacing="1" w:after="100" w:afterAutospacing="1"/>
    </w:pPr>
  </w:style>
  <w:style w:type="paragraph" w:customStyle="1" w:styleId="93">
    <w:name w:val="xl9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94">
    <w:name w:val="xl9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95">
    <w:name w:val="xl97"/>
    <w:basedOn w:val="1"/>
    <w:qFormat/>
    <w:uiPriority w:val="0"/>
    <w:pPr>
      <w:pBdr>
        <w:top w:val="single" w:color="auto" w:sz="4" w:space="0"/>
        <w:bottom w:val="single" w:color="auto" w:sz="4" w:space="0"/>
      </w:pBdr>
      <w:spacing w:before="100" w:beforeAutospacing="1" w:after="100" w:afterAutospacing="1"/>
      <w:jc w:val="center"/>
    </w:pPr>
    <w:rPr>
      <w:color w:val="000000"/>
      <w:sz w:val="18"/>
      <w:szCs w:val="18"/>
    </w:rPr>
  </w:style>
  <w:style w:type="paragraph" w:customStyle="1" w:styleId="96">
    <w:name w:val="xl98"/>
    <w:basedOn w:val="1"/>
    <w:qFormat/>
    <w:uiPriority w:val="0"/>
    <w:pPr>
      <w:pBdr>
        <w:top w:val="single" w:color="auto" w:sz="4" w:space="0"/>
        <w:bottom w:val="single" w:color="auto" w:sz="4" w:space="0"/>
        <w:right w:val="single" w:color="auto" w:sz="4" w:space="0"/>
      </w:pBdr>
      <w:spacing w:before="100" w:beforeAutospacing="1" w:after="100" w:afterAutospacing="1"/>
      <w:jc w:val="center"/>
    </w:pPr>
    <w:rPr>
      <w:color w:val="000000"/>
      <w:sz w:val="18"/>
      <w:szCs w:val="18"/>
    </w:rPr>
  </w:style>
  <w:style w:type="paragraph" w:customStyle="1" w:styleId="97">
    <w:name w:val="修订2"/>
    <w:hidden/>
    <w:semiHidden/>
    <w:qFormat/>
    <w:uiPriority w:val="99"/>
    <w:rPr>
      <w:rFonts w:ascii="Times New Roman" w:hAnsi="Times New Roman" w:eastAsia="宋体" w:cs="Times New Roman"/>
      <w:b/>
      <w:kern w:val="2"/>
      <w:sz w:val="28"/>
      <w:lang w:val="en-US" w:eastAsia="zh-CN" w:bidi="ar-SA"/>
    </w:rPr>
  </w:style>
  <w:style w:type="character" w:customStyle="1" w:styleId="98">
    <w:name w:val="font21"/>
    <w:qFormat/>
    <w:uiPriority w:val="0"/>
    <w:rPr>
      <w:rFonts w:hint="eastAsia" w:ascii="宋体" w:hAnsi="宋体" w:eastAsia="宋体" w:cs="宋体"/>
      <w:color w:val="000000"/>
      <w:sz w:val="18"/>
      <w:szCs w:val="18"/>
      <w:u w:val="none"/>
    </w:rPr>
  </w:style>
  <w:style w:type="character" w:customStyle="1" w:styleId="99">
    <w:name w:val="font31"/>
    <w:qFormat/>
    <w:uiPriority w:val="0"/>
    <w:rPr>
      <w:rFonts w:hint="default" w:ascii="Times New Roman" w:hAnsi="Times New Roman" w:cs="Times New Roman"/>
      <w:color w:val="000000"/>
      <w:sz w:val="18"/>
      <w:szCs w:val="18"/>
      <w:u w:val="none"/>
    </w:rPr>
  </w:style>
  <w:style w:type="paragraph" w:customStyle="1" w:styleId="100">
    <w:name w:val="列表段落1"/>
    <w:basedOn w:val="1"/>
    <w:unhideWhenUsed/>
    <w:qFormat/>
    <w:uiPriority w:val="99"/>
    <w:pPr>
      <w:widowControl w:val="0"/>
      <w:spacing w:line="240" w:lineRule="atLeast"/>
      <w:ind w:firstLine="420" w:firstLineChars="200"/>
      <w:jc w:val="both"/>
    </w:pPr>
    <w:rPr>
      <w:rFonts w:ascii="Times New Roman" w:hAnsi="Times New Roman" w:cs="Times New Roman"/>
      <w:b/>
      <w:kern w:val="2"/>
      <w:sz w:val="28"/>
      <w:szCs w:val="20"/>
    </w:rPr>
  </w:style>
  <w:style w:type="paragraph" w:styleId="101">
    <w:name w:val="List Paragraph"/>
    <w:basedOn w:val="1"/>
    <w:unhideWhenUsed/>
    <w:qFormat/>
    <w:uiPriority w:val="99"/>
    <w:pPr>
      <w:widowControl w:val="0"/>
      <w:spacing w:line="240" w:lineRule="atLeast"/>
      <w:ind w:firstLine="420" w:firstLineChars="200"/>
      <w:jc w:val="both"/>
    </w:pPr>
    <w:rPr>
      <w:rFonts w:ascii="Times New Roman" w:hAnsi="Times New Roman" w:cs="Times New Roman"/>
      <w:b/>
      <w:kern w:val="2"/>
      <w:sz w:val="28"/>
      <w:szCs w:val="20"/>
    </w:rPr>
  </w:style>
  <w:style w:type="paragraph" w:customStyle="1" w:styleId="102">
    <w:name w:val="TOC Heading1"/>
    <w:next w:val="1"/>
    <w:autoRedefine/>
    <w:qFormat/>
    <w:uiPriority w:val="0"/>
    <w:pPr>
      <w:wordWrap w:val="0"/>
    </w:pPr>
    <w:rPr>
      <w:rFonts w:ascii="Times New Roman" w:hAnsi="Times New Roman" w:eastAsia="宋体" w:cs="Times New Roman"/>
      <w:sz w:val="32"/>
      <w:lang w:val="en-US" w:eastAsia="zh-CN" w:bidi="ar-SA"/>
    </w:rPr>
  </w:style>
  <w:style w:type="paragraph" w:customStyle="1" w:styleId="103">
    <w:name w:val="font5"/>
    <w:basedOn w:val="1"/>
    <w:qFormat/>
    <w:uiPriority w:val="0"/>
    <w:pPr>
      <w:spacing w:before="100" w:beforeAutospacing="1" w:after="100" w:afterAutospacing="1"/>
    </w:pPr>
    <w:rPr>
      <w:sz w:val="22"/>
      <w:szCs w:val="22"/>
    </w:rPr>
  </w:style>
  <w:style w:type="paragraph" w:customStyle="1" w:styleId="104">
    <w:name w:val="font6"/>
    <w:basedOn w:val="1"/>
    <w:qFormat/>
    <w:uiPriority w:val="0"/>
    <w:pPr>
      <w:spacing w:before="100" w:beforeAutospacing="1" w:after="100" w:afterAutospacing="1"/>
    </w:pPr>
    <w:rPr>
      <w:rFonts w:ascii="Calibri" w:hAnsi="Calibri" w:cs="Calibri"/>
      <w:sz w:val="22"/>
      <w:szCs w:val="22"/>
    </w:rPr>
  </w:style>
  <w:style w:type="paragraph" w:customStyle="1" w:styleId="105">
    <w:name w:val="xl9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sz w:val="20"/>
      <w:szCs w:val="20"/>
    </w:rPr>
  </w:style>
  <w:style w:type="paragraph" w:customStyle="1" w:styleId="106">
    <w:name w:val="xl100"/>
    <w:basedOn w:val="1"/>
    <w:qFormat/>
    <w:uiPriority w:val="0"/>
    <w:pPr>
      <w:pBdr>
        <w:top w:val="single" w:color="auto" w:sz="4" w:space="0"/>
        <w:left w:val="single" w:color="auto" w:sz="4" w:space="0"/>
        <w:bottom w:val="single" w:color="auto" w:sz="4" w:space="0"/>
      </w:pBdr>
      <w:spacing w:before="100" w:beforeAutospacing="1" w:after="100" w:afterAutospacing="1"/>
      <w:jc w:val="both"/>
    </w:pPr>
    <w:rPr>
      <w:sz w:val="20"/>
      <w:szCs w:val="20"/>
    </w:rPr>
  </w:style>
  <w:style w:type="paragraph" w:customStyle="1" w:styleId="107">
    <w:name w:val="xl10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108">
    <w:name w:val="xl10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pPr>
    <w:rPr>
      <w:sz w:val="20"/>
      <w:szCs w:val="20"/>
    </w:rPr>
  </w:style>
  <w:style w:type="paragraph" w:customStyle="1" w:styleId="109">
    <w:name w:val="xl103"/>
    <w:basedOn w:val="1"/>
    <w:qFormat/>
    <w:uiPriority w:val="0"/>
    <w:pPr>
      <w:pBdr>
        <w:top w:val="single" w:color="auto" w:sz="4" w:space="0"/>
        <w:left w:val="single" w:color="auto" w:sz="4" w:space="0"/>
        <w:bottom w:val="single" w:color="auto" w:sz="4" w:space="0"/>
      </w:pBdr>
      <w:spacing w:before="100" w:beforeAutospacing="1" w:after="100" w:afterAutospacing="1"/>
      <w:jc w:val="both"/>
    </w:pPr>
    <w:rPr>
      <w:b/>
      <w:bCs/>
      <w:sz w:val="20"/>
      <w:szCs w:val="20"/>
    </w:rPr>
  </w:style>
  <w:style w:type="paragraph" w:customStyle="1" w:styleId="110">
    <w:name w:val="xl10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pPr>
    <w:rPr>
      <w:sz w:val="22"/>
      <w:szCs w:val="22"/>
    </w:rPr>
  </w:style>
  <w:style w:type="paragraph" w:customStyle="1" w:styleId="111">
    <w:name w:val="xl10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pPr>
    <w:rPr>
      <w:rFonts w:ascii="Calibri" w:hAnsi="Calibri" w:cs="Calibri"/>
      <w:sz w:val="22"/>
      <w:szCs w:val="22"/>
    </w:rPr>
  </w:style>
  <w:style w:type="paragraph" w:customStyle="1" w:styleId="112">
    <w:name w:val="xl106"/>
    <w:basedOn w:val="1"/>
    <w:qFormat/>
    <w:uiPriority w:val="0"/>
    <w:pPr>
      <w:spacing w:before="100" w:beforeAutospacing="1" w:after="100" w:afterAutospacing="1"/>
    </w:pPr>
    <w:rPr>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36</Pages>
  <Words>1064</Words>
  <Characters>1147</Characters>
  <Lines>171</Lines>
  <Paragraphs>48</Paragraphs>
  <TotalTime>48</TotalTime>
  <ScaleCrop>false</ScaleCrop>
  <LinksUpToDate>false</LinksUpToDate>
  <CharactersWithSpaces>1175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2025-12-16T00:23:00Z</dcterms:created>
  <dc:creator>fangli@js.cmcc</dc:creator>
  <cp:lastModifiedBy>蔡伟君</cp:lastModifiedBy>
  <cp:lastPrinted>2025-12-18T00:56:39Z</cp:lastPrinted>
  <dcterms:modified xsi:type="dcterms:W3CDTF">2025-12-18T01:10:40Z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D74C5DE0237345CB915E194042F4F570_13</vt:lpwstr>
  </property>
  <property fmtid="{D5CDD505-2E9C-101B-9397-08002B2CF9AE}" pid="4" name="KSOTemplateDocerSaveRecord">
    <vt:lpwstr>eyJoZGlkIjoiYTJiZmVmNzMzZDU1YTQ0OWM2ZjI0N2RiNWJmMGE3MDgiLCJ1c2VySWQiOiI2ODEyODczNDEifQ==</vt:lpwstr>
  </property>
</Properties>
</file>