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UPA单流低至高观测SNR预实验报告</w:t>
      </w:r>
    </w:p>
    <w:p>
      <w:r>
        <w:t>2026年10月25日。为解释原20至40 dB曲线为何接近水平，本次将CSI观测SNR扩展至−20、−10、0、10、20、30、40 dB，先使用32个冻结位置，分别测试纯LOS与MIX。数据链路参考SNR仍为10 dB，未随横轴增加。本次是诊断预实验，不替代原400位置正式结果。</w:t>
      </w:r>
    </w:p>
    <w:p>
      <w:pPr>
        <w:pStyle w:val="Heading1"/>
        <w:keepNext/>
      </w:pPr>
      <w:r>
        <w:t>1 实验设置与实现</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trPr>
        <w:tc>
          <w:tcPr>
            <w:tcW w:type="dxa" w:w="2304"/>
            <w:vAlign w:val="center"/>
            <w:shd w:fill="E8EFF6"/>
            <w:tcMar>
              <w:top w:w="50" w:type="dxa"/>
              <w:bottom w:w="50" w:type="dxa"/>
              <w:left w:w="80" w:type="dxa"/>
              <w:right w:w="80" w:type="dxa"/>
            </w:tcMar>
          </w:tcPr>
          <w:p>
            <w:pPr>
              <w:keepNext/>
              <w:spacing w:after="0" w:line="252" w:lineRule="auto"/>
            </w:pPr>
            <w:r>
              <w:rPr>
                <w:b/>
                <w:sz w:val="21"/>
              </w:rPr>
              <w:t>项目</w:t>
            </w:r>
          </w:p>
        </w:tc>
        <w:tc>
          <w:tcPr>
            <w:tcW w:type="dxa" w:w="7488"/>
            <w:vAlign w:val="center"/>
            <w:shd w:fill="E8EFF6"/>
            <w:tcMar>
              <w:top w:w="50" w:type="dxa"/>
              <w:bottom w:w="50" w:type="dxa"/>
              <w:left w:w="80" w:type="dxa"/>
              <w:right w:w="80" w:type="dxa"/>
            </w:tcMar>
          </w:tcPr>
          <w:p>
            <w:pPr>
              <w:keepNext/>
              <w:spacing w:after="0" w:line="252" w:lineRule="auto"/>
            </w:pPr>
            <w:r>
              <w:rPr>
                <w:b/>
                <w:sz w:val="21"/>
              </w:rPr>
              <w:t>设置</w:t>
            </w:r>
          </w:p>
        </w:tc>
      </w:tr>
      <w:tr>
        <w:trPr>
          <w:cantSplit/>
        </w:trPr>
        <w:tc>
          <w:tcPr>
            <w:tcW w:type="dxa" w:w="2304"/>
            <w:vAlign w:val="center"/>
            <w:tcMar>
              <w:top w:w="50" w:type="dxa"/>
              <w:bottom w:w="50" w:type="dxa"/>
              <w:left w:w="80" w:type="dxa"/>
              <w:right w:w="80" w:type="dxa"/>
            </w:tcMar>
          </w:tcPr>
          <w:p>
            <w:pPr>
              <w:keepNext w:val="0"/>
              <w:spacing w:after="0" w:line="252" w:lineRule="auto"/>
            </w:pPr>
            <w:r>
              <w:rPr>
                <w:b w:val="0"/>
                <w:sz w:val="21"/>
              </w:rPr>
              <w:t>位置选择</w:t>
            </w:r>
          </w:p>
        </w:tc>
        <w:tc>
          <w:tcPr>
            <w:tcW w:type="dxa" w:w="7488"/>
            <w:vAlign w:val="center"/>
            <w:tcMar>
              <w:top w:w="50" w:type="dxa"/>
              <w:bottom w:w="50" w:type="dxa"/>
              <w:left w:w="80" w:type="dxa"/>
              <w:right w:w="80" w:type="dxa"/>
            </w:tcMar>
          </w:tcPr>
          <w:p>
            <w:pPr>
              <w:keepNext w:val="0"/>
              <w:spacing w:after="0" w:line="252" w:lineRule="auto"/>
            </w:pPr>
            <w:r>
              <w:rPr>
                <w:b w:val="0"/>
                <w:sz w:val="21"/>
              </w:rPr>
              <w:t>从原1至400号位置等间隔取32个，round(linspace(1,400,32))，未按结果挑选</w:t>
            </w:r>
          </w:p>
        </w:tc>
      </w:tr>
      <w:tr>
        <w:trPr>
          <w:cantSplit/>
        </w:trPr>
        <w:tc>
          <w:tcPr>
            <w:tcW w:type="dxa" w:w="2304"/>
            <w:vAlign w:val="center"/>
            <w:tcMar>
              <w:top w:w="50" w:type="dxa"/>
              <w:bottom w:w="50" w:type="dxa"/>
              <w:left w:w="80" w:type="dxa"/>
              <w:right w:w="80" w:type="dxa"/>
            </w:tcMar>
          </w:tcPr>
          <w:p>
            <w:pPr>
              <w:keepNext w:val="0"/>
              <w:spacing w:after="0" w:line="252" w:lineRule="auto"/>
            </w:pPr>
            <w:r>
              <w:rPr>
                <w:b w:val="0"/>
                <w:sz w:val="21"/>
              </w:rPr>
              <w:t>阵列与协作</w:t>
            </w:r>
          </w:p>
        </w:tc>
        <w:tc>
          <w:tcPr>
            <w:tcW w:type="dxa" w:w="7488"/>
            <w:vAlign w:val="center"/>
            <w:tcMar>
              <w:top w:w="50" w:type="dxa"/>
              <w:bottom w:w="50" w:type="dxa"/>
              <w:left w:w="80" w:type="dxa"/>
              <w:right w:w="80" w:type="dxa"/>
            </w:tcMar>
          </w:tcPr>
          <w:p>
            <w:pPr>
              <w:keepNext w:val="0"/>
              <w:spacing w:after="0" w:line="252" w:lineRule="auto"/>
            </w:pPr>
            <w:r>
              <w:rPr>
                <w:b w:val="0"/>
                <w:sz w:val="21"/>
              </w:rPr>
              <w:t>每AP 32×32单极化UPA，8个协作AP，3个定位参考AP，UE四接收阵元</w:t>
            </w:r>
          </w:p>
        </w:tc>
      </w:tr>
      <w:tr>
        <w:trPr>
          <w:cantSplit/>
        </w:trPr>
        <w:tc>
          <w:tcPr>
            <w:tcW w:type="dxa" w:w="2304"/>
            <w:vAlign w:val="center"/>
            <w:tcMar>
              <w:top w:w="50" w:type="dxa"/>
              <w:bottom w:w="50" w:type="dxa"/>
              <w:left w:w="80" w:type="dxa"/>
              <w:right w:w="80" w:type="dxa"/>
            </w:tcMar>
          </w:tcPr>
          <w:p>
            <w:pPr>
              <w:keepNext w:val="0"/>
              <w:spacing w:after="0" w:line="252" w:lineRule="auto"/>
            </w:pPr>
            <w:r>
              <w:rPr>
                <w:b w:val="0"/>
                <w:sz w:val="21"/>
              </w:rPr>
              <w:t>横轴</w:t>
            </w:r>
          </w:p>
        </w:tc>
        <w:tc>
          <w:tcPr>
            <w:tcW w:type="dxa" w:w="7488"/>
            <w:vAlign w:val="center"/>
            <w:tcMar>
              <w:top w:w="50" w:type="dxa"/>
              <w:bottom w:w="50" w:type="dxa"/>
              <w:left w:w="80" w:type="dxa"/>
              <w:right w:w="80" w:type="dxa"/>
            </w:tcMar>
          </w:tcPr>
          <w:p>
            <w:pPr>
              <w:keepNext w:val="0"/>
              <w:spacing w:after="0" w:line="252" w:lineRule="auto"/>
            </w:pPr>
            <w:r>
              <w:rPr>
                <w:b w:val="0"/>
                <w:sz w:val="21"/>
              </w:rPr>
              <w:t>CSI观测SNR：−20、−10、0、10、20、30、40 dB</w:t>
            </w:r>
          </w:p>
        </w:tc>
      </w:tr>
      <w:tr>
        <w:trPr>
          <w:cantSplit/>
        </w:trPr>
        <w:tc>
          <w:tcPr>
            <w:tcW w:type="dxa" w:w="2304"/>
            <w:vAlign w:val="center"/>
            <w:tcMar>
              <w:top w:w="50" w:type="dxa"/>
              <w:bottom w:w="50" w:type="dxa"/>
              <w:left w:w="80" w:type="dxa"/>
              <w:right w:w="80" w:type="dxa"/>
            </w:tcMar>
          </w:tcPr>
          <w:p>
            <w:pPr>
              <w:keepNext w:val="0"/>
              <w:spacing w:after="0" w:line="252" w:lineRule="auto"/>
            </w:pPr>
            <w:r>
              <w:rPr>
                <w:b w:val="0"/>
                <w:sz w:val="21"/>
              </w:rPr>
              <w:t>信道</w:t>
            </w:r>
          </w:p>
        </w:tc>
        <w:tc>
          <w:tcPr>
            <w:tcW w:type="dxa" w:w="7488"/>
            <w:vAlign w:val="center"/>
            <w:tcMar>
              <w:top w:w="50" w:type="dxa"/>
              <w:bottom w:w="50" w:type="dxa"/>
              <w:left w:w="80" w:type="dxa"/>
              <w:right w:w="80" w:type="dxa"/>
            </w:tcMar>
          </w:tcPr>
          <w:p>
            <w:pPr>
              <w:keepNext w:val="0"/>
              <w:spacing w:after="0" w:line="252" w:lineRule="auto"/>
            </w:pPr>
            <w:r>
              <w:rPr>
                <w:b w:val="0"/>
                <w:sz w:val="21"/>
              </w:rPr>
              <w:t>LOS与MIX分开，MIX的K固定10 dB</w:t>
            </w:r>
          </w:p>
        </w:tc>
      </w:tr>
      <w:tr>
        <w:trPr>
          <w:cantSplit/>
        </w:trPr>
        <w:tc>
          <w:tcPr>
            <w:tcW w:type="dxa" w:w="2304"/>
            <w:vAlign w:val="center"/>
            <w:tcMar>
              <w:top w:w="50" w:type="dxa"/>
              <w:bottom w:w="50" w:type="dxa"/>
              <w:left w:w="80" w:type="dxa"/>
              <w:right w:w="80" w:type="dxa"/>
            </w:tcMar>
          </w:tcPr>
          <w:p>
            <w:pPr>
              <w:keepNext w:val="0"/>
              <w:spacing w:after="0" w:line="252" w:lineRule="auto"/>
            </w:pPr>
            <w:r>
              <w:rPr>
                <w:b w:val="0"/>
                <w:sz w:val="21"/>
              </w:rPr>
              <w:t>数据链路</w:t>
            </w:r>
          </w:p>
        </w:tc>
        <w:tc>
          <w:tcPr>
            <w:tcW w:type="dxa" w:w="7488"/>
            <w:vAlign w:val="center"/>
            <w:tcMar>
              <w:top w:w="50" w:type="dxa"/>
              <w:bottom w:w="50" w:type="dxa"/>
              <w:left w:w="80" w:type="dxa"/>
              <w:right w:w="80" w:type="dxa"/>
            </w:tcMar>
          </w:tcPr>
          <w:p>
            <w:pPr>
              <w:keepNext w:val="0"/>
              <w:spacing w:after="0" w:line="252" w:lineRule="auto"/>
            </w:pPr>
            <w:r>
              <w:rPr>
                <w:b w:val="0"/>
                <w:sz w:val="21"/>
              </w:rPr>
              <w:t>沿用冻结参考数据SNR10 dB，rho=39.2994887549；400 MHz直接换算</w:t>
            </w:r>
          </w:p>
        </w:tc>
      </w:tr>
      <w:tr>
        <w:trPr>
          <w:cantSplit/>
        </w:trPr>
        <w:tc>
          <w:tcPr>
            <w:tcW w:type="dxa" w:w="2304"/>
            <w:vAlign w:val="center"/>
            <w:tcMar>
              <w:top w:w="50" w:type="dxa"/>
              <w:bottom w:w="50" w:type="dxa"/>
              <w:left w:w="80" w:type="dxa"/>
              <w:right w:w="80" w:type="dxa"/>
            </w:tcMar>
          </w:tcPr>
          <w:p>
            <w:pPr>
              <w:keepNext w:val="0"/>
              <w:spacing w:after="0" w:line="252" w:lineRule="auto"/>
            </w:pPr>
            <w:r>
              <w:rPr>
                <w:b w:val="0"/>
                <w:sz w:val="21"/>
              </w:rPr>
              <w:t>反馈与相位</w:t>
            </w:r>
          </w:p>
        </w:tc>
        <w:tc>
          <w:tcPr>
            <w:tcW w:type="dxa" w:w="7488"/>
            <w:vAlign w:val="center"/>
            <w:tcMar>
              <w:top w:w="50" w:type="dxa"/>
              <w:bottom w:w="50" w:type="dxa"/>
              <w:left w:w="80" w:type="dxa"/>
              <w:right w:w="80" w:type="dxa"/>
            </w:tcMar>
          </w:tcPr>
          <w:p>
            <w:pPr>
              <w:keepNext w:val="0"/>
              <w:spacing w:after="0" w:line="252" w:lineRule="auto"/>
            </w:pPr>
            <w:r>
              <w:rPr>
                <w:b w:val="0"/>
                <w:sz w:val="21"/>
              </w:rPr>
              <w:t>原整数协议、13/14/9 bit坐标、4 bit UE相位及现有全部方法保持不变</w:t>
            </w:r>
          </w:p>
        </w:tc>
      </w:tr>
      <w:tr>
        <w:trPr>
          <w:cantSplit/>
        </w:trPr>
        <w:tc>
          <w:tcPr>
            <w:tcW w:type="dxa" w:w="2304"/>
            <w:vAlign w:val="center"/>
            <w:tcMar>
              <w:top w:w="50" w:type="dxa"/>
              <w:bottom w:w="50" w:type="dxa"/>
              <w:left w:w="80" w:type="dxa"/>
              <w:right w:w="80" w:type="dxa"/>
            </w:tcMar>
          </w:tcPr>
          <w:p>
            <w:pPr>
              <w:keepNext w:val="0"/>
              <w:spacing w:after="0" w:line="252" w:lineRule="auto"/>
            </w:pPr>
            <w:r>
              <w:rPr>
                <w:b w:val="0"/>
                <w:sz w:val="21"/>
              </w:rPr>
              <w:t>无观测噪声对照</w:t>
            </w:r>
          </w:p>
        </w:tc>
        <w:tc>
          <w:tcPr>
            <w:tcW w:type="dxa" w:w="7488"/>
            <w:vAlign w:val="center"/>
            <w:tcMar>
              <w:top w:w="50" w:type="dxa"/>
              <w:bottom w:w="50" w:type="dxa"/>
              <w:left w:w="80" w:type="dxa"/>
              <w:right w:w="80" w:type="dxa"/>
            </w:tcMar>
          </w:tcPr>
          <w:p>
            <w:pPr>
              <w:keepNext w:val="0"/>
              <w:spacing w:after="0" w:line="252" w:lineRule="auto"/>
            </w:pPr>
            <w:r>
              <w:rPr>
                <w:b w:val="0"/>
                <w:sz w:val="21"/>
              </w:rPr>
              <w:t>同算法直接使用Htrue生成消息；CPU只接收该空间消息和公共几何，真实信道仅作评价</w:t>
            </w:r>
          </w:p>
        </w:tc>
      </w:tr>
      <w:tr>
        <w:trPr>
          <w:cantSplit/>
        </w:trPr>
        <w:tc>
          <w:tcPr>
            <w:tcW w:type="dxa" w:w="2304"/>
            <w:vAlign w:val="center"/>
            <w:tcMar>
              <w:top w:w="50" w:type="dxa"/>
              <w:bottom w:w="50" w:type="dxa"/>
              <w:left w:w="80" w:type="dxa"/>
              <w:right w:w="80" w:type="dxa"/>
            </w:tcMar>
          </w:tcPr>
          <w:p>
            <w:pPr>
              <w:keepNext w:val="0"/>
              <w:spacing w:after="0" w:line="252" w:lineRule="auto"/>
            </w:pPr>
            <w:r>
              <w:rPr>
                <w:b w:val="0"/>
                <w:sz w:val="21"/>
              </w:rPr>
              <w:t>噪声重复</w:t>
            </w:r>
          </w:p>
        </w:tc>
        <w:tc>
          <w:tcPr>
            <w:tcW w:type="dxa" w:w="7488"/>
            <w:vAlign w:val="center"/>
            <w:tcMar>
              <w:top w:w="50" w:type="dxa"/>
              <w:bottom w:w="50" w:type="dxa"/>
              <w:left w:w="80" w:type="dxa"/>
              <w:right w:w="80" w:type="dxa"/>
            </w:tcMar>
          </w:tcPr>
          <w:p>
            <w:pPr>
              <w:keepNext w:val="0"/>
              <w:spacing w:after="0" w:line="252" w:lineRule="auto"/>
            </w:pPr>
            <w:r>
              <w:rPr>
                <w:b w:val="0"/>
                <w:sz w:val="21"/>
              </w:rPr>
              <w:t>每位置、每物理AP使用原冻结噪声矩阵，跨SNR只缩放幅度；每位置一次噪声实现</w:t>
            </w:r>
          </w:p>
        </w:tc>
      </w:tr>
    </w:tbl>
    <w:p>
      <w:pPr>
        <w:spacing w:after="20"/>
      </w:pPr>
    </w:p>
    <w:p>
      <w:r>
        <w:t>横轴只改变信道估计噪声，不改变真实信道或评价端的数据SNR。SVD参考使用真实信道直接求解，因此应保持水平。同算法无观测噪声对照仍受原码本、量化和相位规则约束，不等同于SVD，也不是有限约束下的全局最优上界。</w:t>
      </w:r>
    </w:p>
    <w:p>
      <w:r>
        <w:t>定位是CPU与UE共用的前端，因此两端定位误差相同；分别列图只为保持报告结构。CPU图中的全反馈Type-I(UE)、全反馈Type-II(UE)和Docomo(UE)仍是UE共享参考。</w:t>
      </w:r>
    </w:p>
    <w:p>
      <w:r>
        <w:t>无观测噪声下的CPU对照由原UE完美观测行中已保存的空间整数消息恢复，清除UE相位字段后，由原CPU解码器重新计算相位；未把完整观测信道传入CPU。</w:t>
      </w:r>
    </w:p>
    <w:p>
      <w:pPr>
        <w:pStyle w:val="Heading1"/>
      </w:pPr>
      <w:r>
        <w:t>2 主要发现</w:t>
      </w:r>
    </w:p>
    <w:p>
      <w:r>
        <w:t>纯LOS：位置反馈的坐标解码后平均定位误差从−20 dB的1.23862 m变为40 dB的0.00418833 m；同算法无观测噪声对照为0.00417755 m。CPU平均吞吐量从2665.24变为3387.16 Mbps，UE从2954.07变为3388.38 Mbps。无观测噪声时，量化前的连续定位误差为0.443 mm，量化解码后为4.178 mm。</w:t>
      </w:r>
    </w:p>
    <w:p>
      <w:r>
        <w:t>混合信道：位置反馈的坐标解码后平均定位误差从−20 dB的2.89727 m变为40 dB的0.0100991 m；同算法无观测噪声对照为0.010069 m。CPU平均吞吐量从2078.64变为3190.33 Mbps，UE从2313.55变为3331.43 Mbps。无观测噪声时，量化前的连续定位误差为8.981 mm，量化解码后为10.069 mm。</w:t>
      </w:r>
    </w:p>
    <w:p>
      <w:r>
        <w:t>本次已看到低SNR退化、过渡与高SNR平台。纯LOS中坐标量化后的平台明显高于连续定位平台；MIX中即使去掉观测噪声，连续定位仍有约毫米级至厘米级残差，提高观测SNR无法消除这些残差。UE吞吐量的饱和早于CPU几何相位方案，不能要求同一条SNR轴上的所有方法持续上升。</w:t>
      </w:r>
    </w:p>
    <w:p>
      <w:r>
        <w:t>低SNR段与高SNR段应分开解读；离散码本、量化和主模式投影不保证逐点或每个样本单调。不能把个别有限SNR结果超过同算法无噪声对照解释为噪声有益。是否存在稳定差异需要增加独立噪声重复。</w:t>
      </w:r>
    </w:p>
    <w:p>
      <w:r>
        <w:t>若继续正式扫描，建议优先在−20至0 dB过渡段按5 dB加密，并保留10、20、30、40 dB观察平台。各方法、CPU与UE使用统一横轴，数据链路SNR仍固定；本次不自动替换原400位置结果。</w:t>
      </w:r>
    </w:p>
    <w:p>
      <w:pPr>
        <w:pStyle w:val="Heading1"/>
      </w:pPr>
      <w:r>
        <w:t>3 CPU端预实验</w:t>
      </w:r>
    </w:p>
    <w:p>
      <w:pPr>
        <w:pStyle w:val="Heading2"/>
      </w:pPr>
      <w:r>
        <w:t>CPU纯LOS定位误差随观测SNR变化</w:t>
      </w:r>
    </w:p>
    <w:p>
      <w:pPr>
        <w:keepNext/>
      </w:pPr>
      <w:r>
        <w:t>定位误差单位为m，图片采用对数纵轴以兼顾低SNR大误差与高SNR毫米级误差。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224"/>
        <w:gridCol w:w="1224"/>
        <w:gridCol w:w="1224"/>
        <w:gridCol w:w="1224"/>
        <w:gridCol w:w="1224"/>
        <w:gridCol w:w="1224"/>
        <w:gridCol w:w="122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30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40 dB</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1059"/>
            <w:vAlign w:val="center"/>
            <w:tcMar>
              <w:top w:w="50" w:type="dxa"/>
              <w:bottom w:w="50" w:type="dxa"/>
              <w:left w:w="80" w:type="dxa"/>
              <w:right w:w="80" w:type="dxa"/>
            </w:tcMar>
          </w:tcPr>
          <w:p>
            <w:pPr>
              <w:keepNext/>
              <w:spacing w:after="0" w:line="252" w:lineRule="auto"/>
              <w:jc w:val="center"/>
            </w:pPr>
            <w:r>
              <w:rPr>
                <w:b w:val="0"/>
                <w:sz w:val="21"/>
              </w:rPr>
              <w:t>1.955</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0.07451</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0.02337</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0.007594</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0.002953</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0.001981</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0.001743</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1059"/>
            <w:vAlign w:val="center"/>
            <w:tcMar>
              <w:top w:w="50" w:type="dxa"/>
              <w:bottom w:w="50" w:type="dxa"/>
              <w:left w:w="80" w:type="dxa"/>
              <w:right w:w="80" w:type="dxa"/>
            </w:tcMar>
          </w:tcPr>
          <w:p>
            <w:pPr>
              <w:keepNext/>
              <w:spacing w:after="0" w:line="252" w:lineRule="auto"/>
              <w:jc w:val="center"/>
            </w:pPr>
            <w:r>
              <w:rPr>
                <w:b w:val="0"/>
                <w:sz w:val="21"/>
              </w:rPr>
              <w:t>12.3</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0.2324</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0.2071</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0.2053</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0.2012</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0.2012</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0.2012</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1.239</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0.07496</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0.02384</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0.008576</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0.005094</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0.004278</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0.004188</w:t>
            </w:r>
          </w:p>
        </w:tc>
      </w:tr>
    </w:tbl>
    <w:p>
      <w:pPr>
        <w:spacing w:after="20"/>
      </w:pPr>
    </w:p>
    <w:p>
      <w:pPr>
        <w:keepNext/>
        <w:jc w:val="center"/>
      </w:pPr>
      <w:r>
        <w:drawing>
          <wp:inline xmlns:a="http://schemas.openxmlformats.org/drawingml/2006/main" xmlns:pic="http://schemas.openxmlformats.org/drawingml/2006/picture">
            <wp:extent cx="4846320" cy="3512570"/>
            <wp:docPr id="1" name="Picture 1"/>
            <wp:cNvGraphicFramePr>
              <a:graphicFrameLocks noChangeAspect="1"/>
            </wp:cNvGraphicFramePr>
            <a:graphic>
              <a:graphicData uri="http://schemas.openxmlformats.org/drawingml/2006/picture">
                <pic:pic>
                  <pic:nvPicPr>
                    <pic:cNvPr id="0" name="CPU_LOS_position_SNR.png"/>
                    <pic:cNvPicPr/>
                  </pic:nvPicPr>
                  <pic:blipFill>
                    <a:blip r:embed="rId10"/>
                    <a:stretch>
                      <a:fillRect/>
                    </a:stretch>
                  </pic:blipFill>
                  <pic:spPr>
                    <a:xfrm>
                      <a:off x="0" y="0"/>
                      <a:ext cx="4846320" cy="3512570"/>
                    </a:xfrm>
                    <a:prstGeom prst="rect"/>
                  </pic:spPr>
                </pic:pic>
              </a:graphicData>
            </a:graphic>
          </wp:inline>
        </w:drawing>
      </w:r>
    </w:p>
    <w:p>
      <w:pPr>
        <w:spacing w:after="180"/>
        <w:jc w:val="center"/>
      </w:pPr>
      <w:r>
        <w:rPr>
          <w:sz w:val="20"/>
        </w:rPr>
        <w:t>CPU纯LOS定位误差随CSI观测SNR变化</w:t>
      </w:r>
    </w:p>
    <w:p>
      <w:pPr>
        <w:pStyle w:val="Heading2"/>
      </w:pPr>
      <w:r>
        <w:t>CPU纯LOS吞吐量随观测SNR变化</w:t>
      </w:r>
    </w:p>
    <w:p>
      <w:pPr>
        <w:keepNext/>
      </w:pPr>
      <w:r>
        <w:t>吞吐量单位为Mbps，数据链路条件固定；SVD水平线是预期行为。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224"/>
        <w:gridCol w:w="1224"/>
        <w:gridCol w:w="1224"/>
        <w:gridCol w:w="1224"/>
        <w:gridCol w:w="1224"/>
        <w:gridCol w:w="1224"/>
        <w:gridCol w:w="122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30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40 dB</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SVD参考</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全反馈Type-I(UE)</w:t>
            </w:r>
          </w:p>
        </w:tc>
        <w:tc>
          <w:tcPr>
            <w:tcW w:type="dxa" w:w="1059"/>
            <w:vAlign w:val="center"/>
            <w:tcMar>
              <w:top w:w="50" w:type="dxa"/>
              <w:bottom w:w="50" w:type="dxa"/>
              <w:left w:w="80" w:type="dxa"/>
              <w:right w:w="80" w:type="dxa"/>
            </w:tcMar>
          </w:tcPr>
          <w:p>
            <w:pPr>
              <w:keepNext/>
              <w:spacing w:after="0" w:line="252" w:lineRule="auto"/>
              <w:jc w:val="center"/>
            </w:pPr>
            <w:r>
              <w:rPr>
                <w:b w:val="0"/>
                <w:sz w:val="21"/>
              </w:rPr>
              <w:t>2874.48</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3347.44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3384.86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3387.69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3389.06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3388.25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3388.37</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全反馈Type-II(UE)</w:t>
            </w:r>
          </w:p>
        </w:tc>
        <w:tc>
          <w:tcPr>
            <w:tcW w:type="dxa" w:w="1059"/>
            <w:vAlign w:val="center"/>
            <w:tcMar>
              <w:top w:w="50" w:type="dxa"/>
              <w:bottom w:w="50" w:type="dxa"/>
              <w:left w:w="80" w:type="dxa"/>
              <w:right w:w="80" w:type="dxa"/>
            </w:tcMar>
          </w:tcPr>
          <w:p>
            <w:pPr>
              <w:keepNext/>
              <w:spacing w:after="0" w:line="252" w:lineRule="auto"/>
              <w:jc w:val="center"/>
            </w:pPr>
            <w:r>
              <w:rPr>
                <w:b w:val="0"/>
                <w:sz w:val="21"/>
              </w:rPr>
              <w:t>2694.37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3285.43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3372.72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3388.87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3393.19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3392.09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3392.61</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Docomo(UE)</w:t>
            </w:r>
          </w:p>
        </w:tc>
        <w:tc>
          <w:tcPr>
            <w:tcW w:type="dxa" w:w="1059"/>
            <w:vAlign w:val="center"/>
            <w:tcMar>
              <w:top w:w="50" w:type="dxa"/>
              <w:bottom w:w="50" w:type="dxa"/>
              <w:left w:w="80" w:type="dxa"/>
              <w:right w:w="80" w:type="dxa"/>
            </w:tcMar>
          </w:tcPr>
          <w:p>
            <w:pPr>
              <w:keepNext/>
              <w:spacing w:after="0" w:line="252" w:lineRule="auto"/>
              <w:jc w:val="center"/>
            </w:pPr>
            <w:r>
              <w:rPr>
                <w:b w:val="0"/>
                <w:sz w:val="21"/>
              </w:rPr>
              <w:t>3016.28</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3384.88</w:t>
            </w:r>
          </w:p>
        </w:tc>
        <w:tc>
          <w:tcPr>
            <w:tcW w:type="dxa" w:w="1059"/>
            <w:vAlign w:val="center"/>
            <w:tcMar>
              <w:top w:w="50" w:type="dxa"/>
              <w:bottom w:w="50" w:type="dxa"/>
              <w:left w:w="80" w:type="dxa"/>
              <w:right w:w="80" w:type="dxa"/>
            </w:tcMar>
          </w:tcPr>
          <w:p>
            <w:pPr>
              <w:keepNext/>
              <w:spacing w:after="0" w:line="252" w:lineRule="auto"/>
              <w:jc w:val="center"/>
            </w:pPr>
            <w:r>
              <w:rPr>
                <w:b w:val="0"/>
                <w:sz w:val="21"/>
              </w:rPr>
              <w:t>3401.55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3402.79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3400.21</w:t>
            </w:r>
          </w:p>
        </w:tc>
        <w:tc>
          <w:tcPr>
            <w:tcW w:type="dxa" w:w="1059"/>
            <w:vAlign w:val="center"/>
            <w:tcMar>
              <w:top w:w="50" w:type="dxa"/>
              <w:bottom w:w="50" w:type="dxa"/>
              <w:left w:w="80" w:type="dxa"/>
              <w:right w:w="80" w:type="dxa"/>
            </w:tcMar>
          </w:tcPr>
          <w:p>
            <w:pPr>
              <w:keepNext/>
              <w:spacing w:after="0" w:line="252" w:lineRule="auto"/>
              <w:jc w:val="center"/>
            </w:pPr>
            <w:r>
              <w:rPr>
                <w:b w:val="0"/>
                <w:sz w:val="21"/>
              </w:rPr>
              <w:t>3400.63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3400.63</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1059"/>
            <w:vAlign w:val="center"/>
            <w:tcMar>
              <w:top w:w="50" w:type="dxa"/>
              <w:bottom w:w="50" w:type="dxa"/>
              <w:left w:w="80" w:type="dxa"/>
              <w:right w:w="80" w:type="dxa"/>
            </w:tcMar>
          </w:tcPr>
          <w:p>
            <w:pPr>
              <w:keepNext/>
              <w:spacing w:after="0" w:line="252" w:lineRule="auto"/>
              <w:jc w:val="center"/>
            </w:pPr>
            <w:r>
              <w:rPr>
                <w:b w:val="0"/>
                <w:sz w:val="21"/>
              </w:rPr>
              <w:t>2889.11</w:t>
            </w:r>
          </w:p>
        </w:tc>
        <w:tc>
          <w:tcPr>
            <w:tcW w:type="dxa" w:w="1059"/>
            <w:vAlign w:val="center"/>
            <w:tcMar>
              <w:top w:w="50" w:type="dxa"/>
              <w:bottom w:w="50" w:type="dxa"/>
              <w:left w:w="80" w:type="dxa"/>
              <w:right w:w="80" w:type="dxa"/>
            </w:tcMar>
          </w:tcPr>
          <w:p>
            <w:pPr>
              <w:keepNext/>
              <w:spacing w:after="0" w:line="252" w:lineRule="auto"/>
              <w:jc w:val="center"/>
            </w:pPr>
            <w:r>
              <w:rPr>
                <w:b w:val="0"/>
                <w:sz w:val="21"/>
              </w:rPr>
              <w:t>3015.47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3139.53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3205.17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3343.27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3370.06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3377.75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1059"/>
            <w:vAlign w:val="center"/>
            <w:tcMar>
              <w:top w:w="50" w:type="dxa"/>
              <w:bottom w:w="50" w:type="dxa"/>
              <w:left w:w="80" w:type="dxa"/>
              <w:right w:w="80" w:type="dxa"/>
            </w:tcMar>
          </w:tcPr>
          <w:p>
            <w:pPr>
              <w:keepNext/>
              <w:spacing w:after="0" w:line="252" w:lineRule="auto"/>
              <w:jc w:val="center"/>
            </w:pPr>
            <w:r>
              <w:rPr>
                <w:b w:val="0"/>
                <w:sz w:val="21"/>
              </w:rPr>
              <w:t>2340.95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3015.00</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2981.52</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2946.07</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2935.54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2935.54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2935.54</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2665.24</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3023.36</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3138.67</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3215.15</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3357.23</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3384.21</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3387.16</w:t>
            </w:r>
          </w:p>
        </w:tc>
      </w:tr>
    </w:tbl>
    <w:p>
      <w:pPr>
        <w:spacing w:after="20"/>
      </w:pPr>
    </w:p>
    <w:p>
      <w:pPr>
        <w:keepNext/>
        <w:jc w:val="center"/>
      </w:pPr>
      <w:r>
        <w:drawing>
          <wp:inline xmlns:a="http://schemas.openxmlformats.org/drawingml/2006/main" xmlns:pic="http://schemas.openxmlformats.org/drawingml/2006/picture">
            <wp:extent cx="4846320" cy="3437163"/>
            <wp:docPr id="2" name="Picture 2"/>
            <wp:cNvGraphicFramePr>
              <a:graphicFrameLocks noChangeAspect="1"/>
            </wp:cNvGraphicFramePr>
            <a:graphic>
              <a:graphicData uri="http://schemas.openxmlformats.org/drawingml/2006/picture">
                <pic:pic>
                  <pic:nvPicPr>
                    <pic:cNvPr id="0" name="CPU_LOS_throughput_SNR.png"/>
                    <pic:cNvPicPr/>
                  </pic:nvPicPr>
                  <pic:blipFill>
                    <a:blip r:embed="rId11"/>
                    <a:stretch>
                      <a:fillRect/>
                    </a:stretch>
                  </pic:blipFill>
                  <pic:spPr>
                    <a:xfrm>
                      <a:off x="0" y="0"/>
                      <a:ext cx="4846320" cy="3437163"/>
                    </a:xfrm>
                    <a:prstGeom prst="rect"/>
                  </pic:spPr>
                </pic:pic>
              </a:graphicData>
            </a:graphic>
          </wp:inline>
        </w:drawing>
      </w:r>
    </w:p>
    <w:p>
      <w:pPr>
        <w:spacing w:after="180"/>
        <w:jc w:val="center"/>
      </w:pPr>
      <w:r>
        <w:rPr>
          <w:sz w:val="20"/>
        </w:rPr>
        <w:t>CPU纯LOS吞吐量随CSI观测SNR变化</w:t>
      </w:r>
    </w:p>
    <w:p>
      <w:pPr>
        <w:pStyle w:val="Heading2"/>
        <w:keepNext/>
      </w:pPr>
      <w:r>
        <w:t>CPU纯LOS同算法无观测噪声对照</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3708"/>
            <w:vAlign w:val="center"/>
            <w:shd w:fill="E8EFF6"/>
            <w:tcMar>
              <w:top w:w="50" w:type="dxa"/>
              <w:bottom w:w="50" w:type="dxa"/>
              <w:left w:w="80" w:type="dxa"/>
              <w:right w:w="80" w:type="dxa"/>
            </w:tcMar>
          </w:tcPr>
          <w:p>
            <w:pPr>
              <w:keepNext/>
              <w:spacing w:after="0" w:line="252" w:lineRule="auto"/>
              <w:jc w:val="center"/>
            </w:pPr>
            <w:r>
              <w:rPr>
                <w:b/>
                <w:sz w:val="21"/>
              </w:rPr>
              <w:t>定位误差 m</w:t>
            </w:r>
          </w:p>
        </w:tc>
        <w:tc>
          <w:tcPr>
            <w:tcW w:type="dxa" w:w="3708"/>
            <w:vAlign w:val="center"/>
            <w:shd w:fill="E8EFF6"/>
            <w:tcMar>
              <w:top w:w="50" w:type="dxa"/>
              <w:bottom w:w="50" w:type="dxa"/>
              <w:left w:w="80" w:type="dxa"/>
              <w:right w:w="80" w:type="dxa"/>
            </w:tcMar>
          </w:tcPr>
          <w:p>
            <w:pPr>
              <w:keepNext/>
              <w:spacing w:after="0" w:line="252" w:lineRule="auto"/>
              <w:jc w:val="center"/>
            </w:pPr>
            <w:r>
              <w:rPr>
                <w:b/>
                <w:sz w:val="21"/>
              </w:rPr>
              <w:t>吞吐量 Mbps</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SVD参考</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3533.54</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全反馈Type-I(UE)</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3388.45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全反馈Type-II(UE)</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3392.60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Docomo(UE)</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3400.63</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3708"/>
            <w:vAlign w:val="center"/>
            <w:tcMar>
              <w:top w:w="50" w:type="dxa"/>
              <w:bottom w:w="50" w:type="dxa"/>
              <w:left w:w="80" w:type="dxa"/>
              <w:right w:w="80" w:type="dxa"/>
            </w:tcMar>
          </w:tcPr>
          <w:p>
            <w:pPr>
              <w:keepNext/>
              <w:spacing w:after="0" w:line="252" w:lineRule="auto"/>
              <w:jc w:val="center"/>
            </w:pPr>
            <w:r>
              <w:rPr>
                <w:b w:val="0"/>
                <w:sz w:val="21"/>
              </w:rPr>
              <w:t>0.00172544</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3379.95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3708"/>
            <w:vAlign w:val="center"/>
            <w:tcMar>
              <w:top w:w="50" w:type="dxa"/>
              <w:bottom w:w="50" w:type="dxa"/>
              <w:left w:w="80" w:type="dxa"/>
              <w:right w:w="80" w:type="dxa"/>
            </w:tcMar>
          </w:tcPr>
          <w:p>
            <w:pPr>
              <w:keepNext/>
              <w:spacing w:after="0" w:line="252" w:lineRule="auto"/>
              <w:jc w:val="center"/>
            </w:pPr>
            <w:r>
              <w:rPr>
                <w:b w:val="0"/>
                <w:sz w:val="21"/>
              </w:rPr>
              <w:t>0.201229</w:t>
            </w:r>
          </w:p>
        </w:tc>
        <w:tc>
          <w:tcPr>
            <w:tcW w:type="dxa" w:w="3708"/>
            <w:vAlign w:val="center"/>
            <w:tcMar>
              <w:top w:w="50" w:type="dxa"/>
              <w:bottom w:w="50" w:type="dxa"/>
              <w:left w:w="80" w:type="dxa"/>
              <w:right w:w="80" w:type="dxa"/>
            </w:tcMar>
          </w:tcPr>
          <w:p>
            <w:pPr>
              <w:keepNext/>
              <w:spacing w:after="0" w:line="252" w:lineRule="auto"/>
              <w:jc w:val="center"/>
            </w:pPr>
            <w:r>
              <w:rPr>
                <w:b w:val="0"/>
                <w:sz w:val="21"/>
              </w:rPr>
              <w:t>2935.54</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3708"/>
            <w:vAlign w:val="center"/>
            <w:tcMar>
              <w:top w:w="50" w:type="dxa"/>
              <w:bottom w:w="50" w:type="dxa"/>
              <w:left w:w="80" w:type="dxa"/>
              <w:right w:w="80" w:type="dxa"/>
            </w:tcMar>
          </w:tcPr>
          <w:p>
            <w:pPr>
              <w:keepNext w:val="0"/>
              <w:spacing w:after="0" w:line="252" w:lineRule="auto"/>
              <w:jc w:val="center"/>
            </w:pPr>
            <w:r>
              <w:rPr>
                <w:b w:val="0"/>
                <w:sz w:val="21"/>
              </w:rPr>
              <w:t>0.00417755</w:t>
            </w:r>
          </w:p>
        </w:tc>
        <w:tc>
          <w:tcPr>
            <w:tcW w:type="dxa" w:w="3708"/>
            <w:vAlign w:val="center"/>
            <w:tcMar>
              <w:top w:w="50" w:type="dxa"/>
              <w:bottom w:w="50" w:type="dxa"/>
              <w:left w:w="80" w:type="dxa"/>
              <w:right w:w="80" w:type="dxa"/>
            </w:tcMar>
          </w:tcPr>
          <w:p>
            <w:pPr>
              <w:keepNext w:val="0"/>
              <w:spacing w:after="0" w:line="252" w:lineRule="auto"/>
              <w:jc w:val="center"/>
            </w:pPr>
            <w:r>
              <w:rPr>
                <w:b w:val="0"/>
                <w:sz w:val="21"/>
              </w:rPr>
              <w:t>3387.71</w:t>
            </w:r>
          </w:p>
        </w:tc>
      </w:tr>
    </w:tbl>
    <w:p>
      <w:pPr>
        <w:spacing w:after="20"/>
      </w:pPr>
    </w:p>
    <w:p>
      <w:pPr>
        <w:pStyle w:val="Heading2"/>
      </w:pPr>
      <w:r>
        <w:t>CPU混合信道定位误差随观测SNR变化</w:t>
      </w:r>
    </w:p>
    <w:p>
      <w:pPr>
        <w:keepNext/>
      </w:pPr>
      <w:r>
        <w:t>定位误差单位为m，图片采用对数纵轴以兼顾低SNR大误差与高SNR毫米级误差。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224"/>
        <w:gridCol w:w="1224"/>
        <w:gridCol w:w="1224"/>
        <w:gridCol w:w="1224"/>
        <w:gridCol w:w="1224"/>
        <w:gridCol w:w="1224"/>
        <w:gridCol w:w="122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30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40 dB</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1059"/>
            <w:vAlign w:val="center"/>
            <w:tcMar>
              <w:top w:w="50" w:type="dxa"/>
              <w:bottom w:w="50" w:type="dxa"/>
              <w:left w:w="80" w:type="dxa"/>
              <w:right w:w="80" w:type="dxa"/>
            </w:tcMar>
          </w:tcPr>
          <w:p>
            <w:pPr>
              <w:keepNext/>
              <w:spacing w:after="0" w:line="252" w:lineRule="auto"/>
              <w:jc w:val="center"/>
            </w:pPr>
            <w:r>
              <w:rPr>
                <w:b w:val="0"/>
                <w:sz w:val="21"/>
              </w:rPr>
              <w:t>4.83</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0.07805</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0.02498</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0.01164</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0.009472</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0.009321</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0.009107</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1059"/>
            <w:vAlign w:val="center"/>
            <w:tcMar>
              <w:top w:w="50" w:type="dxa"/>
              <w:bottom w:w="50" w:type="dxa"/>
              <w:left w:w="80" w:type="dxa"/>
              <w:right w:w="80" w:type="dxa"/>
            </w:tcMar>
          </w:tcPr>
          <w:p>
            <w:pPr>
              <w:keepNext/>
              <w:spacing w:after="0" w:line="252" w:lineRule="auto"/>
              <w:jc w:val="center"/>
            </w:pPr>
            <w:r>
              <w:rPr>
                <w:b w:val="0"/>
                <w:sz w:val="21"/>
              </w:rPr>
              <w:t>12.19</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0.2404</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0.2128</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0.2062</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0.2058</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0.2058</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0.2058</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2.897</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0.07756</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0.02513</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0.01237</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0.01061</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0.01041</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0.0101</w:t>
            </w:r>
          </w:p>
        </w:tc>
      </w:tr>
    </w:tbl>
    <w:p>
      <w:pPr>
        <w:spacing w:after="20"/>
      </w:pPr>
    </w:p>
    <w:p>
      <w:pPr>
        <w:keepNext/>
        <w:jc w:val="center"/>
      </w:pPr>
      <w:r>
        <w:drawing>
          <wp:inline xmlns:a="http://schemas.openxmlformats.org/drawingml/2006/main" xmlns:pic="http://schemas.openxmlformats.org/drawingml/2006/picture">
            <wp:extent cx="4846320" cy="3482871"/>
            <wp:docPr id="3" name="Picture 3"/>
            <wp:cNvGraphicFramePr>
              <a:graphicFrameLocks noChangeAspect="1"/>
            </wp:cNvGraphicFramePr>
            <a:graphic>
              <a:graphicData uri="http://schemas.openxmlformats.org/drawingml/2006/picture">
                <pic:pic>
                  <pic:nvPicPr>
                    <pic:cNvPr id="0" name="CPU_MIX_position_SNR.png"/>
                    <pic:cNvPicPr/>
                  </pic:nvPicPr>
                  <pic:blipFill>
                    <a:blip r:embed="rId12"/>
                    <a:stretch>
                      <a:fillRect/>
                    </a:stretch>
                  </pic:blipFill>
                  <pic:spPr>
                    <a:xfrm>
                      <a:off x="0" y="0"/>
                      <a:ext cx="4846320" cy="3482871"/>
                    </a:xfrm>
                    <a:prstGeom prst="rect"/>
                  </pic:spPr>
                </pic:pic>
              </a:graphicData>
            </a:graphic>
          </wp:inline>
        </w:drawing>
      </w:r>
    </w:p>
    <w:p>
      <w:pPr>
        <w:spacing w:after="180"/>
        <w:jc w:val="center"/>
      </w:pPr>
      <w:r>
        <w:rPr>
          <w:sz w:val="20"/>
        </w:rPr>
        <w:t>CPU混合信道定位误差随CSI观测SNR变化</w:t>
      </w:r>
    </w:p>
    <w:p>
      <w:pPr>
        <w:pStyle w:val="Heading2"/>
      </w:pPr>
      <w:r>
        <w:t>CPU混合信道吞吐量随观测SNR变化</w:t>
      </w:r>
    </w:p>
    <w:p>
      <w:pPr>
        <w:keepNext/>
      </w:pPr>
      <w:r>
        <w:t>吞吐量单位为Mbps，数据链路条件固定；SVD水平线是预期行为。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224"/>
        <w:gridCol w:w="1224"/>
        <w:gridCol w:w="1224"/>
        <w:gridCol w:w="1224"/>
        <w:gridCol w:w="1224"/>
        <w:gridCol w:w="1224"/>
        <w:gridCol w:w="122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30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40 dB</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SVD参考</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全反馈Type-I(UE)</w:t>
            </w:r>
          </w:p>
        </w:tc>
        <w:tc>
          <w:tcPr>
            <w:tcW w:type="dxa" w:w="1059"/>
            <w:vAlign w:val="center"/>
            <w:tcMar>
              <w:top w:w="50" w:type="dxa"/>
              <w:bottom w:w="50" w:type="dxa"/>
              <w:left w:w="80" w:type="dxa"/>
              <w:right w:w="80" w:type="dxa"/>
            </w:tcMar>
          </w:tcPr>
          <w:p>
            <w:pPr>
              <w:keepNext/>
              <w:spacing w:after="0" w:line="252" w:lineRule="auto"/>
              <w:jc w:val="center"/>
            </w:pPr>
            <w:r>
              <w:rPr>
                <w:b w:val="0"/>
                <w:sz w:val="21"/>
              </w:rPr>
              <w:t>2779.77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3300.15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3304.12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3320.42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3317.69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3318.17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3318.60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全反馈Type-II(UE)</w:t>
            </w:r>
          </w:p>
        </w:tc>
        <w:tc>
          <w:tcPr>
            <w:tcW w:type="dxa" w:w="1059"/>
            <w:vAlign w:val="center"/>
            <w:tcMar>
              <w:top w:w="50" w:type="dxa"/>
              <w:bottom w:w="50" w:type="dxa"/>
              <w:left w:w="80" w:type="dxa"/>
              <w:right w:w="80" w:type="dxa"/>
            </w:tcMar>
          </w:tcPr>
          <w:p>
            <w:pPr>
              <w:keepNext/>
              <w:spacing w:after="0" w:line="252" w:lineRule="auto"/>
              <w:jc w:val="center"/>
            </w:pPr>
            <w:r>
              <w:rPr>
                <w:b w:val="0"/>
                <w:sz w:val="21"/>
              </w:rPr>
              <w:t>2581.53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3257.61</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3330.49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3341.32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3343.03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3342.36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3342.68</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Docomo(UE)</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2934.46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3338.82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3351.29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3352.97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3352.97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3353.07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3353.07</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1059"/>
            <w:vAlign w:val="center"/>
            <w:tcMar>
              <w:top w:w="50" w:type="dxa"/>
              <w:bottom w:w="50" w:type="dxa"/>
              <w:left w:w="80" w:type="dxa"/>
              <w:right w:w="80" w:type="dxa"/>
            </w:tcMar>
          </w:tcPr>
          <w:p>
            <w:pPr>
              <w:keepNext/>
              <w:spacing w:after="0" w:line="252" w:lineRule="auto"/>
              <w:jc w:val="center"/>
            </w:pPr>
            <w:r>
              <w:rPr>
                <w:b w:val="0"/>
                <w:sz w:val="21"/>
              </w:rPr>
              <w:t>2646.82</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2952.56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3069.71</w:t>
            </w:r>
          </w:p>
        </w:tc>
        <w:tc>
          <w:tcPr>
            <w:tcW w:type="dxa" w:w="1059"/>
            <w:vAlign w:val="center"/>
            <w:tcMar>
              <w:top w:w="50" w:type="dxa"/>
              <w:bottom w:w="50" w:type="dxa"/>
              <w:left w:w="80" w:type="dxa"/>
              <w:right w:w="80" w:type="dxa"/>
            </w:tcMar>
          </w:tcPr>
          <w:p>
            <w:pPr>
              <w:keepNext/>
              <w:spacing w:after="0" w:line="252" w:lineRule="auto"/>
              <w:jc w:val="center"/>
            </w:pPr>
            <w:r>
              <w:rPr>
                <w:b w:val="0"/>
                <w:sz w:val="21"/>
              </w:rPr>
              <w:t>3133.87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3182.99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3181.25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3192.91</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1059"/>
            <w:vAlign w:val="center"/>
            <w:tcMar>
              <w:top w:w="50" w:type="dxa"/>
              <w:bottom w:w="50" w:type="dxa"/>
              <w:left w:w="80" w:type="dxa"/>
              <w:right w:w="80" w:type="dxa"/>
            </w:tcMar>
          </w:tcPr>
          <w:p>
            <w:pPr>
              <w:keepNext/>
              <w:spacing w:after="0" w:line="252" w:lineRule="auto"/>
              <w:jc w:val="center"/>
            </w:pPr>
            <w:r>
              <w:rPr>
                <w:b w:val="0"/>
                <w:sz w:val="21"/>
              </w:rPr>
              <w:t>2249.21</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2957.78</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2950.05</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2929.10</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2902.90</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2902.90</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2902.90</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2078.64</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2944.68</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3083.67</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3136.71</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3194.61</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3186.56</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3190.33</w:t>
            </w:r>
          </w:p>
        </w:tc>
      </w:tr>
    </w:tbl>
    <w:p>
      <w:pPr>
        <w:spacing w:after="20"/>
      </w:pPr>
    </w:p>
    <w:p>
      <w:pPr>
        <w:keepNext/>
        <w:jc w:val="center"/>
      </w:pPr>
      <w:r>
        <w:drawing>
          <wp:inline xmlns:a="http://schemas.openxmlformats.org/drawingml/2006/main" xmlns:pic="http://schemas.openxmlformats.org/drawingml/2006/picture">
            <wp:extent cx="4846320" cy="3434484"/>
            <wp:docPr id="4" name="Picture 4"/>
            <wp:cNvGraphicFramePr>
              <a:graphicFrameLocks noChangeAspect="1"/>
            </wp:cNvGraphicFramePr>
            <a:graphic>
              <a:graphicData uri="http://schemas.openxmlformats.org/drawingml/2006/picture">
                <pic:pic>
                  <pic:nvPicPr>
                    <pic:cNvPr id="0" name="CPU_MIX_throughput_SNR.png"/>
                    <pic:cNvPicPr/>
                  </pic:nvPicPr>
                  <pic:blipFill>
                    <a:blip r:embed="rId13"/>
                    <a:stretch>
                      <a:fillRect/>
                    </a:stretch>
                  </pic:blipFill>
                  <pic:spPr>
                    <a:xfrm>
                      <a:off x="0" y="0"/>
                      <a:ext cx="4846320" cy="3434484"/>
                    </a:xfrm>
                    <a:prstGeom prst="rect"/>
                  </pic:spPr>
                </pic:pic>
              </a:graphicData>
            </a:graphic>
          </wp:inline>
        </w:drawing>
      </w:r>
    </w:p>
    <w:p>
      <w:pPr>
        <w:spacing w:after="180"/>
        <w:jc w:val="center"/>
      </w:pPr>
      <w:r>
        <w:rPr>
          <w:sz w:val="20"/>
        </w:rPr>
        <w:t>CPU混合信道吞吐量随CSI观测SNR变化</w:t>
      </w:r>
    </w:p>
    <w:p>
      <w:pPr>
        <w:pStyle w:val="Heading2"/>
        <w:keepNext/>
      </w:pPr>
      <w:r>
        <w:t>CPU混合信道同算法无观测噪声对照</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3708"/>
            <w:vAlign w:val="center"/>
            <w:shd w:fill="E8EFF6"/>
            <w:tcMar>
              <w:top w:w="50" w:type="dxa"/>
              <w:bottom w:w="50" w:type="dxa"/>
              <w:left w:w="80" w:type="dxa"/>
              <w:right w:w="80" w:type="dxa"/>
            </w:tcMar>
          </w:tcPr>
          <w:p>
            <w:pPr>
              <w:keepNext/>
              <w:spacing w:after="0" w:line="252" w:lineRule="auto"/>
              <w:jc w:val="center"/>
            </w:pPr>
            <w:r>
              <w:rPr>
                <w:b/>
                <w:sz w:val="21"/>
              </w:rPr>
              <w:t>定位误差 m</w:t>
            </w:r>
          </w:p>
        </w:tc>
        <w:tc>
          <w:tcPr>
            <w:tcW w:type="dxa" w:w="3708"/>
            <w:vAlign w:val="center"/>
            <w:shd w:fill="E8EFF6"/>
            <w:tcMar>
              <w:top w:w="50" w:type="dxa"/>
              <w:bottom w:w="50" w:type="dxa"/>
              <w:left w:w="80" w:type="dxa"/>
              <w:right w:w="80" w:type="dxa"/>
            </w:tcMar>
          </w:tcPr>
          <w:p>
            <w:pPr>
              <w:keepNext/>
              <w:spacing w:after="0" w:line="252" w:lineRule="auto"/>
              <w:jc w:val="center"/>
            </w:pPr>
            <w:r>
              <w:rPr>
                <w:b/>
                <w:sz w:val="21"/>
              </w:rPr>
              <w:t>吞吐量 Mbps</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SVD参考</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3554.95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全反馈Type-I(UE)</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3318.65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全反馈Type-II(UE)</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3342.75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Docomo(UE)</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3353.07</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3708"/>
            <w:vAlign w:val="center"/>
            <w:tcMar>
              <w:top w:w="50" w:type="dxa"/>
              <w:bottom w:w="50" w:type="dxa"/>
              <w:left w:w="80" w:type="dxa"/>
              <w:right w:w="80" w:type="dxa"/>
            </w:tcMar>
          </w:tcPr>
          <w:p>
            <w:pPr>
              <w:keepNext/>
              <w:spacing w:after="0" w:line="252" w:lineRule="auto"/>
              <w:jc w:val="center"/>
            </w:pPr>
            <w:r>
              <w:rPr>
                <w:b w:val="0"/>
                <w:sz w:val="21"/>
              </w:rPr>
              <w:t>0.00958108</w:t>
            </w:r>
          </w:p>
        </w:tc>
        <w:tc>
          <w:tcPr>
            <w:tcW w:type="dxa" w:w="3708"/>
            <w:vAlign w:val="center"/>
            <w:tcMar>
              <w:top w:w="50" w:type="dxa"/>
              <w:bottom w:w="50" w:type="dxa"/>
              <w:left w:w="80" w:type="dxa"/>
              <w:right w:w="80" w:type="dxa"/>
            </w:tcMar>
          </w:tcPr>
          <w:p>
            <w:pPr>
              <w:keepNext/>
              <w:spacing w:after="0" w:line="252" w:lineRule="auto"/>
              <w:jc w:val="center"/>
            </w:pPr>
            <w:r>
              <w:rPr>
                <w:b w:val="0"/>
                <w:sz w:val="21"/>
              </w:rPr>
              <w:t>3188.88</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3708"/>
            <w:vAlign w:val="center"/>
            <w:tcMar>
              <w:top w:w="50" w:type="dxa"/>
              <w:bottom w:w="50" w:type="dxa"/>
              <w:left w:w="80" w:type="dxa"/>
              <w:right w:w="80" w:type="dxa"/>
            </w:tcMar>
          </w:tcPr>
          <w:p>
            <w:pPr>
              <w:keepNext/>
              <w:spacing w:after="0" w:line="252" w:lineRule="auto"/>
              <w:jc w:val="center"/>
            </w:pPr>
            <w:r>
              <w:rPr>
                <w:b w:val="0"/>
                <w:sz w:val="21"/>
              </w:rPr>
              <w:t>0.205844</w:t>
            </w:r>
          </w:p>
        </w:tc>
        <w:tc>
          <w:tcPr>
            <w:tcW w:type="dxa" w:w="3708"/>
            <w:vAlign w:val="center"/>
            <w:tcMar>
              <w:top w:w="50" w:type="dxa"/>
              <w:bottom w:w="50" w:type="dxa"/>
              <w:left w:w="80" w:type="dxa"/>
              <w:right w:w="80" w:type="dxa"/>
            </w:tcMar>
          </w:tcPr>
          <w:p>
            <w:pPr>
              <w:keepNext/>
              <w:spacing w:after="0" w:line="252" w:lineRule="auto"/>
              <w:jc w:val="center"/>
            </w:pPr>
            <w:r>
              <w:rPr>
                <w:b w:val="0"/>
                <w:sz w:val="21"/>
              </w:rPr>
              <w:t>2902.90</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3708"/>
            <w:vAlign w:val="center"/>
            <w:tcMar>
              <w:top w:w="50" w:type="dxa"/>
              <w:bottom w:w="50" w:type="dxa"/>
              <w:left w:w="80" w:type="dxa"/>
              <w:right w:w="80" w:type="dxa"/>
            </w:tcMar>
          </w:tcPr>
          <w:p>
            <w:pPr>
              <w:keepNext w:val="0"/>
              <w:spacing w:after="0" w:line="252" w:lineRule="auto"/>
              <w:jc w:val="center"/>
            </w:pPr>
            <w:r>
              <w:rPr>
                <w:b w:val="0"/>
                <w:sz w:val="21"/>
              </w:rPr>
              <w:t>0.010069</w:t>
            </w:r>
          </w:p>
        </w:tc>
        <w:tc>
          <w:tcPr>
            <w:tcW w:type="dxa" w:w="3708"/>
            <w:vAlign w:val="center"/>
            <w:tcMar>
              <w:top w:w="50" w:type="dxa"/>
              <w:bottom w:w="50" w:type="dxa"/>
              <w:left w:w="80" w:type="dxa"/>
              <w:right w:w="80" w:type="dxa"/>
            </w:tcMar>
          </w:tcPr>
          <w:p>
            <w:pPr>
              <w:keepNext w:val="0"/>
              <w:spacing w:after="0" w:line="252" w:lineRule="auto"/>
              <w:jc w:val="center"/>
            </w:pPr>
            <w:r>
              <w:rPr>
                <w:b w:val="0"/>
                <w:sz w:val="21"/>
              </w:rPr>
              <w:t>3191.85</w:t>
            </w:r>
          </w:p>
        </w:tc>
      </w:tr>
    </w:tbl>
    <w:p>
      <w:pPr>
        <w:spacing w:after="20"/>
      </w:pPr>
    </w:p>
    <w:p>
      <w:pPr>
        <w:pStyle w:val="Heading1"/>
      </w:pPr>
      <w:r>
        <w:t>4 UE端预实验</w:t>
      </w:r>
    </w:p>
    <w:p>
      <w:pPr>
        <w:pStyle w:val="Heading2"/>
      </w:pPr>
      <w:r>
        <w:t>UE纯LOS定位误差随观测SNR变化</w:t>
      </w:r>
    </w:p>
    <w:p>
      <w:pPr>
        <w:keepNext/>
      </w:pPr>
      <w:r>
        <w:t>定位误差单位为m，图片采用对数纵轴以兼顾低SNR大误差与高SNR毫米级误差。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224"/>
        <w:gridCol w:w="1224"/>
        <w:gridCol w:w="1224"/>
        <w:gridCol w:w="1224"/>
        <w:gridCol w:w="1224"/>
        <w:gridCol w:w="1224"/>
        <w:gridCol w:w="122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30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40 dB</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1059"/>
            <w:vAlign w:val="center"/>
            <w:tcMar>
              <w:top w:w="50" w:type="dxa"/>
              <w:bottom w:w="50" w:type="dxa"/>
              <w:left w:w="80" w:type="dxa"/>
              <w:right w:w="80" w:type="dxa"/>
            </w:tcMar>
          </w:tcPr>
          <w:p>
            <w:pPr>
              <w:keepNext/>
              <w:spacing w:after="0" w:line="252" w:lineRule="auto"/>
              <w:jc w:val="center"/>
            </w:pPr>
            <w:r>
              <w:rPr>
                <w:b w:val="0"/>
                <w:sz w:val="21"/>
              </w:rPr>
              <w:t>1.955</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0.07451</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0.02337</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0.007594</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0.002953</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0.001981</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0.001743</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1059"/>
            <w:vAlign w:val="center"/>
            <w:tcMar>
              <w:top w:w="50" w:type="dxa"/>
              <w:bottom w:w="50" w:type="dxa"/>
              <w:left w:w="80" w:type="dxa"/>
              <w:right w:w="80" w:type="dxa"/>
            </w:tcMar>
          </w:tcPr>
          <w:p>
            <w:pPr>
              <w:keepNext/>
              <w:spacing w:after="0" w:line="252" w:lineRule="auto"/>
              <w:jc w:val="center"/>
            </w:pPr>
            <w:r>
              <w:rPr>
                <w:b w:val="0"/>
                <w:sz w:val="21"/>
              </w:rPr>
              <w:t>12.3</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0.2324</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0.2071</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0.2053</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0.2012</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0.2012</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0.2012</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1.239</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0.07496</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0.02384</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0.008576</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0.005094</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0.004278</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0.004188</w:t>
            </w:r>
          </w:p>
        </w:tc>
      </w:tr>
    </w:tbl>
    <w:p>
      <w:pPr>
        <w:spacing w:after="20"/>
      </w:pPr>
    </w:p>
    <w:p>
      <w:pPr>
        <w:keepNext/>
        <w:jc w:val="center"/>
      </w:pPr>
      <w:r>
        <w:drawing>
          <wp:inline xmlns:a="http://schemas.openxmlformats.org/drawingml/2006/main" xmlns:pic="http://schemas.openxmlformats.org/drawingml/2006/picture">
            <wp:extent cx="4846320" cy="3512570"/>
            <wp:docPr id="5" name="Picture 5"/>
            <wp:cNvGraphicFramePr>
              <a:graphicFrameLocks noChangeAspect="1"/>
            </wp:cNvGraphicFramePr>
            <a:graphic>
              <a:graphicData uri="http://schemas.openxmlformats.org/drawingml/2006/picture">
                <pic:pic>
                  <pic:nvPicPr>
                    <pic:cNvPr id="0" name="UE_LOS_position_SNR.png"/>
                    <pic:cNvPicPr/>
                  </pic:nvPicPr>
                  <pic:blipFill>
                    <a:blip r:embed="rId14"/>
                    <a:stretch>
                      <a:fillRect/>
                    </a:stretch>
                  </pic:blipFill>
                  <pic:spPr>
                    <a:xfrm>
                      <a:off x="0" y="0"/>
                      <a:ext cx="4846320" cy="3512570"/>
                    </a:xfrm>
                    <a:prstGeom prst="rect"/>
                  </pic:spPr>
                </pic:pic>
              </a:graphicData>
            </a:graphic>
          </wp:inline>
        </w:drawing>
      </w:r>
    </w:p>
    <w:p>
      <w:pPr>
        <w:spacing w:after="180"/>
        <w:jc w:val="center"/>
      </w:pPr>
      <w:r>
        <w:rPr>
          <w:sz w:val="20"/>
        </w:rPr>
        <w:t>UE纯LOS定位误差随CSI观测SNR变化</w:t>
      </w:r>
    </w:p>
    <w:p>
      <w:pPr>
        <w:pStyle w:val="Heading2"/>
      </w:pPr>
      <w:r>
        <w:t>UE纯LOS吞吐量随观测SNR变化</w:t>
      </w:r>
    </w:p>
    <w:p>
      <w:pPr>
        <w:keepNext/>
      </w:pPr>
      <w:r>
        <w:t>吞吐量单位为Mbps，数据链路条件固定；SVD水平线是预期行为。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224"/>
        <w:gridCol w:w="1224"/>
        <w:gridCol w:w="1224"/>
        <w:gridCol w:w="1224"/>
        <w:gridCol w:w="1224"/>
        <w:gridCol w:w="1224"/>
        <w:gridCol w:w="122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30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40 dB</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SVD参考</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3533.54</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全反馈Type-I(UE)</w:t>
            </w:r>
          </w:p>
        </w:tc>
        <w:tc>
          <w:tcPr>
            <w:tcW w:type="dxa" w:w="1059"/>
            <w:vAlign w:val="center"/>
            <w:tcMar>
              <w:top w:w="50" w:type="dxa"/>
              <w:bottom w:w="50" w:type="dxa"/>
              <w:left w:w="80" w:type="dxa"/>
              <w:right w:w="80" w:type="dxa"/>
            </w:tcMar>
          </w:tcPr>
          <w:p>
            <w:pPr>
              <w:keepNext/>
              <w:spacing w:after="0" w:line="252" w:lineRule="auto"/>
              <w:jc w:val="center"/>
            </w:pPr>
            <w:r>
              <w:rPr>
                <w:b w:val="0"/>
                <w:sz w:val="21"/>
              </w:rPr>
              <w:t>2874.48</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3347.44</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3384.86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3387.69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3389.06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3388.25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3388.37</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全反馈Type-II(UE)</w:t>
            </w:r>
          </w:p>
        </w:tc>
        <w:tc>
          <w:tcPr>
            <w:tcW w:type="dxa" w:w="1059"/>
            <w:vAlign w:val="center"/>
            <w:tcMar>
              <w:top w:w="50" w:type="dxa"/>
              <w:bottom w:w="50" w:type="dxa"/>
              <w:left w:w="80" w:type="dxa"/>
              <w:right w:w="80" w:type="dxa"/>
            </w:tcMar>
          </w:tcPr>
          <w:p>
            <w:pPr>
              <w:keepNext/>
              <w:spacing w:after="0" w:line="252" w:lineRule="auto"/>
              <w:jc w:val="center"/>
            </w:pPr>
            <w:r>
              <w:rPr>
                <w:b w:val="0"/>
                <w:sz w:val="21"/>
              </w:rPr>
              <w:t>2694.37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3285.43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3372.72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3388.87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3393.19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3392.09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3392.61</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Docomo</w:t>
            </w:r>
          </w:p>
        </w:tc>
        <w:tc>
          <w:tcPr>
            <w:tcW w:type="dxa" w:w="1059"/>
            <w:vAlign w:val="center"/>
            <w:tcMar>
              <w:top w:w="50" w:type="dxa"/>
              <w:bottom w:w="50" w:type="dxa"/>
              <w:left w:w="80" w:type="dxa"/>
              <w:right w:w="80" w:type="dxa"/>
            </w:tcMar>
          </w:tcPr>
          <w:p>
            <w:pPr>
              <w:keepNext/>
              <w:spacing w:after="0" w:line="252" w:lineRule="auto"/>
              <w:jc w:val="center"/>
            </w:pPr>
            <w:r>
              <w:rPr>
                <w:b w:val="0"/>
                <w:sz w:val="21"/>
              </w:rPr>
              <w:t>3016.28</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3384.88</w:t>
            </w:r>
          </w:p>
        </w:tc>
        <w:tc>
          <w:tcPr>
            <w:tcW w:type="dxa" w:w="1059"/>
            <w:vAlign w:val="center"/>
            <w:tcMar>
              <w:top w:w="50" w:type="dxa"/>
              <w:bottom w:w="50" w:type="dxa"/>
              <w:left w:w="80" w:type="dxa"/>
              <w:right w:w="80" w:type="dxa"/>
            </w:tcMar>
          </w:tcPr>
          <w:p>
            <w:pPr>
              <w:keepNext/>
              <w:spacing w:after="0" w:line="252" w:lineRule="auto"/>
              <w:jc w:val="center"/>
            </w:pPr>
            <w:r>
              <w:rPr>
                <w:b w:val="0"/>
                <w:sz w:val="21"/>
              </w:rPr>
              <w:t>3401.55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3402.79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3400.21</w:t>
            </w:r>
          </w:p>
        </w:tc>
        <w:tc>
          <w:tcPr>
            <w:tcW w:type="dxa" w:w="1059"/>
            <w:vAlign w:val="center"/>
            <w:tcMar>
              <w:top w:w="50" w:type="dxa"/>
              <w:bottom w:w="50" w:type="dxa"/>
              <w:left w:w="80" w:type="dxa"/>
              <w:right w:w="80" w:type="dxa"/>
            </w:tcMar>
          </w:tcPr>
          <w:p>
            <w:pPr>
              <w:keepNext/>
              <w:spacing w:after="0" w:line="252" w:lineRule="auto"/>
              <w:jc w:val="center"/>
            </w:pPr>
            <w:r>
              <w:rPr>
                <w:b w:val="0"/>
                <w:sz w:val="21"/>
              </w:rPr>
              <w:t>3400.63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3400.63</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1059"/>
            <w:vAlign w:val="center"/>
            <w:tcMar>
              <w:top w:w="50" w:type="dxa"/>
              <w:bottom w:w="50" w:type="dxa"/>
              <w:left w:w="80" w:type="dxa"/>
              <w:right w:w="80" w:type="dxa"/>
            </w:tcMar>
          </w:tcPr>
          <w:p>
            <w:pPr>
              <w:keepNext/>
              <w:spacing w:after="0" w:line="252" w:lineRule="auto"/>
              <w:jc w:val="center"/>
            </w:pPr>
            <w:r>
              <w:rPr>
                <w:b w:val="0"/>
                <w:sz w:val="21"/>
              </w:rPr>
              <w:t>3194.50</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3386.96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3396.03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3389.46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3389.13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3388.25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3388.38</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1059"/>
            <w:vAlign w:val="center"/>
            <w:tcMar>
              <w:top w:w="50" w:type="dxa"/>
              <w:bottom w:w="50" w:type="dxa"/>
              <w:left w:w="80" w:type="dxa"/>
              <w:right w:w="80" w:type="dxa"/>
            </w:tcMar>
          </w:tcPr>
          <w:p>
            <w:pPr>
              <w:keepNext/>
              <w:spacing w:after="0" w:line="252" w:lineRule="auto"/>
              <w:jc w:val="center"/>
            </w:pPr>
            <w:r>
              <w:rPr>
                <w:b w:val="0"/>
                <w:sz w:val="21"/>
              </w:rPr>
              <w:t>2459.53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3378.93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3388.59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3382.68</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3382.42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3381.75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3381.69</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2954.07</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3388.03</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3396.11</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3389.44</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3389.11</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3388.25</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3388.38</w:t>
            </w:r>
          </w:p>
        </w:tc>
      </w:tr>
    </w:tbl>
    <w:p>
      <w:pPr>
        <w:spacing w:after="20"/>
      </w:pPr>
    </w:p>
    <w:p>
      <w:pPr>
        <w:keepNext/>
        <w:jc w:val="center"/>
      </w:pPr>
      <w:r>
        <w:drawing>
          <wp:inline xmlns:a="http://schemas.openxmlformats.org/drawingml/2006/main" xmlns:pic="http://schemas.openxmlformats.org/drawingml/2006/picture">
            <wp:extent cx="4846320" cy="3437163"/>
            <wp:docPr id="6" name="Picture 6"/>
            <wp:cNvGraphicFramePr>
              <a:graphicFrameLocks noChangeAspect="1"/>
            </wp:cNvGraphicFramePr>
            <a:graphic>
              <a:graphicData uri="http://schemas.openxmlformats.org/drawingml/2006/picture">
                <pic:pic>
                  <pic:nvPicPr>
                    <pic:cNvPr id="0" name="UE_LOS_throughput_SNR.png"/>
                    <pic:cNvPicPr/>
                  </pic:nvPicPr>
                  <pic:blipFill>
                    <a:blip r:embed="rId15"/>
                    <a:stretch>
                      <a:fillRect/>
                    </a:stretch>
                  </pic:blipFill>
                  <pic:spPr>
                    <a:xfrm>
                      <a:off x="0" y="0"/>
                      <a:ext cx="4846320" cy="3437163"/>
                    </a:xfrm>
                    <a:prstGeom prst="rect"/>
                  </pic:spPr>
                </pic:pic>
              </a:graphicData>
            </a:graphic>
          </wp:inline>
        </w:drawing>
      </w:r>
    </w:p>
    <w:p>
      <w:pPr>
        <w:spacing w:after="180"/>
        <w:jc w:val="center"/>
      </w:pPr>
      <w:r>
        <w:rPr>
          <w:sz w:val="20"/>
        </w:rPr>
        <w:t>UE纯LOS吞吐量随CSI观测SNR变化</w:t>
      </w:r>
    </w:p>
    <w:p>
      <w:pPr>
        <w:pStyle w:val="Heading2"/>
        <w:keepNext/>
      </w:pPr>
      <w:r>
        <w:t>UE纯LOS同算法无观测噪声对照</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3708"/>
            <w:vAlign w:val="center"/>
            <w:shd w:fill="E8EFF6"/>
            <w:tcMar>
              <w:top w:w="50" w:type="dxa"/>
              <w:bottom w:w="50" w:type="dxa"/>
              <w:left w:w="80" w:type="dxa"/>
              <w:right w:w="80" w:type="dxa"/>
            </w:tcMar>
          </w:tcPr>
          <w:p>
            <w:pPr>
              <w:keepNext/>
              <w:spacing w:after="0" w:line="252" w:lineRule="auto"/>
              <w:jc w:val="center"/>
            </w:pPr>
            <w:r>
              <w:rPr>
                <w:b/>
                <w:sz w:val="21"/>
              </w:rPr>
              <w:t>定位误差 m</w:t>
            </w:r>
          </w:p>
        </w:tc>
        <w:tc>
          <w:tcPr>
            <w:tcW w:type="dxa" w:w="3708"/>
            <w:vAlign w:val="center"/>
            <w:shd w:fill="E8EFF6"/>
            <w:tcMar>
              <w:top w:w="50" w:type="dxa"/>
              <w:bottom w:w="50" w:type="dxa"/>
              <w:left w:w="80" w:type="dxa"/>
              <w:right w:w="80" w:type="dxa"/>
            </w:tcMar>
          </w:tcPr>
          <w:p>
            <w:pPr>
              <w:keepNext/>
              <w:spacing w:after="0" w:line="252" w:lineRule="auto"/>
              <w:jc w:val="center"/>
            </w:pPr>
            <w:r>
              <w:rPr>
                <w:b/>
                <w:sz w:val="21"/>
              </w:rPr>
              <w:t>吞吐量 Mbps</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SVD参考</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3533.54</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全反馈Type-I(UE)</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3388.45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全反馈Type-II(UE)</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3392.60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Docomo</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3400.63</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3708"/>
            <w:vAlign w:val="center"/>
            <w:tcMar>
              <w:top w:w="50" w:type="dxa"/>
              <w:bottom w:w="50" w:type="dxa"/>
              <w:left w:w="80" w:type="dxa"/>
              <w:right w:w="80" w:type="dxa"/>
            </w:tcMar>
          </w:tcPr>
          <w:p>
            <w:pPr>
              <w:keepNext/>
              <w:spacing w:after="0" w:line="252" w:lineRule="auto"/>
              <w:jc w:val="center"/>
            </w:pPr>
            <w:r>
              <w:rPr>
                <w:b w:val="0"/>
                <w:sz w:val="21"/>
              </w:rPr>
              <w:t>0.00172544</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3388.45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3708"/>
            <w:vAlign w:val="center"/>
            <w:tcMar>
              <w:top w:w="50" w:type="dxa"/>
              <w:bottom w:w="50" w:type="dxa"/>
              <w:left w:w="80" w:type="dxa"/>
              <w:right w:w="80" w:type="dxa"/>
            </w:tcMar>
          </w:tcPr>
          <w:p>
            <w:pPr>
              <w:keepNext/>
              <w:spacing w:after="0" w:line="252" w:lineRule="auto"/>
              <w:jc w:val="center"/>
            </w:pPr>
            <w:r>
              <w:rPr>
                <w:b w:val="0"/>
                <w:sz w:val="21"/>
              </w:rPr>
              <w:t>0.201229</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3381.76</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3708"/>
            <w:vAlign w:val="center"/>
            <w:tcMar>
              <w:top w:w="50" w:type="dxa"/>
              <w:bottom w:w="50" w:type="dxa"/>
              <w:left w:w="80" w:type="dxa"/>
              <w:right w:w="80" w:type="dxa"/>
            </w:tcMar>
          </w:tcPr>
          <w:p>
            <w:pPr>
              <w:keepNext w:val="0"/>
              <w:spacing w:after="0" w:line="252" w:lineRule="auto"/>
              <w:jc w:val="center"/>
            </w:pPr>
            <w:r>
              <w:rPr>
                <w:b w:val="0"/>
                <w:sz w:val="21"/>
              </w:rPr>
              <w:t>0.00417755</w:t>
            </w:r>
          </w:p>
        </w:tc>
        <w:tc>
          <w:tcPr>
            <w:tcW w:type="dxa" w:w="3708"/>
            <w:vAlign w:val="center"/>
            <w:tcMar>
              <w:top w:w="50" w:type="dxa"/>
              <w:bottom w:w="50" w:type="dxa"/>
              <w:left w:w="80" w:type="dxa"/>
              <w:right w:w="80" w:type="dxa"/>
            </w:tcMar>
          </w:tcPr>
          <w:p>
            <w:pPr>
              <w:keepNext w:val="0"/>
              <w:spacing w:after="0" w:line="252" w:lineRule="auto"/>
              <w:jc w:val="center"/>
            </w:pPr>
            <w:r>
              <w:rPr>
                <w:b w:val="0"/>
                <w:sz w:val="21"/>
              </w:rPr>
              <w:t>3388.45</w:t>
            </w:r>
          </w:p>
        </w:tc>
      </w:tr>
    </w:tbl>
    <w:p>
      <w:pPr>
        <w:spacing w:after="20"/>
      </w:pPr>
    </w:p>
    <w:p>
      <w:pPr>
        <w:pStyle w:val="Heading2"/>
      </w:pPr>
      <w:r>
        <w:t>UE混合信道定位误差随观测SNR变化</w:t>
      </w:r>
    </w:p>
    <w:p>
      <w:pPr>
        <w:keepNext/>
      </w:pPr>
      <w:r>
        <w:t>定位误差单位为m，图片采用对数纵轴以兼顾低SNR大误差与高SNR毫米级误差。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224"/>
        <w:gridCol w:w="1224"/>
        <w:gridCol w:w="1224"/>
        <w:gridCol w:w="1224"/>
        <w:gridCol w:w="1224"/>
        <w:gridCol w:w="1224"/>
        <w:gridCol w:w="122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30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40 dB</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1059"/>
            <w:vAlign w:val="center"/>
            <w:tcMar>
              <w:top w:w="50" w:type="dxa"/>
              <w:bottom w:w="50" w:type="dxa"/>
              <w:left w:w="80" w:type="dxa"/>
              <w:right w:w="80" w:type="dxa"/>
            </w:tcMar>
          </w:tcPr>
          <w:p>
            <w:pPr>
              <w:keepNext/>
              <w:spacing w:after="0" w:line="252" w:lineRule="auto"/>
              <w:jc w:val="center"/>
            </w:pPr>
            <w:r>
              <w:rPr>
                <w:b w:val="0"/>
                <w:sz w:val="21"/>
              </w:rPr>
              <w:t>4.83</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0.07805</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0.02498</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0.01164</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0.009472</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0.009321</w:t>
            </w:r>
          </w:p>
        </w:tc>
        <w:tc>
          <w:tcPr>
            <w:tcW w:type="dxa" w:w="1059"/>
            <w:vAlign w:val="center"/>
            <w:tcMar>
              <w:top w:w="50" w:type="dxa"/>
              <w:bottom w:w="50" w:type="dxa"/>
              <w:left w:w="80" w:type="dxa"/>
              <w:right w:w="80" w:type="dxa"/>
            </w:tcMar>
          </w:tcPr>
          <w:p>
            <w:pPr>
              <w:keepNext/>
              <w:spacing w:after="0" w:line="252" w:lineRule="auto"/>
              <w:jc w:val="center"/>
            </w:pPr>
            <w:r>
              <w:rPr>
                <w:b w:val="0"/>
                <w:sz w:val="21"/>
              </w:rPr>
              <w:t>0.009107</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1059"/>
            <w:vAlign w:val="center"/>
            <w:tcMar>
              <w:top w:w="50" w:type="dxa"/>
              <w:bottom w:w="50" w:type="dxa"/>
              <w:left w:w="80" w:type="dxa"/>
              <w:right w:w="80" w:type="dxa"/>
            </w:tcMar>
          </w:tcPr>
          <w:p>
            <w:pPr>
              <w:keepNext/>
              <w:spacing w:after="0" w:line="252" w:lineRule="auto"/>
              <w:jc w:val="center"/>
            </w:pPr>
            <w:r>
              <w:rPr>
                <w:b w:val="0"/>
                <w:sz w:val="21"/>
              </w:rPr>
              <w:t>12.19</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0.2404</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0.2128</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0.2062</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0.2058</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0.2058</w:t>
            </w:r>
          </w:p>
        </w:tc>
        <w:tc>
          <w:tcPr>
            <w:tcW w:type="dxa" w:w="1059"/>
            <w:vAlign w:val="center"/>
            <w:tcMar>
              <w:top w:w="50" w:type="dxa"/>
              <w:bottom w:w="50" w:type="dxa"/>
              <w:left w:w="80" w:type="dxa"/>
              <w:right w:w="80" w:type="dxa"/>
            </w:tcMar>
          </w:tcPr>
          <w:p>
            <w:pPr>
              <w:keepNext/>
              <w:spacing w:after="0" w:line="252" w:lineRule="auto"/>
              <w:jc w:val="center"/>
            </w:pPr>
            <w:r>
              <w:rPr>
                <w:b w:val="0"/>
                <w:sz w:val="21"/>
              </w:rPr>
              <w:t>0.2058</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2.897</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0.07756</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0.02513</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0.01237</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0.01061</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0.01041</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0.0101</w:t>
            </w:r>
          </w:p>
        </w:tc>
      </w:tr>
    </w:tbl>
    <w:p>
      <w:pPr>
        <w:spacing w:after="20"/>
      </w:pPr>
    </w:p>
    <w:p>
      <w:pPr>
        <w:keepNext/>
        <w:jc w:val="center"/>
      </w:pPr>
      <w:r>
        <w:drawing>
          <wp:inline xmlns:a="http://schemas.openxmlformats.org/drawingml/2006/main" xmlns:pic="http://schemas.openxmlformats.org/drawingml/2006/picture">
            <wp:extent cx="4846320" cy="3482871"/>
            <wp:docPr id="7" name="Picture 7"/>
            <wp:cNvGraphicFramePr>
              <a:graphicFrameLocks noChangeAspect="1"/>
            </wp:cNvGraphicFramePr>
            <a:graphic>
              <a:graphicData uri="http://schemas.openxmlformats.org/drawingml/2006/picture">
                <pic:pic>
                  <pic:nvPicPr>
                    <pic:cNvPr id="0" name="UE_MIX_position_SNR.png"/>
                    <pic:cNvPicPr/>
                  </pic:nvPicPr>
                  <pic:blipFill>
                    <a:blip r:embed="rId16"/>
                    <a:stretch>
                      <a:fillRect/>
                    </a:stretch>
                  </pic:blipFill>
                  <pic:spPr>
                    <a:xfrm>
                      <a:off x="0" y="0"/>
                      <a:ext cx="4846320" cy="3482871"/>
                    </a:xfrm>
                    <a:prstGeom prst="rect"/>
                  </pic:spPr>
                </pic:pic>
              </a:graphicData>
            </a:graphic>
          </wp:inline>
        </w:drawing>
      </w:r>
    </w:p>
    <w:p>
      <w:pPr>
        <w:spacing w:after="180"/>
        <w:jc w:val="center"/>
      </w:pPr>
      <w:r>
        <w:rPr>
          <w:sz w:val="20"/>
        </w:rPr>
        <w:t>UE混合信道定位误差随CSI观测SNR变化</w:t>
      </w:r>
    </w:p>
    <w:p>
      <w:pPr>
        <w:pStyle w:val="Heading2"/>
      </w:pPr>
      <w:r>
        <w:t>UE混合信道吞吐量随观测SNR变化</w:t>
      </w:r>
    </w:p>
    <w:p>
      <w:pPr>
        <w:keepNext/>
      </w:pPr>
      <w:r>
        <w:t>吞吐量单位为Mbps，数据链路条件固定；SVD水平线是预期行为。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224"/>
        <w:gridCol w:w="1224"/>
        <w:gridCol w:w="1224"/>
        <w:gridCol w:w="1224"/>
        <w:gridCol w:w="1224"/>
        <w:gridCol w:w="1224"/>
        <w:gridCol w:w="122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10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20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30 dB</w:t>
            </w:r>
          </w:p>
        </w:tc>
        <w:tc>
          <w:tcPr>
            <w:tcW w:type="dxa" w:w="1059"/>
            <w:vAlign w:val="center"/>
            <w:shd w:fill="E8EFF6"/>
            <w:tcMar>
              <w:top w:w="50" w:type="dxa"/>
              <w:bottom w:w="50" w:type="dxa"/>
              <w:left w:w="80" w:type="dxa"/>
              <w:right w:w="80" w:type="dxa"/>
            </w:tcMar>
          </w:tcPr>
          <w:p>
            <w:pPr>
              <w:keepNext/>
              <w:spacing w:after="0" w:line="252" w:lineRule="auto"/>
              <w:jc w:val="center"/>
            </w:pPr>
            <w:r>
              <w:rPr>
                <w:b/>
                <w:sz w:val="21"/>
              </w:rPr>
              <w:t>40 dB</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SVD参考</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3554.95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全反馈Type-I(UE)</w:t>
            </w:r>
          </w:p>
        </w:tc>
        <w:tc>
          <w:tcPr>
            <w:tcW w:type="dxa" w:w="1059"/>
            <w:vAlign w:val="center"/>
            <w:tcMar>
              <w:top w:w="50" w:type="dxa"/>
              <w:bottom w:w="50" w:type="dxa"/>
              <w:left w:w="80" w:type="dxa"/>
              <w:right w:w="80" w:type="dxa"/>
            </w:tcMar>
          </w:tcPr>
          <w:p>
            <w:pPr>
              <w:keepNext/>
              <w:spacing w:after="0" w:line="252" w:lineRule="auto"/>
              <w:jc w:val="center"/>
            </w:pPr>
            <w:r>
              <w:rPr>
                <w:b w:val="0"/>
                <w:sz w:val="21"/>
              </w:rPr>
              <w:t>2779.77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3300.15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3304.12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3320.42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3317.69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3318.17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3318.60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全反馈Type-II(UE)</w:t>
            </w:r>
          </w:p>
        </w:tc>
        <w:tc>
          <w:tcPr>
            <w:tcW w:type="dxa" w:w="1059"/>
            <w:vAlign w:val="center"/>
            <w:tcMar>
              <w:top w:w="50" w:type="dxa"/>
              <w:bottom w:w="50" w:type="dxa"/>
              <w:left w:w="80" w:type="dxa"/>
              <w:right w:w="80" w:type="dxa"/>
            </w:tcMar>
          </w:tcPr>
          <w:p>
            <w:pPr>
              <w:keepNext/>
              <w:spacing w:after="0" w:line="252" w:lineRule="auto"/>
              <w:jc w:val="center"/>
            </w:pPr>
            <w:r>
              <w:rPr>
                <w:b w:val="0"/>
                <w:sz w:val="21"/>
              </w:rPr>
              <w:t>2581.53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3257.61</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3330.49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3341.32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3343.03</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3342.36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3342.68</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Docomo</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2934.46</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3338.82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3351.29</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3352.97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3352.97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3353.07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3353.07</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1059"/>
            <w:vAlign w:val="center"/>
            <w:tcMar>
              <w:top w:w="50" w:type="dxa"/>
              <w:bottom w:w="50" w:type="dxa"/>
              <w:left w:w="80" w:type="dxa"/>
              <w:right w:w="80" w:type="dxa"/>
            </w:tcMar>
          </w:tcPr>
          <w:p>
            <w:pPr>
              <w:keepNext/>
              <w:spacing w:after="0" w:line="252" w:lineRule="auto"/>
              <w:jc w:val="center"/>
            </w:pPr>
            <w:r>
              <w:rPr>
                <w:b w:val="0"/>
                <w:sz w:val="21"/>
              </w:rPr>
              <w:t>2914.85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3336.05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3317.32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3325.15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3331.20</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3330.90</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3331.37</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1059"/>
            <w:vAlign w:val="center"/>
            <w:tcMar>
              <w:top w:w="50" w:type="dxa"/>
              <w:bottom w:w="50" w:type="dxa"/>
              <w:left w:w="80" w:type="dxa"/>
              <w:right w:w="80" w:type="dxa"/>
            </w:tcMar>
          </w:tcPr>
          <w:p>
            <w:pPr>
              <w:keepNext/>
              <w:spacing w:after="0" w:line="252" w:lineRule="auto"/>
              <w:jc w:val="center"/>
            </w:pPr>
            <w:r>
              <w:rPr>
                <w:b w:val="0"/>
                <w:sz w:val="21"/>
              </w:rPr>
              <w:t>2377.40</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3327.68</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3308.62</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3318.80</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3323.65</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3324.17</w:t>
            </w:r>
          </w:p>
        </w:tc>
        <w:tc>
          <w:tcPr>
            <w:tcW w:type="dxa" w:w="1059"/>
            <w:vAlign w:val="center"/>
            <w:tcMar>
              <w:top w:w="50" w:type="dxa"/>
              <w:bottom w:w="50" w:type="dxa"/>
              <w:left w:w="80" w:type="dxa"/>
              <w:right w:w="80" w:type="dxa"/>
            </w:tcMar>
          </w:tcPr>
          <w:p>
            <w:pPr>
              <w:keepNext/>
              <w:spacing w:after="0" w:line="252" w:lineRule="auto"/>
              <w:jc w:val="center"/>
            </w:pPr>
            <w:r>
              <w:rPr>
                <w:b w:val="0"/>
                <w:sz w:val="21"/>
              </w:rPr>
              <w:t>3324.64</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2313.55</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3336.28</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3317.23</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3324.94</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3331.07</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3330.78</w:t>
            </w:r>
          </w:p>
        </w:tc>
        <w:tc>
          <w:tcPr>
            <w:tcW w:type="dxa" w:w="1059"/>
            <w:vAlign w:val="center"/>
            <w:tcMar>
              <w:top w:w="50" w:type="dxa"/>
              <w:bottom w:w="50" w:type="dxa"/>
              <w:left w:w="80" w:type="dxa"/>
              <w:right w:w="80" w:type="dxa"/>
            </w:tcMar>
          </w:tcPr>
          <w:p>
            <w:pPr>
              <w:keepNext w:val="0"/>
              <w:spacing w:after="0" w:line="252" w:lineRule="auto"/>
              <w:jc w:val="center"/>
            </w:pPr>
            <w:r>
              <w:rPr>
                <w:b w:val="0"/>
                <w:sz w:val="21"/>
              </w:rPr>
              <w:t>3331.43</w:t>
            </w:r>
          </w:p>
        </w:tc>
      </w:tr>
    </w:tbl>
    <w:p>
      <w:pPr>
        <w:spacing w:after="20"/>
      </w:pPr>
    </w:p>
    <w:p>
      <w:pPr>
        <w:keepNext/>
        <w:jc w:val="center"/>
      </w:pPr>
      <w:r>
        <w:drawing>
          <wp:inline xmlns:a="http://schemas.openxmlformats.org/drawingml/2006/main" xmlns:pic="http://schemas.openxmlformats.org/drawingml/2006/picture">
            <wp:extent cx="4846320" cy="3434484"/>
            <wp:docPr id="8" name="Picture 8"/>
            <wp:cNvGraphicFramePr>
              <a:graphicFrameLocks noChangeAspect="1"/>
            </wp:cNvGraphicFramePr>
            <a:graphic>
              <a:graphicData uri="http://schemas.openxmlformats.org/drawingml/2006/picture">
                <pic:pic>
                  <pic:nvPicPr>
                    <pic:cNvPr id="0" name="UE_MIX_throughput_SNR.png"/>
                    <pic:cNvPicPr/>
                  </pic:nvPicPr>
                  <pic:blipFill>
                    <a:blip r:embed="rId17"/>
                    <a:stretch>
                      <a:fillRect/>
                    </a:stretch>
                  </pic:blipFill>
                  <pic:spPr>
                    <a:xfrm>
                      <a:off x="0" y="0"/>
                      <a:ext cx="4846320" cy="3434484"/>
                    </a:xfrm>
                    <a:prstGeom prst="rect"/>
                  </pic:spPr>
                </pic:pic>
              </a:graphicData>
            </a:graphic>
          </wp:inline>
        </w:drawing>
      </w:r>
    </w:p>
    <w:p>
      <w:pPr>
        <w:spacing w:after="180"/>
        <w:jc w:val="center"/>
      </w:pPr>
      <w:r>
        <w:rPr>
          <w:sz w:val="20"/>
        </w:rPr>
        <w:t>UE混合信道吞吐量随CSI观测SNR变化</w:t>
      </w:r>
    </w:p>
    <w:p>
      <w:pPr>
        <w:pStyle w:val="Heading2"/>
        <w:keepNext/>
      </w:pPr>
      <w:r>
        <w:t>UE混合信道同算法无观测噪声对照</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方法</w:t>
            </w:r>
          </w:p>
        </w:tc>
        <w:tc>
          <w:tcPr>
            <w:tcW w:type="dxa" w:w="3708"/>
            <w:vAlign w:val="center"/>
            <w:shd w:fill="E8EFF6"/>
            <w:tcMar>
              <w:top w:w="50" w:type="dxa"/>
              <w:bottom w:w="50" w:type="dxa"/>
              <w:left w:w="80" w:type="dxa"/>
              <w:right w:w="80" w:type="dxa"/>
            </w:tcMar>
          </w:tcPr>
          <w:p>
            <w:pPr>
              <w:keepNext/>
              <w:spacing w:after="0" w:line="252" w:lineRule="auto"/>
              <w:jc w:val="center"/>
            </w:pPr>
            <w:r>
              <w:rPr>
                <w:b/>
                <w:sz w:val="21"/>
              </w:rPr>
              <w:t>定位误差 m</w:t>
            </w:r>
          </w:p>
        </w:tc>
        <w:tc>
          <w:tcPr>
            <w:tcW w:type="dxa" w:w="3708"/>
            <w:vAlign w:val="center"/>
            <w:shd w:fill="E8EFF6"/>
            <w:tcMar>
              <w:top w:w="50" w:type="dxa"/>
              <w:bottom w:w="50" w:type="dxa"/>
              <w:left w:w="80" w:type="dxa"/>
              <w:right w:w="80" w:type="dxa"/>
            </w:tcMar>
          </w:tcPr>
          <w:p>
            <w:pPr>
              <w:keepNext/>
              <w:spacing w:after="0" w:line="252" w:lineRule="auto"/>
              <w:jc w:val="center"/>
            </w:pPr>
            <w:r>
              <w:rPr>
                <w:b/>
                <w:sz w:val="21"/>
              </w:rPr>
              <w:t>吞吐量 Mbps</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SVD参考</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3554.95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全反馈Type-I(UE)</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3318.65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全反馈Type-II(UE)</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3342.75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Docomo</w:t>
            </w:r>
          </w:p>
        </w:tc>
        <w:tc>
          <w:tcPr>
            <w:tcW w:type="dxa" w:w="3708"/>
            <w:vAlign w:val="center"/>
            <w:tcMar>
              <w:top w:w="50" w:type="dxa"/>
              <w:bottom w:w="50" w:type="dxa"/>
              <w:left w:w="80" w:type="dxa"/>
              <w:right w:w="80" w:type="dxa"/>
            </w:tcMar>
          </w:tcPr>
          <w:p>
            <w:pPr>
              <w:keepNext/>
              <w:spacing w:after="0" w:line="252" w:lineRule="auto"/>
              <w:jc w:val="center"/>
            </w:pPr>
            <w:r>
              <w:rPr>
                <w:b w:val="0"/>
                <w:sz w:val="21"/>
              </w:rPr>
              <w:t>不适用</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3353.07</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空间频率</w:t>
            </w:r>
          </w:p>
        </w:tc>
        <w:tc>
          <w:tcPr>
            <w:tcW w:type="dxa" w:w="3708"/>
            <w:vAlign w:val="center"/>
            <w:tcMar>
              <w:top w:w="50" w:type="dxa"/>
              <w:bottom w:w="50" w:type="dxa"/>
              <w:left w:w="80" w:type="dxa"/>
              <w:right w:w="80" w:type="dxa"/>
            </w:tcMar>
          </w:tcPr>
          <w:p>
            <w:pPr>
              <w:keepNext/>
              <w:spacing w:after="0" w:line="252" w:lineRule="auto"/>
              <w:jc w:val="center"/>
            </w:pPr>
            <w:r>
              <w:rPr>
                <w:b w:val="0"/>
                <w:sz w:val="21"/>
              </w:rPr>
              <w:t>0.00958108</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3331.37</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DFT索引</w:t>
            </w:r>
          </w:p>
        </w:tc>
        <w:tc>
          <w:tcPr>
            <w:tcW w:type="dxa" w:w="3708"/>
            <w:vAlign w:val="center"/>
            <w:tcMar>
              <w:top w:w="50" w:type="dxa"/>
              <w:bottom w:w="50" w:type="dxa"/>
              <w:left w:w="80" w:type="dxa"/>
              <w:right w:w="80" w:type="dxa"/>
            </w:tcMar>
          </w:tcPr>
          <w:p>
            <w:pPr>
              <w:keepNext/>
              <w:spacing w:after="0" w:line="252" w:lineRule="auto"/>
              <w:jc w:val="center"/>
            </w:pPr>
            <w:r>
              <w:rPr>
                <w:b w:val="0"/>
                <w:sz w:val="21"/>
              </w:rPr>
              <w:t>0.205844</w:t>
            </w:r>
          </w:p>
        </w:tc>
        <w:tc>
          <w:tcPr>
            <w:tcW w:type="dxa" w:w="3708"/>
            <w:vAlign w:val="center"/>
            <w:tcMar>
              <w:top w:w="50" w:type="dxa"/>
              <w:bottom w:w="50" w:type="dxa"/>
              <w:left w:w="80" w:type="dxa"/>
              <w:right w:w="80" w:type="dxa"/>
            </w:tcMar>
          </w:tcPr>
          <w:p>
            <w:pPr>
              <w:keepNext/>
              <w:spacing w:after="0" w:line="252" w:lineRule="auto"/>
              <w:jc w:val="center"/>
            </w:pPr>
            <w:r>
              <w:rPr>
                <w:b w:val="0"/>
                <w:sz w:val="21"/>
              </w:rPr>
              <w:t>3324.85</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位置反馈</w:t>
            </w:r>
          </w:p>
        </w:tc>
        <w:tc>
          <w:tcPr>
            <w:tcW w:type="dxa" w:w="3708"/>
            <w:vAlign w:val="center"/>
            <w:tcMar>
              <w:top w:w="50" w:type="dxa"/>
              <w:bottom w:w="50" w:type="dxa"/>
              <w:left w:w="80" w:type="dxa"/>
              <w:right w:w="80" w:type="dxa"/>
            </w:tcMar>
          </w:tcPr>
          <w:p>
            <w:pPr>
              <w:keepNext w:val="0"/>
              <w:spacing w:after="0" w:line="252" w:lineRule="auto"/>
              <w:jc w:val="center"/>
            </w:pPr>
            <w:r>
              <w:rPr>
                <w:b w:val="0"/>
                <w:sz w:val="21"/>
              </w:rPr>
              <w:t>0.010069</w:t>
            </w:r>
          </w:p>
        </w:tc>
        <w:tc>
          <w:tcPr>
            <w:tcW w:type="dxa" w:w="3708"/>
            <w:vAlign w:val="center"/>
            <w:tcMar>
              <w:top w:w="50" w:type="dxa"/>
              <w:bottom w:w="50" w:type="dxa"/>
              <w:left w:w="80" w:type="dxa"/>
              <w:right w:w="80" w:type="dxa"/>
            </w:tcMar>
          </w:tcPr>
          <w:p>
            <w:pPr>
              <w:keepNext w:val="0"/>
              <w:spacing w:after="0" w:line="252" w:lineRule="auto"/>
              <w:jc w:val="center"/>
            </w:pPr>
            <w:r>
              <w:rPr>
                <w:b w:val="0"/>
                <w:sz w:val="21"/>
              </w:rPr>
              <w:t>3331.22</w:t>
            </w:r>
          </w:p>
        </w:tc>
      </w:tr>
    </w:tbl>
    <w:p>
      <w:pPr>
        <w:spacing w:after="20"/>
      </w:pPr>
    </w:p>
    <w:p>
      <w:pPr>
        <w:pStyle w:val="Heading1"/>
      </w:pPr>
      <w:r>
        <w:t>5 定位平台与低SNR异常的补充诊断</w:t>
      </w:r>
    </w:p>
    <w:p>
      <w:pPr>
        <w:pStyle w:val="Heading2"/>
        <w:keepNext/>
      </w:pPr>
      <w:r>
        <w:t>纯LOS位置反馈连续估计与坐标量化</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2"/>
        <w:gridCol w:w="1632"/>
        <w:gridCol w:w="1632"/>
        <w:gridCol w:w="1632"/>
        <w:gridCol w:w="1632"/>
        <w:gridCol w:w="1632"/>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观测SNR dB</w:t>
            </w:r>
          </w:p>
        </w:tc>
        <w:tc>
          <w:tcPr>
            <w:tcW w:type="dxa" w:w="1483"/>
            <w:vAlign w:val="center"/>
            <w:shd w:fill="E8EFF6"/>
            <w:tcMar>
              <w:top w:w="50" w:type="dxa"/>
              <w:bottom w:w="50" w:type="dxa"/>
              <w:left w:w="80" w:type="dxa"/>
              <w:right w:w="80" w:type="dxa"/>
            </w:tcMar>
          </w:tcPr>
          <w:p>
            <w:pPr>
              <w:keepNext/>
              <w:spacing w:after="0" w:line="252" w:lineRule="auto"/>
              <w:jc w:val="center"/>
            </w:pPr>
            <w:r>
              <w:rPr>
                <w:b/>
                <w:sz w:val="21"/>
              </w:rPr>
              <w:t>连续均值 m</w:t>
            </w:r>
          </w:p>
        </w:tc>
        <w:tc>
          <w:tcPr>
            <w:tcW w:type="dxa" w:w="1483"/>
            <w:vAlign w:val="center"/>
            <w:shd w:fill="E8EFF6"/>
            <w:tcMar>
              <w:top w:w="50" w:type="dxa"/>
              <w:bottom w:w="50" w:type="dxa"/>
              <w:left w:w="80" w:type="dxa"/>
              <w:right w:w="80" w:type="dxa"/>
            </w:tcMar>
          </w:tcPr>
          <w:p>
            <w:pPr>
              <w:keepNext/>
              <w:spacing w:after="0" w:line="252" w:lineRule="auto"/>
              <w:jc w:val="center"/>
            </w:pPr>
            <w:r>
              <w:rPr>
                <w:b/>
                <w:sz w:val="21"/>
              </w:rPr>
              <w:t>解码均值 m</w:t>
            </w:r>
          </w:p>
        </w:tc>
        <w:tc>
          <w:tcPr>
            <w:tcW w:type="dxa" w:w="1483"/>
            <w:vAlign w:val="center"/>
            <w:shd w:fill="E8EFF6"/>
            <w:tcMar>
              <w:top w:w="50" w:type="dxa"/>
              <w:bottom w:w="50" w:type="dxa"/>
              <w:left w:w="80" w:type="dxa"/>
              <w:right w:w="80" w:type="dxa"/>
            </w:tcMar>
          </w:tcPr>
          <w:p>
            <w:pPr>
              <w:keepNext/>
              <w:spacing w:after="0" w:line="252" w:lineRule="auto"/>
              <w:jc w:val="center"/>
            </w:pPr>
            <w:r>
              <w:rPr>
                <w:b/>
                <w:sz w:val="21"/>
              </w:rPr>
              <w:t>解码中位 m</w:t>
            </w:r>
          </w:p>
        </w:tc>
        <w:tc>
          <w:tcPr>
            <w:tcW w:type="dxa" w:w="1483"/>
            <w:vAlign w:val="center"/>
            <w:shd w:fill="E8EFF6"/>
            <w:tcMar>
              <w:top w:w="50" w:type="dxa"/>
              <w:bottom w:w="50" w:type="dxa"/>
              <w:left w:w="80" w:type="dxa"/>
              <w:right w:w="80" w:type="dxa"/>
            </w:tcMar>
          </w:tcPr>
          <w:p>
            <w:pPr>
              <w:keepNext/>
              <w:spacing w:after="0" w:line="252" w:lineRule="auto"/>
              <w:jc w:val="center"/>
            </w:pPr>
            <w:r>
              <w:rPr>
                <w:b/>
                <w:sz w:val="21"/>
              </w:rPr>
              <w:t>解码95%分位 m</w:t>
            </w:r>
          </w:p>
        </w:tc>
        <w:tc>
          <w:tcPr>
            <w:tcW w:type="dxa" w:w="1483"/>
            <w:vAlign w:val="center"/>
            <w:shd w:fill="E8EFF6"/>
            <w:tcMar>
              <w:top w:w="50" w:type="dxa"/>
              <w:bottom w:w="50" w:type="dxa"/>
              <w:left w:w="80" w:type="dxa"/>
              <w:right w:w="80" w:type="dxa"/>
            </w:tcMar>
          </w:tcPr>
          <w:p>
            <w:pPr>
              <w:keepNext/>
              <w:spacing w:after="0" w:line="252" w:lineRule="auto"/>
              <w:jc w:val="center"/>
            </w:pPr>
            <w:r>
              <w:rPr>
                <w:b/>
                <w:sz w:val="21"/>
              </w:rPr>
              <w:t>越界比例</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-20</w:t>
            </w:r>
          </w:p>
        </w:tc>
        <w:tc>
          <w:tcPr>
            <w:tcW w:type="dxa" w:w="1483"/>
            <w:vAlign w:val="center"/>
            <w:tcMar>
              <w:top w:w="50" w:type="dxa"/>
              <w:bottom w:w="50" w:type="dxa"/>
              <w:left w:w="80" w:type="dxa"/>
              <w:right w:w="80" w:type="dxa"/>
            </w:tcMar>
          </w:tcPr>
          <w:p>
            <w:pPr>
              <w:keepNext/>
              <w:spacing w:after="0" w:line="252" w:lineRule="auto"/>
              <w:jc w:val="center"/>
            </w:pPr>
            <w:r>
              <w:rPr>
                <w:b w:val="0"/>
                <w:sz w:val="21"/>
              </w:rPr>
              <w:t>1.95545</w:t>
            </w:r>
          </w:p>
        </w:tc>
        <w:tc>
          <w:tcPr>
            <w:tcW w:type="dxa" w:w="1483"/>
            <w:vAlign w:val="center"/>
            <w:tcMar>
              <w:top w:w="50" w:type="dxa"/>
              <w:bottom w:w="50" w:type="dxa"/>
              <w:left w:w="80" w:type="dxa"/>
              <w:right w:w="80" w:type="dxa"/>
            </w:tcMar>
          </w:tcPr>
          <w:p>
            <w:pPr>
              <w:keepNext/>
              <w:spacing w:after="0" w:line="252" w:lineRule="auto"/>
              <w:jc w:val="center"/>
            </w:pPr>
            <w:r>
              <w:rPr>
                <w:b w:val="0"/>
                <w:sz w:val="21"/>
              </w:rPr>
              <w:t>1.23862</w:t>
            </w:r>
          </w:p>
        </w:tc>
        <w:tc>
          <w:tcPr>
            <w:tcW w:type="dxa" w:w="1483"/>
            <w:vAlign w:val="center"/>
            <w:tcMar>
              <w:top w:w="50" w:type="dxa"/>
              <w:bottom w:w="50" w:type="dxa"/>
              <w:left w:w="80" w:type="dxa"/>
              <w:right w:w="80" w:type="dxa"/>
            </w:tcMar>
          </w:tcPr>
          <w:p>
            <w:pPr>
              <w:keepNext/>
              <w:spacing w:after="0" w:line="252" w:lineRule="auto"/>
              <w:jc w:val="center"/>
            </w:pPr>
            <w:r>
              <w:rPr>
                <w:b w:val="0"/>
                <w:sz w:val="21"/>
              </w:rPr>
              <w:t>0.254567</w:t>
            </w:r>
          </w:p>
        </w:tc>
        <w:tc>
          <w:tcPr>
            <w:tcW w:type="dxa" w:w="1483"/>
            <w:vAlign w:val="center"/>
            <w:tcMar>
              <w:top w:w="50" w:type="dxa"/>
              <w:bottom w:w="50" w:type="dxa"/>
              <w:left w:w="80" w:type="dxa"/>
              <w:right w:w="80" w:type="dxa"/>
            </w:tcMar>
          </w:tcPr>
          <w:p>
            <w:pPr>
              <w:keepNext/>
              <w:spacing w:after="0" w:line="252" w:lineRule="auto"/>
              <w:jc w:val="center"/>
            </w:pPr>
            <w:r>
              <w:rPr>
                <w:b w:val="0"/>
                <w:sz w:val="21"/>
              </w:rPr>
              <w:t>6.70172</w:t>
            </w:r>
          </w:p>
        </w:tc>
        <w:tc>
          <w:tcPr>
            <w:tcW w:type="dxa" w:w="1483"/>
            <w:vAlign w:val="center"/>
            <w:tcMar>
              <w:top w:w="50" w:type="dxa"/>
              <w:bottom w:w="50" w:type="dxa"/>
              <w:left w:w="80" w:type="dxa"/>
              <w:right w:w="80" w:type="dxa"/>
            </w:tcMar>
          </w:tcPr>
          <w:p>
            <w:pPr>
              <w:keepNext/>
              <w:spacing w:after="0" w:line="252" w:lineRule="auto"/>
              <w:jc w:val="center"/>
            </w:pPr>
            <w:r>
              <w:rPr>
                <w:b w:val="0"/>
                <w:sz w:val="21"/>
              </w:rPr>
              <w:t>12.50%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-10</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0.0747087</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0.0749571</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0.0688495</w:t>
            </w:r>
          </w:p>
        </w:tc>
        <w:tc>
          <w:tcPr>
            <w:tcW w:type="dxa" w:w="1483"/>
            <w:vAlign w:val="center"/>
            <w:tcMar>
              <w:top w:w="50" w:type="dxa"/>
              <w:bottom w:w="50" w:type="dxa"/>
              <w:left w:w="80" w:type="dxa"/>
              <w:right w:w="80" w:type="dxa"/>
            </w:tcMar>
          </w:tcPr>
          <w:p>
            <w:pPr>
              <w:keepNext/>
              <w:spacing w:after="0" w:line="252" w:lineRule="auto"/>
              <w:jc w:val="center"/>
            </w:pPr>
            <w:r>
              <w:rPr>
                <w:b w:val="0"/>
                <w:sz w:val="21"/>
              </w:rPr>
              <w:t>0.153488</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0</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0.0233376</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0.0238375</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0.02288</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0.047604</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10</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0.00736795</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0.00857624</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0.00772542</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0.0157455</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20</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0.00236557</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0.00509421</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0.00467483</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0.00786746</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30</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0.00085395</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0.00427841</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0.0042628</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0.00646061</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40</w:t>
            </w:r>
          </w:p>
        </w:tc>
        <w:tc>
          <w:tcPr>
            <w:tcW w:type="dxa" w:w="1483"/>
            <w:vAlign w:val="center"/>
            <w:tcMar>
              <w:top w:w="50" w:type="dxa"/>
              <w:bottom w:w="50" w:type="dxa"/>
              <w:left w:w="80" w:type="dxa"/>
              <w:right w:w="80" w:type="dxa"/>
            </w:tcMar>
          </w:tcPr>
          <w:p>
            <w:pPr>
              <w:keepNext w:val="0"/>
              <w:spacing w:after="0" w:line="252" w:lineRule="auto"/>
              <w:jc w:val="center"/>
            </w:pPr>
            <w:r>
              <w:rPr>
                <w:b w:val="0"/>
                <w:sz w:val="21"/>
              </w:rPr>
              <w:t>0.00049896</w:t>
            </w:r>
          </w:p>
        </w:tc>
        <w:tc>
          <w:tcPr>
            <w:tcW w:type="dxa" w:w="1483"/>
            <w:vAlign w:val="center"/>
            <w:tcMar>
              <w:top w:w="50" w:type="dxa"/>
              <w:bottom w:w="50" w:type="dxa"/>
              <w:left w:w="80" w:type="dxa"/>
              <w:right w:w="80" w:type="dxa"/>
            </w:tcMar>
          </w:tcPr>
          <w:p>
            <w:pPr>
              <w:keepNext w:val="0"/>
              <w:spacing w:after="0" w:line="252" w:lineRule="auto"/>
              <w:jc w:val="center"/>
            </w:pPr>
            <w:r>
              <w:rPr>
                <w:b w:val="0"/>
                <w:sz w:val="21"/>
              </w:rPr>
              <w:t>0.00418833</w:t>
            </w:r>
          </w:p>
        </w:tc>
        <w:tc>
          <w:tcPr>
            <w:tcW w:type="dxa" w:w="1483"/>
            <w:vAlign w:val="center"/>
            <w:tcMar>
              <w:top w:w="50" w:type="dxa"/>
              <w:bottom w:w="50" w:type="dxa"/>
              <w:left w:w="80" w:type="dxa"/>
              <w:right w:w="80" w:type="dxa"/>
            </w:tcMar>
          </w:tcPr>
          <w:p>
            <w:pPr>
              <w:keepNext w:val="0"/>
              <w:spacing w:after="0" w:line="252" w:lineRule="auto"/>
              <w:jc w:val="center"/>
            </w:pPr>
            <w:r>
              <w:rPr>
                <w:b w:val="0"/>
                <w:sz w:val="21"/>
              </w:rPr>
              <w:t>0.0042628</w:t>
            </w:r>
          </w:p>
        </w:tc>
        <w:tc>
          <w:tcPr>
            <w:tcW w:type="dxa" w:w="1483"/>
            <w:vAlign w:val="center"/>
            <w:tcMar>
              <w:top w:w="50" w:type="dxa"/>
              <w:bottom w:w="50" w:type="dxa"/>
              <w:left w:w="80" w:type="dxa"/>
              <w:right w:w="80" w:type="dxa"/>
            </w:tcMar>
          </w:tcPr>
          <w:p>
            <w:pPr>
              <w:keepNext w:val="0"/>
              <w:spacing w:after="0" w:line="252" w:lineRule="auto"/>
              <w:jc w:val="center"/>
            </w:pPr>
            <w:r>
              <w:rPr>
                <w:b w:val="0"/>
                <w:sz w:val="21"/>
              </w:rPr>
              <w:t>0.00644038</w:t>
            </w:r>
          </w:p>
        </w:tc>
        <w:tc>
          <w:tcPr>
            <w:tcW w:type="dxa" w:w="1483"/>
            <w:vAlign w:val="center"/>
            <w:tcMar>
              <w:top w:w="50" w:type="dxa"/>
              <w:bottom w:w="50" w:type="dxa"/>
              <w:left w:w="80" w:type="dxa"/>
              <w:right w:w="80" w:type="dxa"/>
            </w:tcMar>
          </w:tcPr>
          <w:p>
            <w:pPr>
              <w:keepNext w:val="0"/>
              <w:spacing w:after="0" w:line="252" w:lineRule="auto"/>
              <w:jc w:val="center"/>
            </w:pPr>
            <w:r>
              <w:rPr>
                <w:b w:val="0"/>
                <w:sz w:val="21"/>
              </w:rPr>
              <w:t>0.00%</w:t>
            </w:r>
          </w:p>
        </w:tc>
      </w:tr>
    </w:tbl>
    <w:p>
      <w:pPr>
        <w:spacing w:after="20"/>
      </w:pPr>
    </w:p>
    <w:p>
      <w:pPr>
        <w:keepNext/>
        <w:jc w:val="center"/>
      </w:pPr>
      <w:r>
        <w:drawing>
          <wp:inline xmlns:a="http://schemas.openxmlformats.org/drawingml/2006/main" xmlns:pic="http://schemas.openxmlformats.org/drawingml/2006/picture">
            <wp:extent cx="4846320" cy="3512570"/>
            <wp:docPr id="9" name="Picture 9"/>
            <wp:cNvGraphicFramePr>
              <a:graphicFrameLocks noChangeAspect="1"/>
            </wp:cNvGraphicFramePr>
            <a:graphic>
              <a:graphicData uri="http://schemas.openxmlformats.org/drawingml/2006/picture">
                <pic:pic>
                  <pic:nvPicPr>
                    <pic:cNvPr id="0" name="LOS_POS_continuous_vs_quantized.png"/>
                    <pic:cNvPicPr/>
                  </pic:nvPicPr>
                  <pic:blipFill>
                    <a:blip r:embed="rId18"/>
                    <a:stretch>
                      <a:fillRect/>
                    </a:stretch>
                  </pic:blipFill>
                  <pic:spPr>
                    <a:xfrm>
                      <a:off x="0" y="0"/>
                      <a:ext cx="4846320" cy="3512570"/>
                    </a:xfrm>
                    <a:prstGeom prst="rect"/>
                  </pic:spPr>
                </pic:pic>
              </a:graphicData>
            </a:graphic>
          </wp:inline>
        </w:drawing>
      </w:r>
    </w:p>
    <w:p>
      <w:pPr>
        <w:spacing w:after="180"/>
        <w:jc w:val="center"/>
      </w:pPr>
      <w:r>
        <w:rPr>
          <w:sz w:val="20"/>
        </w:rPr>
        <w:t>纯LOS位置反馈连续估计与量化后定位误差</w:t>
      </w:r>
    </w:p>
    <w:p>
      <w:r>
        <w:t>坐标只量化一次。低SNR下若连续估计超出公共编码区域，截断先验可能显著降低解码后的欧氏误差，不能据此认为量化改善了定位估计器。所有32个位置均保留。无观测噪声下仍存在的连续定位误差说明误差并非全部由观测噪声引起；该对照不能进一步单独区分球面波近似、单频点拟合和散射各自的贡献。</w:t>
      </w:r>
    </w:p>
    <w:p>
      <w:pPr>
        <w:pStyle w:val="Heading2"/>
        <w:keepNext/>
      </w:pPr>
      <w:r>
        <w:t>混合信道位置反馈连续估计与坐标量化</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2"/>
        <w:gridCol w:w="1632"/>
        <w:gridCol w:w="1632"/>
        <w:gridCol w:w="1632"/>
        <w:gridCol w:w="1632"/>
        <w:gridCol w:w="1632"/>
      </w:tblGrid>
      <w:tr>
        <w:trPr>
          <w:cantSplit/>
          <w:tblHeader/>
        </w:trPr>
        <w:tc>
          <w:tcPr>
            <w:tcW w:type="dxa" w:w="2376"/>
            <w:vAlign w:val="center"/>
            <w:shd w:fill="E8EFF6"/>
            <w:tcMar>
              <w:top w:w="50" w:type="dxa"/>
              <w:bottom w:w="50" w:type="dxa"/>
              <w:left w:w="80" w:type="dxa"/>
              <w:right w:w="80" w:type="dxa"/>
            </w:tcMar>
          </w:tcPr>
          <w:p>
            <w:pPr>
              <w:keepNext/>
              <w:spacing w:after="0" w:line="252" w:lineRule="auto"/>
            </w:pPr>
            <w:r>
              <w:rPr>
                <w:b/>
                <w:sz w:val="21"/>
              </w:rPr>
              <w:t>观测SNR dB</w:t>
            </w:r>
          </w:p>
        </w:tc>
        <w:tc>
          <w:tcPr>
            <w:tcW w:type="dxa" w:w="1483"/>
            <w:vAlign w:val="center"/>
            <w:shd w:fill="E8EFF6"/>
            <w:tcMar>
              <w:top w:w="50" w:type="dxa"/>
              <w:bottom w:w="50" w:type="dxa"/>
              <w:left w:w="80" w:type="dxa"/>
              <w:right w:w="80" w:type="dxa"/>
            </w:tcMar>
          </w:tcPr>
          <w:p>
            <w:pPr>
              <w:keepNext/>
              <w:spacing w:after="0" w:line="252" w:lineRule="auto"/>
              <w:jc w:val="center"/>
            </w:pPr>
            <w:r>
              <w:rPr>
                <w:b/>
                <w:sz w:val="21"/>
              </w:rPr>
              <w:t>连续均值 m</w:t>
            </w:r>
          </w:p>
        </w:tc>
        <w:tc>
          <w:tcPr>
            <w:tcW w:type="dxa" w:w="1483"/>
            <w:vAlign w:val="center"/>
            <w:shd w:fill="E8EFF6"/>
            <w:tcMar>
              <w:top w:w="50" w:type="dxa"/>
              <w:bottom w:w="50" w:type="dxa"/>
              <w:left w:w="80" w:type="dxa"/>
              <w:right w:w="80" w:type="dxa"/>
            </w:tcMar>
          </w:tcPr>
          <w:p>
            <w:pPr>
              <w:keepNext/>
              <w:spacing w:after="0" w:line="252" w:lineRule="auto"/>
              <w:jc w:val="center"/>
            </w:pPr>
            <w:r>
              <w:rPr>
                <w:b/>
                <w:sz w:val="21"/>
              </w:rPr>
              <w:t>解码均值 m</w:t>
            </w:r>
          </w:p>
        </w:tc>
        <w:tc>
          <w:tcPr>
            <w:tcW w:type="dxa" w:w="1483"/>
            <w:vAlign w:val="center"/>
            <w:shd w:fill="E8EFF6"/>
            <w:tcMar>
              <w:top w:w="50" w:type="dxa"/>
              <w:bottom w:w="50" w:type="dxa"/>
              <w:left w:w="80" w:type="dxa"/>
              <w:right w:w="80" w:type="dxa"/>
            </w:tcMar>
          </w:tcPr>
          <w:p>
            <w:pPr>
              <w:keepNext/>
              <w:spacing w:after="0" w:line="252" w:lineRule="auto"/>
              <w:jc w:val="center"/>
            </w:pPr>
            <w:r>
              <w:rPr>
                <w:b/>
                <w:sz w:val="21"/>
              </w:rPr>
              <w:t>解码中位 m</w:t>
            </w:r>
          </w:p>
        </w:tc>
        <w:tc>
          <w:tcPr>
            <w:tcW w:type="dxa" w:w="1483"/>
            <w:vAlign w:val="center"/>
            <w:shd w:fill="E8EFF6"/>
            <w:tcMar>
              <w:top w:w="50" w:type="dxa"/>
              <w:bottom w:w="50" w:type="dxa"/>
              <w:left w:w="80" w:type="dxa"/>
              <w:right w:w="80" w:type="dxa"/>
            </w:tcMar>
          </w:tcPr>
          <w:p>
            <w:pPr>
              <w:keepNext/>
              <w:spacing w:after="0" w:line="252" w:lineRule="auto"/>
              <w:jc w:val="center"/>
            </w:pPr>
            <w:r>
              <w:rPr>
                <w:b/>
                <w:sz w:val="21"/>
              </w:rPr>
              <w:t>解码95%分位 m</w:t>
            </w:r>
          </w:p>
        </w:tc>
        <w:tc>
          <w:tcPr>
            <w:tcW w:type="dxa" w:w="1483"/>
            <w:vAlign w:val="center"/>
            <w:shd w:fill="E8EFF6"/>
            <w:tcMar>
              <w:top w:w="50" w:type="dxa"/>
              <w:bottom w:w="50" w:type="dxa"/>
              <w:left w:w="80" w:type="dxa"/>
              <w:right w:w="80" w:type="dxa"/>
            </w:tcMar>
          </w:tcPr>
          <w:p>
            <w:pPr>
              <w:keepNext/>
              <w:spacing w:after="0" w:line="252" w:lineRule="auto"/>
              <w:jc w:val="center"/>
            </w:pPr>
            <w:r>
              <w:rPr>
                <w:b/>
                <w:sz w:val="21"/>
              </w:rPr>
              <w:t>越界比例</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-20</w:t>
            </w:r>
          </w:p>
        </w:tc>
        <w:tc>
          <w:tcPr>
            <w:tcW w:type="dxa" w:w="1483"/>
            <w:vAlign w:val="center"/>
            <w:tcMar>
              <w:top w:w="50" w:type="dxa"/>
              <w:bottom w:w="50" w:type="dxa"/>
              <w:left w:w="80" w:type="dxa"/>
              <w:right w:w="80" w:type="dxa"/>
            </w:tcMar>
          </w:tcPr>
          <w:p>
            <w:pPr>
              <w:keepNext/>
              <w:spacing w:after="0" w:line="252" w:lineRule="auto"/>
              <w:jc w:val="center"/>
            </w:pPr>
            <w:r>
              <w:rPr>
                <w:b w:val="0"/>
                <w:sz w:val="21"/>
              </w:rPr>
              <w:t>4.83006</w:t>
            </w:r>
          </w:p>
        </w:tc>
        <w:tc>
          <w:tcPr>
            <w:tcW w:type="dxa" w:w="1483"/>
            <w:vAlign w:val="center"/>
            <w:tcMar>
              <w:top w:w="50" w:type="dxa"/>
              <w:bottom w:w="50" w:type="dxa"/>
              <w:left w:w="80" w:type="dxa"/>
              <w:right w:w="80" w:type="dxa"/>
            </w:tcMar>
          </w:tcPr>
          <w:p>
            <w:pPr>
              <w:keepNext/>
              <w:spacing w:after="0" w:line="252" w:lineRule="auto"/>
              <w:jc w:val="center"/>
            </w:pPr>
            <w:r>
              <w:rPr>
                <w:b w:val="0"/>
                <w:sz w:val="21"/>
              </w:rPr>
              <w:t>2.89727</w:t>
            </w:r>
          </w:p>
        </w:tc>
        <w:tc>
          <w:tcPr>
            <w:tcW w:type="dxa" w:w="1483"/>
            <w:vAlign w:val="center"/>
            <w:tcMar>
              <w:top w:w="50" w:type="dxa"/>
              <w:bottom w:w="50" w:type="dxa"/>
              <w:left w:w="80" w:type="dxa"/>
              <w:right w:w="80" w:type="dxa"/>
            </w:tcMar>
          </w:tcPr>
          <w:p>
            <w:pPr>
              <w:keepNext/>
              <w:spacing w:after="0" w:line="252" w:lineRule="auto"/>
              <w:jc w:val="center"/>
            </w:pPr>
            <w:r>
              <w:rPr>
                <w:b w:val="0"/>
                <w:sz w:val="21"/>
              </w:rPr>
              <w:t>0.392146</w:t>
            </w:r>
          </w:p>
        </w:tc>
        <w:tc>
          <w:tcPr>
            <w:tcW w:type="dxa" w:w="1483"/>
            <w:vAlign w:val="center"/>
            <w:tcMar>
              <w:top w:w="50" w:type="dxa"/>
              <w:bottom w:w="50" w:type="dxa"/>
              <w:left w:w="80" w:type="dxa"/>
              <w:right w:w="80" w:type="dxa"/>
            </w:tcMar>
          </w:tcPr>
          <w:p>
            <w:pPr>
              <w:keepNext/>
              <w:spacing w:after="0" w:line="252" w:lineRule="auto"/>
              <w:jc w:val="center"/>
            </w:pPr>
            <w:r>
              <w:rPr>
                <w:b w:val="0"/>
                <w:sz w:val="21"/>
              </w:rPr>
              <w:t>10.5612</w:t>
            </w:r>
          </w:p>
        </w:tc>
        <w:tc>
          <w:tcPr>
            <w:tcW w:type="dxa" w:w="1483"/>
            <w:vAlign w:val="center"/>
            <w:tcMar>
              <w:top w:w="50" w:type="dxa"/>
              <w:bottom w:w="50" w:type="dxa"/>
              <w:left w:w="80" w:type="dxa"/>
              <w:right w:w="80" w:type="dxa"/>
            </w:tcMar>
          </w:tcPr>
          <w:p>
            <w:pPr>
              <w:keepNext/>
              <w:spacing w:after="0" w:line="252" w:lineRule="auto"/>
              <w:jc w:val="center"/>
            </w:pPr>
            <w:r>
              <w:rPr>
                <w:b w:val="0"/>
                <w:sz w:val="21"/>
              </w:rPr>
              <w:t>31.25%</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-10</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0.0779094</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0.0775571</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0.0677074</w:t>
            </w:r>
          </w:p>
        </w:tc>
        <w:tc>
          <w:tcPr>
            <w:tcW w:type="dxa" w:w="1483"/>
            <w:vAlign w:val="center"/>
            <w:tcMar>
              <w:top w:w="50" w:type="dxa"/>
              <w:bottom w:w="50" w:type="dxa"/>
              <w:left w:w="80" w:type="dxa"/>
              <w:right w:w="80" w:type="dxa"/>
            </w:tcMar>
          </w:tcPr>
          <w:p>
            <w:pPr>
              <w:keepNext/>
              <w:spacing w:after="0" w:line="252" w:lineRule="auto"/>
              <w:jc w:val="center"/>
            </w:pPr>
            <w:r>
              <w:rPr>
                <w:b w:val="0"/>
                <w:sz w:val="21"/>
              </w:rPr>
              <w:t>0.154196</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0</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0.025014</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0.0251333</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0.0235209</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0.0560473</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10</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0.0112125</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0.0123661</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0.00973566</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0.0269607</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20</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0.0090087</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0.0106052</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0.0084796</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0.0253167</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w:t>
            </w:r>
          </w:p>
        </w:tc>
      </w:tr>
      <w:tr>
        <w:trPr>
          <w:cantSplit/>
        </w:trPr>
        <w:tc>
          <w:tcPr>
            <w:tcW w:type="dxa" w:w="2376"/>
            <w:vAlign w:val="center"/>
            <w:tcMar>
              <w:top w:w="50" w:type="dxa"/>
              <w:bottom w:w="50" w:type="dxa"/>
              <w:left w:w="80" w:type="dxa"/>
              <w:right w:w="80" w:type="dxa"/>
            </w:tcMar>
          </w:tcPr>
          <w:p>
            <w:pPr>
              <w:keepNext/>
              <w:spacing w:after="0" w:line="252" w:lineRule="auto"/>
            </w:pPr>
            <w:r>
              <w:rPr>
                <w:b w:val="0"/>
                <w:sz w:val="21"/>
              </w:rPr>
              <w:t>30</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0.00892126</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0.0104087</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0.00781976</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0.0264289</w:t>
            </w:r>
          </w:p>
        </w:tc>
        <w:tc>
          <w:tcPr>
            <w:tcW w:type="dxa" w:w="1483"/>
            <w:vAlign w:val="center"/>
            <w:tcMar>
              <w:top w:w="50" w:type="dxa"/>
              <w:bottom w:w="50" w:type="dxa"/>
              <w:left w:w="80" w:type="dxa"/>
              <w:right w:w="80" w:type="dxa"/>
            </w:tcMar>
          </w:tcPr>
          <w:p>
            <w:pPr>
              <w:keepNext/>
              <w:spacing w:after="0" w:line="252" w:lineRule="auto"/>
              <w:jc w:val="center"/>
            </w:pPr>
            <w:r>
              <w:rPr>
                <w:b w:val="0"/>
                <w:sz w:val="21"/>
              </w:rPr>
              <w:t>0.00%</w:t>
            </w:r>
          </w:p>
        </w:tc>
      </w:tr>
      <w:tr>
        <w:trPr>
          <w:cantSplit/>
        </w:trPr>
        <w:tc>
          <w:tcPr>
            <w:tcW w:type="dxa" w:w="2376"/>
            <w:vAlign w:val="center"/>
            <w:tcMar>
              <w:top w:w="50" w:type="dxa"/>
              <w:bottom w:w="50" w:type="dxa"/>
              <w:left w:w="80" w:type="dxa"/>
              <w:right w:w="80" w:type="dxa"/>
            </w:tcMar>
          </w:tcPr>
          <w:p>
            <w:pPr>
              <w:keepNext w:val="0"/>
              <w:spacing w:after="0" w:line="252" w:lineRule="auto"/>
            </w:pPr>
            <w:r>
              <w:rPr>
                <w:b w:val="0"/>
                <w:sz w:val="21"/>
              </w:rPr>
              <w:t>40</w:t>
            </w:r>
          </w:p>
        </w:tc>
        <w:tc>
          <w:tcPr>
            <w:tcW w:type="dxa" w:w="1483"/>
            <w:vAlign w:val="center"/>
            <w:tcMar>
              <w:top w:w="50" w:type="dxa"/>
              <w:bottom w:w="50" w:type="dxa"/>
              <w:left w:w="80" w:type="dxa"/>
              <w:right w:w="80" w:type="dxa"/>
            </w:tcMar>
          </w:tcPr>
          <w:p>
            <w:pPr>
              <w:keepNext w:val="0"/>
              <w:spacing w:after="0" w:line="252" w:lineRule="auto"/>
              <w:jc w:val="center"/>
            </w:pPr>
            <w:r>
              <w:rPr>
                <w:b w:val="0"/>
                <w:sz w:val="21"/>
              </w:rPr>
              <w:t>0.00895521</w:t>
            </w:r>
          </w:p>
        </w:tc>
        <w:tc>
          <w:tcPr>
            <w:tcW w:type="dxa" w:w="1483"/>
            <w:vAlign w:val="center"/>
            <w:tcMar>
              <w:top w:w="50" w:type="dxa"/>
              <w:bottom w:w="50" w:type="dxa"/>
              <w:left w:w="80" w:type="dxa"/>
              <w:right w:w="80" w:type="dxa"/>
            </w:tcMar>
          </w:tcPr>
          <w:p>
            <w:pPr>
              <w:keepNext w:val="0"/>
              <w:spacing w:after="0" w:line="252" w:lineRule="auto"/>
              <w:jc w:val="center"/>
            </w:pPr>
            <w:r>
              <w:rPr>
                <w:b w:val="0"/>
                <w:sz w:val="21"/>
              </w:rPr>
              <w:t>0.0100991</w:t>
            </w:r>
          </w:p>
        </w:tc>
        <w:tc>
          <w:tcPr>
            <w:tcW w:type="dxa" w:w="1483"/>
            <w:vAlign w:val="center"/>
            <w:tcMar>
              <w:top w:w="50" w:type="dxa"/>
              <w:bottom w:w="50" w:type="dxa"/>
              <w:left w:w="80" w:type="dxa"/>
              <w:right w:w="80" w:type="dxa"/>
            </w:tcMar>
          </w:tcPr>
          <w:p>
            <w:pPr>
              <w:keepNext w:val="0"/>
              <w:spacing w:after="0" w:line="252" w:lineRule="auto"/>
              <w:jc w:val="center"/>
            </w:pPr>
            <w:r>
              <w:rPr>
                <w:b w:val="0"/>
                <w:sz w:val="21"/>
              </w:rPr>
              <w:t>0.00780493</w:t>
            </w:r>
          </w:p>
        </w:tc>
        <w:tc>
          <w:tcPr>
            <w:tcW w:type="dxa" w:w="1483"/>
            <w:vAlign w:val="center"/>
            <w:tcMar>
              <w:top w:w="50" w:type="dxa"/>
              <w:bottom w:w="50" w:type="dxa"/>
              <w:left w:w="80" w:type="dxa"/>
              <w:right w:w="80" w:type="dxa"/>
            </w:tcMar>
          </w:tcPr>
          <w:p>
            <w:pPr>
              <w:keepNext w:val="0"/>
              <w:spacing w:after="0" w:line="252" w:lineRule="auto"/>
              <w:jc w:val="center"/>
            </w:pPr>
            <w:r>
              <w:rPr>
                <w:b w:val="0"/>
                <w:sz w:val="21"/>
              </w:rPr>
              <w:t>0.0240439</w:t>
            </w:r>
          </w:p>
        </w:tc>
        <w:tc>
          <w:tcPr>
            <w:tcW w:type="dxa" w:w="1483"/>
            <w:vAlign w:val="center"/>
            <w:tcMar>
              <w:top w:w="50" w:type="dxa"/>
              <w:bottom w:w="50" w:type="dxa"/>
              <w:left w:w="80" w:type="dxa"/>
              <w:right w:w="80" w:type="dxa"/>
            </w:tcMar>
          </w:tcPr>
          <w:p>
            <w:pPr>
              <w:keepNext w:val="0"/>
              <w:spacing w:after="0" w:line="252" w:lineRule="auto"/>
              <w:jc w:val="center"/>
            </w:pPr>
            <w:r>
              <w:rPr>
                <w:b w:val="0"/>
                <w:sz w:val="21"/>
              </w:rPr>
              <w:t>0.00%</w:t>
            </w:r>
          </w:p>
        </w:tc>
      </w:tr>
    </w:tbl>
    <w:p>
      <w:pPr>
        <w:spacing w:after="20"/>
      </w:pPr>
    </w:p>
    <w:p>
      <w:pPr>
        <w:keepNext/>
        <w:jc w:val="center"/>
      </w:pPr>
      <w:r>
        <w:drawing>
          <wp:inline xmlns:a="http://schemas.openxmlformats.org/drawingml/2006/main" xmlns:pic="http://schemas.openxmlformats.org/drawingml/2006/picture">
            <wp:extent cx="4846320" cy="3512570"/>
            <wp:docPr id="10" name="Picture 10"/>
            <wp:cNvGraphicFramePr>
              <a:graphicFrameLocks noChangeAspect="1"/>
            </wp:cNvGraphicFramePr>
            <a:graphic>
              <a:graphicData uri="http://schemas.openxmlformats.org/drawingml/2006/picture">
                <pic:pic>
                  <pic:nvPicPr>
                    <pic:cNvPr id="0" name="MIX_POS_continuous_vs_quantized.png"/>
                    <pic:cNvPicPr/>
                  </pic:nvPicPr>
                  <pic:blipFill>
                    <a:blip r:embed="rId19"/>
                    <a:stretch>
                      <a:fillRect/>
                    </a:stretch>
                  </pic:blipFill>
                  <pic:spPr>
                    <a:xfrm>
                      <a:off x="0" y="0"/>
                      <a:ext cx="4846320" cy="3512570"/>
                    </a:xfrm>
                    <a:prstGeom prst="rect"/>
                  </pic:spPr>
                </pic:pic>
              </a:graphicData>
            </a:graphic>
          </wp:inline>
        </w:drawing>
      </w:r>
    </w:p>
    <w:p>
      <w:pPr>
        <w:spacing w:after="180"/>
        <w:jc w:val="center"/>
      </w:pPr>
      <w:r>
        <w:rPr>
          <w:sz w:val="20"/>
        </w:rPr>
        <w:t>混合信道位置反馈连续估计与量化后定位误差</w:t>
      </w:r>
    </w:p>
    <w:p>
      <w:r>
        <w:t>坐标只量化一次。低SNR下若连续估计超出公共编码区域，截断先验可能显著降低解码后的欧氏误差，不能据此认为量化改善了定位估计器。所有32个位置均保留。无观测噪声下仍存在的连续定位误差说明误差并非全部由观测噪声引起；该对照不能进一步单独区分球面波近似、单频点拟合和散射各自的贡献。</w:t>
      </w:r>
    </w:p>
    <w:p>
      <w:pPr>
        <w:pStyle w:val="Heading1"/>
      </w:pPr>
      <w:r>
        <w:t>6 核验与复现</w:t>
      </w:r>
    </w:p>
    <w:p>
      <w:r>
        <w:t>独立核验覆盖8,512条主扫描记录和704条对照记录。整数消息、CPU/UE空间消息一致性、反馈长度、位置恢复和汇总均值均已检查；真实信道由独立Python实现重建，速率最大误差5.16e-10 Mbps。</w:t>
      </w:r>
    </w:p>
    <w:p>
      <w:r>
        <w:t>本次MIX中20、30、40 dB与原400位置实验重合的1,248条记录逐一对齐，最大吞吐量差0 Mbps。无噪声同算法对照与SVD参考跨观测SNR保持不变。</w:t>
      </w:r>
    </w:p>
    <w:p>
      <w:r>
        <w:t>这是32位置、每位置一次冻结噪声实现的范围诊断，不能替代400位置正式扫描，也不能据此给出独立重复噪声的置信区间。正式范围应结合低SNR退化、过渡段和平台共同确定。</w:t>
      </w:r>
    </w:p>
    <w:p>
      <w:pPr>
        <w:spacing w:after="60"/>
      </w:pPr>
      <w:r>
        <w:rPr>
          <w:rFonts w:ascii="Consolas" w:hAnsi="Consolas"/>
          <w:sz w:val="18"/>
        </w:rPr>
        <w:t>addpath('8.单流');</w:t>
      </w:r>
    </w:p>
    <w:p>
      <w:pPr>
        <w:spacing w:after="60"/>
      </w:pPr>
      <w:r>
        <w:rPr>
          <w:rFonts w:ascii="Consolas" w:hAnsi="Consolas"/>
          <w:sz w:val="18"/>
        </w:rPr>
        <w:t>out=fullfile(pwd,'8.单流','results','new_snr_pilot32');</w:t>
      </w:r>
    </w:p>
    <w:p>
      <w:pPr>
        <w:spacing w:after="60"/>
      </w:pPr>
      <w:r>
        <w:rPr>
          <w:rFonts w:ascii="Consolas" w:hAnsi="Consolas"/>
          <w:sz w:val="18"/>
        </w:rPr>
        <w:t>run_single_snr_pilot('OutputDir',out);</w:t>
      </w:r>
    </w:p>
    <w:p>
      <w:pPr>
        <w:spacing w:after="60"/>
      </w:pPr>
      <w:r>
        <w:rPr>
          <w:rFonts w:ascii="Consolas" w:hAnsi="Consolas"/>
          <w:sz w:val="18"/>
        </w:rPr>
        <w:t>plot_single_snr_pilot(out);</w:t>
      </w:r>
    </w:p>
    <w:p>
      <w:pPr>
        <w:spacing w:after="60"/>
      </w:pPr>
      <w:r>
        <w:rPr>
          <w:rFonts w:ascii="Consolas" w:hAnsi="Consolas"/>
          <w:sz w:val="18"/>
        </w:rPr>
        <w:t>python analyze_single_snr_pilot.py results/new_snr_pilot32 --stage audit</w:t>
      </w:r>
    </w:p>
    <w:p>
      <w:pPr>
        <w:spacing w:after="60"/>
      </w:pPr>
      <w:r>
        <w:rPr>
          <w:rFonts w:ascii="Consolas" w:hAnsi="Consolas"/>
          <w:sz w:val="18"/>
        </w:rPr>
        <w:t>python analyze_single_snr_pilot.py results/new_snr_pilot32 --stage report</w:t>
      </w:r>
    </w:p>
    <w:p>
      <w:r>
        <w:t>输出目录必须是新目录；原400位置单流、双流结果和原报告均不覆盖。参数、位置编号、原始消息、无噪声对照、数值汇总与10组PNG/FIG一起保存。Word沿用现有文档生成流程，按用户要求不追加Word渲染检查。</w:t>
      </w:r>
    </w:p>
    <w:sectPr w:rsidR="00FC693F" w:rsidRPr="0006063C" w:rsidSect="00034616">
      <w:footerReference w:type="default" r:id="rId9"/>
      <w:pgSz w:w="12240" w:h="15840"/>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libri" w:hAnsi="Calibri" w:eastAsia="微软雅黑"/>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Calibri" w:hAnsi="Calibri"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