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Tigert Hall 355</w:t>
      </w:r>
    </w:p>
    <w:p>
      <w:pPr>
        <w:numPr>
          <w:ilvl w:val="1"/>
          <w:numId w:val="1002"/>
        </w:numPr>
        <w:pStyle w:val="Compact"/>
      </w:pPr>
      <w:r>
        <w:rPr>
          <w:bCs/>
          <w:b/>
        </w:rPr>
        <w:t xml:space="preserve">Office Location</w:t>
      </w:r>
      <w:r>
        <w:t xml:space="preserve">: Wednesday 12pm - 1pm and by appointment</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4953"/>
        <w:tblLook w:firstRow="1" w:lastRow="0" w:firstColumn="0" w:lastColumn="0" w:noHBand="0" w:noVBand="0" w:val="0020"/>
        <w:jc w:val="start"/>
        <w:tblCaption w:val="Class Schedule"/>
      </w:tblPr>
      <w:tblGrid>
        <w:gridCol w:w="1120"/>
        <w:gridCol w:w="3063"/>
        <w:gridCol w:w="3661"/>
      </w:tblGrid>
      <w:tr>
        <w:trPr>
          <w:tblHeader w:val="true"/>
        </w:trPr>
        <w:tc>
          <w:tcPr/>
          <w:p>
            <w:pPr>
              <w:pStyle w:val="Compact"/>
              <w:jc w:val="left"/>
            </w:pPr>
            <w:r>
              <w:t xml:space="preserve">Week</w:t>
            </w:r>
          </w:p>
        </w:tc>
        <w:tc>
          <w:tcPr/>
          <w:p>
            <w:pPr>
              <w:pStyle w:val="Compact"/>
              <w:jc w:val="left"/>
            </w:pPr>
            <w:r>
              <w:t xml:space="preserve">Lesson(s)</w:t>
            </w:r>
          </w:p>
        </w:tc>
        <w:tc>
          <w:tcPr/>
          <w:p>
            <w:pPr>
              <w:pStyle w:val="Compact"/>
              <w:jc w:val="left"/>
            </w:pPr>
            <w:r>
              <w:t xml:space="preserve">Due (Sunday 11:59pm)</w:t>
            </w:r>
          </w:p>
        </w:tc>
      </w:tr>
      <w:tr>
        <w:tc>
          <w:tcPr/>
          <w:p>
            <w:pPr>
              <w:jc w:val="left"/>
            </w:pPr>
            <w:r>
              <w:t xml:space="preserve">1</w:t>
            </w:r>
          </w:p>
          <w:p>
            <w:pPr>
              <w:jc w:val="left"/>
            </w:pPr>
            <w:r>
              <w:t xml:space="preserve">Jan 9th</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jc w:val="left"/>
            </w:pPr>
            <w:r>
              <w:t xml:space="preserve">2</w:t>
            </w:r>
          </w:p>
          <w:p>
            <w:pPr>
              <w:jc w:val="left"/>
            </w:pPr>
            <w:r>
              <w:t xml:space="preserve">Jan 16th</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jc w:val="left"/>
            </w:pPr>
            <w:r>
              <w:t xml:space="preserve">3</w:t>
            </w:r>
          </w:p>
          <w:p>
            <w:pPr>
              <w:jc w:val="left"/>
            </w:pPr>
            <w:r>
              <w:t xml:space="preserve">Jan 23rd</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jc w:val="left"/>
            </w:pPr>
            <w:r>
              <w:t xml:space="preserve">4</w:t>
            </w:r>
          </w:p>
          <w:p>
            <w:pPr>
              <w:jc w:val="left"/>
            </w:pPr>
            <w:r>
              <w:t xml:space="preserve">Jan 30th</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jc w:val="left"/>
            </w:pPr>
            <w:r>
              <w:t xml:space="preserve">5</w:t>
            </w:r>
          </w:p>
          <w:p>
            <w:pPr>
              <w:jc w:val="left"/>
            </w:pPr>
            <w:r>
              <w:t xml:space="preserve">Feb 6th</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jc w:val="left"/>
            </w:pPr>
            <w:r>
              <w:t xml:space="preserve">6</w:t>
            </w:r>
          </w:p>
          <w:p>
            <w:pPr>
              <w:jc w:val="left"/>
            </w:pPr>
            <w:r>
              <w:t xml:space="preserve">Feb 13th</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jc w:val="left"/>
            </w:pPr>
            <w:r>
              <w:t xml:space="preserve">7</w:t>
            </w:r>
          </w:p>
          <w:p>
            <w:pPr>
              <w:jc w:val="left"/>
            </w:pPr>
            <w:r>
              <w:t xml:space="preserve">Feb 20th</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jc w:val="left"/>
            </w:pPr>
            <w:r>
              <w:t xml:space="preserve">8</w:t>
            </w:r>
          </w:p>
          <w:p>
            <w:pPr>
              <w:jc w:val="left"/>
            </w:pPr>
            <w:r>
              <w:t xml:space="preserve">Feb 27th</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jc w:val="left"/>
            </w:pPr>
            <w:r>
              <w:t xml:space="preserve">9</w:t>
            </w:r>
          </w:p>
          <w:p>
            <w:pPr>
              <w:jc w:val="left"/>
            </w:pPr>
            <w:r>
              <w:t xml:space="preserve">Mar 5th</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jc w:val="left"/>
            </w:pPr>
            <w:r>
              <w:t xml:space="preserve">10</w:t>
            </w:r>
          </w:p>
          <w:p>
            <w:pPr>
              <w:jc w:val="left"/>
            </w:pPr>
            <w:r>
              <w:t xml:space="preserve">Mar 12th</w:t>
            </w:r>
          </w:p>
        </w:tc>
        <w:tc>
          <w:tcPr/>
          <w:p>
            <w:pPr>
              <w:pStyle w:val="Compact"/>
              <w:jc w:val="left"/>
            </w:pPr>
            <w:r>
              <w:rPr>
                <w:bCs/>
                <w:b/>
              </w:rPr>
              <w:t xml:space="preserve">Spring Break</w:t>
            </w:r>
          </w:p>
        </w:tc>
        <w:tc>
          <w:tcPr/>
          <w:p>
            <w:pPr>
              <w:pStyle w:val="Compact"/>
              <w:jc w:val="left"/>
            </w:pPr>
            <w:r>
              <w:t xml:space="preserve">None, enjoy the break!</w:t>
            </w:r>
          </w:p>
        </w:tc>
      </w:tr>
      <w:tr>
        <w:tc>
          <w:tcPr/>
          <w:p>
            <w:pPr>
              <w:jc w:val="left"/>
            </w:pPr>
            <w:r>
              <w:t xml:space="preserve">11</w:t>
            </w:r>
          </w:p>
          <w:p>
            <w:pPr>
              <w:jc w:val="left"/>
            </w:pPr>
            <w:r>
              <w:t xml:space="preserve">Mar 19th</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jc w:val="left"/>
            </w:pPr>
            <w:r>
              <w:t xml:space="preserve">12</w:t>
            </w:r>
          </w:p>
          <w:p>
            <w:pPr>
              <w:jc w:val="left"/>
            </w:pPr>
            <w:r>
              <w:t xml:space="preserve">Mar 26th</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jc w:val="left"/>
            </w:pPr>
            <w:r>
              <w:t xml:space="preserve">13</w:t>
            </w:r>
          </w:p>
          <w:p>
            <w:pPr>
              <w:jc w:val="left"/>
            </w:pPr>
            <w:r>
              <w:t xml:space="preserve">Apr 2nd</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jc w:val="left"/>
            </w:pPr>
            <w:r>
              <w:t xml:space="preserve">14</w:t>
            </w:r>
          </w:p>
          <w:p>
            <w:pPr>
              <w:jc w:val="left"/>
            </w:pPr>
            <w:r>
              <w:t xml:space="preserve">Apr 9th</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jc w:val="left"/>
            </w:pPr>
            <w:r>
              <w:t xml:space="preserve">15</w:t>
            </w:r>
          </w:p>
          <w:p>
            <w:pPr>
              <w:jc w:val="left"/>
            </w:pPr>
            <w:r>
              <w:t xml:space="preserve">Apr 16th</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jc w:val="left"/>
            </w:pPr>
            <w:r>
              <w:t xml:space="preserve">16</w:t>
            </w:r>
          </w:p>
          <w:p>
            <w:pPr>
              <w:jc w:val="left"/>
            </w:pPr>
            <w:r>
              <w:t xml:space="preserve">Apr 23rd</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2024-01-03T03:44:33Z</dcterms:created>
  <dcterms:modified xsi:type="dcterms:W3CDTF">2024-01-03T03:44:33Z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