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2023-09-13T20:15:13Z</dcterms:created>
  <dcterms:modified xsi:type="dcterms:W3CDTF">2023-09-13T20:15:13Z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mage">
    <vt:lpwstr>apple-touch-icon.png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section-title">
    <vt:lpwstr>False</vt:lpwstr>
  </property>
  <property fmtid="{D5CDD505-2E9C-101B-9397-08002B2CF9AE}" pid="13" name="section-bibs-bibliography">
    <vt:lpwstr>references.yaml</vt:lpwstr>
  </property>
  <property fmtid="{D5CDD505-2E9C-101B-9397-08002B2CF9AE}" pid="14" name="section-bibs-level">
    <vt:lpwstr>3</vt:lpwstr>
  </property>
  <property fmtid="{D5CDD505-2E9C-101B-9397-08002B2CF9AE}" pid="15" name="toc-title">
    <vt:lpwstr>Table of contents</vt:lpwstr>
  </property>
</Properties>
</file>