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bookmarkStart w:id="27" w:name="education"/>
    <w:p>
      <w:pPr>
        <w:pStyle w:val="Heading1"/>
      </w:pPr>
      <w:r>
        <w:t xml:space="preserve">Education</w:t>
      </w:r>
    </w:p>
    <w:bookmarkStart w:id="22" w:name="ph.d.-higher-education-administration"/>
    <w:p>
      <w:pPr>
        <w:pStyle w:val="Heading3"/>
      </w:pPr>
      <w:r>
        <w:t xml:space="preserve">Ph.D. Higher Education Administration</w:t>
      </w:r>
    </w:p>
    <w:bookmarkStart w:id="20" w:name="minor-urban-and-regional-planning"/>
    <w:p>
      <w:pPr>
        <w:pStyle w:val="Heading6"/>
      </w:pPr>
      <w:r>
        <w:t xml:space="preserve">Minor: Urban and Regional Planning</w:t>
      </w:r>
    </w:p>
    <w:bookmarkEnd w:id="20"/>
    <w:bookmarkStart w:id="21" w:name="Xf54c6337ad861ff826dbe0bf9acc9557b36ddfc"/>
    <w:p>
      <w:pPr>
        <w:pStyle w:val="Heading6"/>
      </w:pPr>
      <w:r>
        <w:t xml:space="preserve">Research Method Track: Quantitative Methods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End w:id="21"/>
    <w:bookmarkEnd w:id="22"/>
    <w:bookmarkStart w:id="23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3"/>
    <w:bookmarkStart w:id="24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4"/>
    <w:bookmarkStart w:id="26" w:name="X4a4f3be96ffe43adeda484e2e90461cf4c50350"/>
    <w:p>
      <w:pPr>
        <w:pStyle w:val="Heading3"/>
      </w:pPr>
      <w:r>
        <w:t xml:space="preserve">B.A. International Relations with Political Science</w:t>
      </w:r>
    </w:p>
    <w:bookmarkStart w:id="25" w:name="year-abroad-providence-college-ri"/>
    <w:p>
      <w:pPr>
        <w:pStyle w:val="Heading6"/>
      </w:pPr>
      <w:r>
        <w:t xml:space="preserve">Year Abroad: Providence College, RI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End w:id="25"/>
    <w:bookmarkEnd w:id="26"/>
    <w:bookmarkEnd w:id="27"/>
    <w:bookmarkStart w:id="34" w:name="technical-skills"/>
    <w:p>
      <w:pPr>
        <w:pStyle w:val="Heading1"/>
      </w:pPr>
      <w:r>
        <w:t xml:space="preserve">Technical Skills</w:t>
      </w:r>
    </w:p>
    <w:bookmarkStart w:id="28" w:name="r"/>
    <w:p>
      <w:pPr>
        <w:pStyle w:val="Heading6"/>
      </w:pPr>
      <w:r>
        <w:t xml:space="preserve">R</w:t>
      </w:r>
    </w:p>
    <w:p>
      <w:pPr>
        <w:numPr>
          <w:ilvl w:val="0"/>
          <w:numId w:val="1001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28"/>
    <w:bookmarkStart w:id="29" w:name="shiny"/>
    <w:p>
      <w:pPr>
        <w:pStyle w:val="Heading6"/>
      </w:pPr>
      <w:r>
        <w:t xml:space="preserve">Shiny</w:t>
      </w:r>
    </w:p>
    <w:p>
      <w:pPr>
        <w:numPr>
          <w:ilvl w:val="0"/>
          <w:numId w:val="1002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29"/>
    <w:bookmarkStart w:id="30" w:name="python"/>
    <w:p>
      <w:pPr>
        <w:pStyle w:val="Heading6"/>
      </w:pPr>
      <w:r>
        <w:t xml:space="preserve">Python</w:t>
      </w:r>
    </w:p>
    <w:p>
      <w:pPr>
        <w:numPr>
          <w:ilvl w:val="0"/>
          <w:numId w:val="1003"/>
        </w:numPr>
        <w:pStyle w:val="Compact"/>
      </w:pPr>
      <w:r>
        <w:t xml:space="preserve">Data wrangling, integration of Python &amp; R through Reticulate, exploring natural language processing</w:t>
      </w:r>
    </w:p>
    <w:bookmarkEnd w:id="30"/>
    <w:bookmarkStart w:id="31" w:name="github"/>
    <w:p>
      <w:pPr>
        <w:pStyle w:val="Heading6"/>
      </w:pPr>
      <w:r>
        <w:t xml:space="preserve">GitHub</w:t>
      </w:r>
    </w:p>
    <w:p>
      <w:pPr>
        <w:numPr>
          <w:ilvl w:val="0"/>
          <w:numId w:val="1004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31"/>
    <w:bookmarkStart w:id="32" w:name="geographic-information-systems"/>
    <w:p>
      <w:pPr>
        <w:pStyle w:val="Heading6"/>
      </w:pPr>
      <w:r>
        <w:t xml:space="preserve">Geographic Information Systems</w:t>
      </w:r>
    </w:p>
    <w:p>
      <w:pPr>
        <w:numPr>
          <w:ilvl w:val="0"/>
          <w:numId w:val="1005"/>
        </w:numPr>
        <w:pStyle w:val="Compact"/>
      </w:pPr>
      <w:r>
        <w:t xml:space="preserve">Utilize R for most GIS tasks, also familiar with both QGIS and ArcGIS</w:t>
      </w:r>
    </w:p>
    <w:bookmarkEnd w:id="32"/>
    <w:bookmarkStart w:id="33" w:name="other-software-including"/>
    <w:p>
      <w:pPr>
        <w:pStyle w:val="Heading6"/>
      </w:pPr>
      <w:r>
        <w:t xml:space="preserve">Other Software Including</w:t>
      </w:r>
    </w:p>
    <w:p>
      <w:pPr>
        <w:numPr>
          <w:ilvl w:val="0"/>
          <w:numId w:val="1006"/>
        </w:numPr>
        <w:pStyle w:val="Compact"/>
      </w:pPr>
      <w:r>
        <w:t xml:space="preserve">Quarto, Microsoft Office, Qualtrics, SPSS, Stata, Zotero</w:t>
      </w:r>
    </w:p>
    <w:bookmarkEnd w:id="33"/>
    <w:bookmarkEnd w:id="34"/>
    <w:bookmarkStart w:id="40" w:name="statistical-skills"/>
    <w:p>
      <w:pPr>
        <w:pStyle w:val="Heading1"/>
      </w:pPr>
      <w:r>
        <w:t xml:space="preserve">Statistical Skills</w:t>
      </w:r>
    </w:p>
    <w:bookmarkStart w:id="35" w:name="regression-based-analysis"/>
    <w:p>
      <w:pPr>
        <w:pStyle w:val="Heading6"/>
      </w:pPr>
      <w:r>
        <w:t xml:space="preserve">Regression-Based Analysis</w:t>
      </w:r>
    </w:p>
    <w:p>
      <w:pPr>
        <w:numPr>
          <w:ilvl w:val="0"/>
          <w:numId w:val="1007"/>
        </w:numPr>
        <w:pStyle w:val="Compact"/>
      </w:pPr>
      <w:r>
        <w:t xml:space="preserve">Linear regression, logistic regression, geographically weighted regression</w:t>
      </w:r>
    </w:p>
    <w:bookmarkEnd w:id="35"/>
    <w:bookmarkStart w:id="36" w:name="spatial-statistics"/>
    <w:p>
      <w:pPr>
        <w:pStyle w:val="Heading6"/>
      </w:pPr>
      <w:r>
        <w:t xml:space="preserve">Spatial Statistics</w:t>
      </w:r>
    </w:p>
    <w:p>
      <w:pPr>
        <w:numPr>
          <w:ilvl w:val="0"/>
          <w:numId w:val="1008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36"/>
    <w:bookmarkStart w:id="37" w:name="quasi-experimental-design"/>
    <w:p>
      <w:pPr>
        <w:pStyle w:val="Heading6"/>
      </w:pPr>
      <w:r>
        <w:t xml:space="preserve">Quasi-Experimental Design</w:t>
      </w:r>
    </w:p>
    <w:p>
      <w:pPr>
        <w:numPr>
          <w:ilvl w:val="0"/>
          <w:numId w:val="1009"/>
        </w:numPr>
        <w:pStyle w:val="Compact"/>
      </w:pPr>
      <w:r>
        <w:t xml:space="preserve">Propensity score analysis (including machine learning methods)</w:t>
      </w:r>
    </w:p>
    <w:bookmarkEnd w:id="37"/>
    <w:bookmarkStart w:id="38" w:name="survival-analysis"/>
    <w:p>
      <w:pPr>
        <w:pStyle w:val="Heading6"/>
      </w:pPr>
      <w:r>
        <w:t xml:space="preserve">Survival Analysis</w:t>
      </w:r>
    </w:p>
    <w:p>
      <w:pPr>
        <w:numPr>
          <w:ilvl w:val="0"/>
          <w:numId w:val="1010"/>
        </w:numPr>
        <w:pStyle w:val="Compact"/>
      </w:pPr>
      <w:r>
        <w:t xml:space="preserve">Cox proportional hazards model</w:t>
      </w:r>
    </w:p>
    <w:bookmarkEnd w:id="38"/>
    <w:bookmarkStart w:id="39" w:name="psychometric-models"/>
    <w:p>
      <w:pPr>
        <w:pStyle w:val="Heading6"/>
      </w:pPr>
      <w:r>
        <w:t xml:space="preserve">Psychometric Models</w:t>
      </w:r>
    </w:p>
    <w:p>
      <w:pPr>
        <w:numPr>
          <w:ilvl w:val="0"/>
          <w:numId w:val="1011"/>
        </w:numPr>
        <w:pStyle w:val="Compact"/>
      </w:pPr>
      <w:r>
        <w:t xml:space="preserve">Classical test theory, factor analysis, item response theory, exploring computational psychometrics</w:t>
      </w:r>
    </w:p>
    <w:bookmarkEnd w:id="39"/>
    <w:bookmarkEnd w:id="40"/>
    <w:bookmarkStart w:id="51" w:name="work-experience"/>
    <w:p>
      <w:pPr>
        <w:pStyle w:val="Heading1"/>
      </w:pPr>
      <w:r>
        <w:t xml:space="preserve">Work Experience</w:t>
      </w:r>
    </w:p>
    <w:bookmarkStart w:id="42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41" w:name="major-research-projects"/>
    <w:p>
      <w:pPr>
        <w:pStyle w:val="Heading5"/>
      </w:pPr>
      <w:r>
        <w:t xml:space="preserve">Major Research Projects</w:t>
      </w:r>
    </w:p>
    <w:p>
      <w:pPr>
        <w:pStyle w:val="FirstParagraph"/>
      </w:pPr>
      <w:r>
        <w:rPr>
          <w:bCs/>
          <w:b/>
        </w:rPr>
        <w:t xml:space="preserve">Campus Climate Vulnerability Project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(Summer 2023 - Present)</w:t>
      </w:r>
    </w:p>
    <w:p>
      <w:pPr>
        <w:numPr>
          <w:ilvl w:val="0"/>
          <w:numId w:val="1012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bCs/>
          <w:b/>
        </w:rPr>
        <w:t xml:space="preserve">Linking Community Colleges and High Schools in Texas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(Fall 2022 - Present)</w:t>
      </w:r>
    </w:p>
    <w:p>
      <w:pPr>
        <w:numPr>
          <w:ilvl w:val="0"/>
          <w:numId w:val="1013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bCs/>
          <w:b/>
        </w:rPr>
        <w:t xml:space="preserve">Merit-Based Financial Aid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(Fall 2021 - Present)</w:t>
      </w:r>
    </w:p>
    <w:p>
      <w:pPr>
        <w:numPr>
          <w:ilvl w:val="0"/>
          <w:numId w:val="101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p>
      <w:pPr>
        <w:pStyle w:val="FirstParagraph"/>
      </w:pPr>
      <w:r>
        <w:rPr>
          <w:bCs/>
          <w:b/>
        </w:rPr>
        <w:t xml:space="preserve">Exploring Equitable Higher Education Funding Models in Illinois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(Summer 2022)</w:t>
      </w:r>
    </w:p>
    <w:p>
      <w:pPr>
        <w:numPr>
          <w:ilvl w:val="0"/>
          <w:numId w:val="1015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bookmarkEnd w:id="41"/>
    <w:bookmarkEnd w:id="42"/>
    <w:bookmarkStart w:id="43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43"/>
    <w:bookmarkStart w:id="44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44"/>
    <w:bookmarkStart w:id="45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45"/>
    <w:bookmarkStart w:id="46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46"/>
    <w:bookmarkStart w:id="47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47"/>
    <w:bookmarkStart w:id="48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8"/>
    <w:bookmarkStart w:id="49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9"/>
    <w:bookmarkStart w:id="50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50"/>
    <w:bookmarkEnd w:id="51"/>
    <w:bookmarkStart w:id="55" w:name="teaching-experience"/>
    <w:p>
      <w:pPr>
        <w:pStyle w:val="Heading1"/>
      </w:pPr>
      <w:r>
        <w:t xml:space="preserve">Teaching Experience</w:t>
      </w:r>
    </w:p>
    <w:bookmarkStart w:id="54" w:name="teaching-assistant"/>
    <w:p>
      <w:pPr>
        <w:pStyle w:val="Heading3"/>
      </w:pPr>
      <w:r>
        <w:t xml:space="preserve">Teaching Assistant</w:t>
      </w:r>
    </w:p>
    <w:bookmarkStart w:id="53" w:name="Xb39826629d6e7005b45440876be015fb56980ed"/>
    <w:p>
      <w:pPr>
        <w:pStyle w:val="Heading6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p>
      <w:pPr>
        <w:pStyle w:val="BodyText"/>
      </w:pPr>
      <w:r>
        <w:rPr>
          <w:iCs/>
          <w:i/>
        </w:rPr>
        <w:t xml:space="preserve">Spring 2023</w:t>
      </w:r>
    </w:p>
    <w:p>
      <w:pPr>
        <w:numPr>
          <w:ilvl w:val="0"/>
          <w:numId w:val="1016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16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52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53"/>
    <w:bookmarkEnd w:id="54"/>
    <w:bookmarkEnd w:id="55"/>
    <w:bookmarkStart w:id="68" w:name="publications"/>
    <w:p>
      <w:pPr>
        <w:pStyle w:val="Heading1"/>
      </w:pPr>
      <w:r>
        <w:t xml:space="preserve">Publications</w:t>
      </w:r>
    </w:p>
    <w:bookmarkStart w:id="60" w:name="peer-reviewed-articles"/>
    <w:p>
      <w:pPr>
        <w:pStyle w:val="Heading3"/>
      </w:pPr>
      <w:r>
        <w:t xml:space="preserve">Peer-Reviewed Articles</w:t>
      </w:r>
    </w:p>
    <w:bookmarkStart w:id="59" w:name="refs-6.0.1"/>
    <w:bookmarkStart w:id="57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https://doi.org/10.1177/15210251231156421</w:t>
        </w:r>
      </w:hyperlink>
    </w:p>
    <w:bookmarkEnd w:id="57"/>
    <w:bookmarkStart w:id="58" w:name="ref-hu"/>
    <w:p>
      <w:pPr>
        <w:pStyle w:val="BodyText"/>
      </w:pPr>
      <w:r>
        <w:t xml:space="preserve">Hu, X., Fernandez, F., Qiu, Y., &amp; Capaldi, M. J. (2023). IN PRESS.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58"/>
    <w:bookmarkEnd w:id="59"/>
    <w:bookmarkEnd w:id="60"/>
    <w:bookmarkStart w:id="64" w:name="commentary-articles"/>
    <w:p>
      <w:pPr>
        <w:pStyle w:val="Heading3"/>
      </w:pPr>
      <w:r>
        <w:t xml:space="preserve">Commentary Articles</w:t>
      </w:r>
    </w:p>
    <w:bookmarkStart w:id="63" w:name="refs-6.0.2"/>
    <w:bookmarkStart w:id="62" w:name="ref-capaldi2021"/>
    <w:p>
      <w:pPr>
        <w:pStyle w:val="FirstParagraph"/>
      </w:pPr>
      <w:r>
        <w:t xml:space="preserve">Capaldi, M. J. (2021, December 1).</w:t>
      </w:r>
      <w:r>
        <w:t xml:space="preserve"> </w:t>
      </w:r>
      <w:r>
        <w:rPr>
          <w:iCs/>
          <w:i/>
        </w:rPr>
        <w:t xml:space="preserve">Ensuring equitable public safety responses in college towns</w:t>
      </w:r>
      <w:r>
        <w:t xml:space="preserve">. American City and County.</w:t>
      </w:r>
      <w:r>
        <w:t xml:space="preserve"> </w:t>
      </w:r>
      <w:hyperlink r:id="rId61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62"/>
    <w:bookmarkEnd w:id="63"/>
    <w:bookmarkEnd w:id="64"/>
    <w:bookmarkStart w:id="67" w:name="presentations"/>
    <w:p>
      <w:pPr>
        <w:pStyle w:val="Heading3"/>
      </w:pPr>
      <w:r>
        <w:t xml:space="preserve">Presentations</w:t>
      </w:r>
    </w:p>
    <w:bookmarkStart w:id="66" w:name="refs-6.0.3"/>
    <w:bookmarkStart w:id="65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65"/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6" Target="https://doi.org/10.1177/15210251231156421" TargetMode="External" /><Relationship Type="http://schemas.openxmlformats.org/officeDocument/2006/relationships/hyperlink" Id="rId52" Target="https://edquant.github.io/edh7916/lessons/mapping_api.html" TargetMode="External" /><Relationship Type="http://schemas.openxmlformats.org/officeDocument/2006/relationships/hyperlink" Id="rId61" Target="https://www.americancityandcounty.com/2021/12/01/ensuring-equitable-public-safety-responses-in-college-tow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doi.org/10.1177/15210251231156421" TargetMode="External" /><Relationship Type="http://schemas.openxmlformats.org/officeDocument/2006/relationships/hyperlink" Id="rId52" Target="https://edquant.github.io/edh7916/lessons/mapping_api.html" TargetMode="External" /><Relationship Type="http://schemas.openxmlformats.org/officeDocument/2006/relationships/hyperlink" Id="rId61" Target="https://www.americancityandcounty.com/2021/12/01/ensuring-equitable-public-safety-responses-in-college-tow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2023-05-22T09:52:40Z</dcterms:created>
  <dcterms:modified xsi:type="dcterms:W3CDTF">2023-05-22T09:52:40Z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