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 📈 📉 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If you have any questions or comments, feel free to</w:t>
      </w:r>
      <w:r>
        <w:t xml:space="preserve"> </w:t>
      </w:r>
      <w:hyperlink r:id="rId22">
        <w:r>
          <w:rPr>
            <w:rStyle w:val="Hyperlink"/>
          </w:rPr>
          <w:t xml:space="preserve">reach out to me</w:t>
        </w:r>
      </w:hyperlink>
      <w:r>
        <w:t xml:space="preserve">!</w:t>
      </w:r>
    </w:p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2023-06-29T11:46:45Z</dcterms:created>
  <dcterms:modified xsi:type="dcterms:W3CDTF">2023-06-29T11:46:45Z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format-links">
    <vt:lpwstr>False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