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Quyết định giao đất</w:t>
      </w:r>
    </w:p>
    <w:p>
      <w:r>
        <w:t>Ủy ban nhân dân thành phố Cần Thơ giao đất cho hộ ông Trần Văn Lộc.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Thửa số</w:t>
            </w:r>
          </w:p>
        </w:tc>
        <w:tc>
          <w:tcPr>
            <w:tcW w:type="dxa" w:w="4320"/>
          </w:tcPr>
          <w:p>
            <w:r>
              <w:t>Diện tích (m²)</w:t>
            </w:r>
          </w:p>
        </w:tc>
      </w:tr>
      <w:tr>
        <w:tc>
          <w:tcPr>
            <w:tcW w:type="dxa" w:w="4320"/>
          </w:tcPr>
          <w:p>
            <w:r>
              <w:t>152</w:t>
            </w:r>
          </w:p>
        </w:tc>
        <w:tc>
          <w:tcPr>
            <w:tcW w:type="dxa" w:w="4320"/>
          </w:tcPr>
          <w:p>
            <w:r>
              <w:t>1.250,5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