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sz w:val="28"/>
          <w:szCs w:val="28"/>
        </w:rPr>
        <w:t xml:space="preserve">INFORME SEMANAL DE AVANCE DEL PROYECTO DE INVESTIGACIÓN</w:t>
      </w:r>
    </w:p>
    <w:p>
      <w:pPr>
        <w:spacing w:after="120"/>
      </w:pPr>
      <w:r>
        <w:rPr>
          <w:b/>
          <w:bCs/>
        </w:rPr>
        <w:t xml:space="preserve">Proyecto: </w:t>
      </w:r>
    </w:p>
    <w:p>
      <w:pPr>
        <w:spacing w:after="120"/>
      </w:pPr>
      <w:r>
        <w:t xml:space="preserve">Diseño e integración de una plataforma móvil que incluya sensores para medir variables cinemáticas y cinéticas en un simulador de marcha para validar prótesis transtibiales</w:t>
      </w:r>
    </w:p>
    <w:p>
      <w:pPr>
        <w:spacing w:after="120"/>
      </w:pPr>
      <w:r>
        <w:rPr>
          <w:b w:val="false"/>
          <w:bCs w:val="false"/>
        </w:rPr>
        <w:t xml:space="preserve">Período del informe: 31/07/2026 al 07/08/2026</w:t>
      </w:r>
    </w:p>
    <w:p>
      <w:pPr>
        <w:spacing w:after="120"/>
      </w:pPr>
      <w:r>
        <w:t xml:space="preserve">Responsable: Alessandro Jesus Felix Tello</w:t>
      </w:r>
    </w:p>
    <w:p>
      <w:pPr>
        <w:spacing w:after="120" w:before="240"/>
      </w:pPr>
      <w:r>
        <w:rPr>
          <w:b/>
          <w:bCs/>
          <w:sz w:val="24"/>
          <w:szCs w:val="24"/>
        </w:rPr>
        <w:t xml:space="preserve">1. Resumen Ejecutivo</w:t>
      </w:r>
    </w:p>
    <w:p>
      <w:pPr>
        <w:spacing w:after="120"/>
      </w:pPr>
      <w:r>
        <w:t xml:space="preserve">Durante la primera semana del proyecto se realizó la revisión del estado del arte correspondiente a las semanas 1-2 del cronograma. Se cubrieron 8 bloques temáticos (simuladores de marcha con sensórica embebida, concordancia IMU-sistemas ópticos, calibración de IMU de bajo costo, celdas de carga y sensores fuerza-torque, protocolos de calibración en sistemas robóticos/mecatrónicos, normas ISO de ensayo estructural de prótesis, arquitecturas de software de adquisición sincronizada, y diseño mecánico de plataformas móviles), totalizando 38 referencias citadas en formato IEEE. Se elaboró una síntesis que cruza el estado del arte con los 4 objetivos específicos del proyecto, identificando la brecha central que lo justifica, y se derivaron requerimientos técnicos preliminares para las 4 áreas del proyecto (mecánica, electrónica, software, validación). Adicionalmente, se verificaron los valores numéricos de la norma ISO 10328 contra fuentes primarias, corrigiendo un valor inicial incorrecto para el nivel de carga P5. La principal dificultad fue el acceso a normas técnicas de pago, resuelta mediante la biblioteca institucional.</w:t>
      </w:r>
    </w:p>
    <w:p>
      <w:pPr>
        <w:spacing w:after="120" w:before="240"/>
      </w:pPr>
      <w:r>
        <w:rPr>
          <w:b/>
          <w:bCs/>
          <w:sz w:val="24"/>
          <w:szCs w:val="24"/>
        </w:rPr>
        <w:t xml:space="preserve">2. Actividades Realizadas</w:t>
      </w:r>
    </w:p>
    <w:p>
      <w:pPr>
        <w:spacing w:after="120"/>
      </w:pPr>
      <w:r>
        <w:t xml:space="preserve">Revisión bibliográfica inicial. Qué: se revisaron y organizaron en tablas comparativas las fuentes correspondientes a simuladores de marcha con sensórica embebida, validación de IMU frente a sistemas ópticos, calibración de IMU de bajo costo, y celdas de carga en prótesis. Cómo: búsqueda documental estructurada y análisis comparativo por variables medidas, ventajas y limitaciones. Para qué: identificar el estado actual de la tecnología y las brechas que justifican el desarrollo de la plataforma. Resultado: documento de revisión bibliográfica con 4 bloques temáticos y 22 fuentes iniciales.</w:t>
      </w:r>
    </w:p>
    <w:p>
      <w:pPr>
        <w:spacing w:after="120"/>
      </w:pPr>
      <w:r>
        <w:t xml:space="preserve">Ampliación del estado del arte. Qué: se incorporaron 4 bloques adicionales no cubiertos inicialmente. Cómo: búsqueda dirigida sobre protocolos de calibración en sistemas robóticos/mecatrónicos, normas ISO de ensayo de prótesis, arquitecturas de software de sincronización multi-sensor, y diseño mecánico de plataformas móviles/mecanismos de traslación. Para qué: cerrar vacíos identificados en una revisión crítica previa del documento. Resultado: 16 referencias adicionales incorporadas y citadas en formato IEEE.</w:t>
      </w:r>
    </w:p>
    <w:p>
      <w:pPr>
        <w:spacing w:after="120"/>
      </w:pPr>
      <w:r>
        <w:t xml:space="preserve">Síntesis frente a objetivos del proyecto. Qué: se construyó una tabla que cruza los 8 bloques del estado del arte con los 4 objetivos específicos del proyecto. Cómo: análisis comparativo identificando qué aporta la literatura y qué brecha queda abierta para cada objetivo. Para qué: fundamentar la justificación técnica del proyecto. Resultado: tabla de síntesis con la brecha central identificada — ningún sistema revisado integra plataforma móvil + IMU + celda de carga + software sincronizado + validación normativa en una arquitectura de bajo costo.</w:t>
      </w:r>
    </w:p>
    <w:p>
      <w:pPr>
        <w:spacing w:after="120"/>
      </w:pPr>
      <w:r>
        <w:t xml:space="preserve">Derivación de requerimientos técnicos preliminares. Qué: se tradujeron los hallazgos bibliográficos en especificaciones técnicas orientativas (grados de libertad, tipo de IMU, rango de fuerza de la celda de carga, arquitectura de software, protocolo de validación). Cómo: análisis de las fuentes más relevantes por cada objetivo específico. Para qué: cerrar la definición de requerimientos que exige el cronograma al final de la semana 2. Resultado: sección de requerimientos técnicos, incluyendo una aclaración de alcance acordada con el equipo: la plataforma realizará sensado continuo durante la simulación, sin lazo de control en tiempo real (control tipo PID queda como trabajo futuro fuera de alcance).</w:t>
      </w:r>
    </w:p>
    <w:p>
      <w:pPr>
        <w:spacing w:after="120"/>
      </w:pPr>
      <w:r>
        <w:t xml:space="preserve">Verificación de valores normativos (ISO 10328). Qué: se contrastaron los valores de carga de la norma ISO 10328 (niveles P3-P6) reportados inicialmente contra fuentes primarias. Cómo: extracción y análisis de texto de 3 PDFs que citan directamente el texto de la norma, incluyendo uno con permiso de reproducción del Standards Council of Canada en nombre de ISO. Para qué: asegurar que el rango de fuerza usado para dimensionar la celda de carga sea correcto. Resultado: valores de P4 confirmados exactamente y valor de P5 corregido (de 2625/5250 N a 2240/4480 N); P3 y P6 quedan pendientes de verificación.</w:t>
      </w:r>
    </w:p>
    <w:p>
      <w:pPr>
        <w:spacing w:after="120" w:before="240"/>
      </w:pPr>
      <w:r>
        <w:rPr>
          <w:b/>
          <w:bCs/>
          <w:sz w:val="24"/>
          <w:szCs w:val="24"/>
        </w:rPr>
        <w:t xml:space="preserve">3. Actividades Planificadas vs. Actividades Ejecutadas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000"/>
      </w:tblGrid>
      <w:tr>
        <w:tc>
          <w:tcPr>
            <w:tcW w:type="dxa" w:w="3600"/>
            <w:shd w:fill="D9D9D9" w:val="clear"/>
          </w:tcPr>
          <w:p>
            <w:r>
              <w:rPr>
                <w:b/>
                <w:bCs/>
              </w:rPr>
              <w:t xml:space="preserve">Actividad Planificada</w:t>
            </w:r>
          </w:p>
        </w:tc>
        <w:tc>
          <w:tcPr>
            <w:tcW w:type="dxa" w:w="2400"/>
            <w:shd w:fill="D9D9D9" w:val="clear"/>
          </w:tcPr>
          <w:p>
            <w:r>
              <w:rPr>
                <w:b/>
                <w:bCs/>
              </w:rPr>
              <w:t xml:space="preserve">Estado</w:t>
            </w:r>
          </w:p>
        </w:tc>
        <w:tc>
          <w:tcPr>
            <w:tcW w:type="dxa" w:w="3000"/>
            <w:shd w:fill="D9D9D9" w:val="clear"/>
          </w:tcPr>
          <w:p>
            <w:r>
              <w:rPr>
                <w:b/>
                <w:bCs/>
              </w:rPr>
              <w:t xml:space="preserve">Comentarios</w:t>
            </w:r>
          </w:p>
        </w:tc>
      </w:tr>
      <w:tr>
        <w:tc>
          <w:tcPr>
            <w:tcW w:type="dxa" w:w="3600"/>
          </w:tcPr>
          <w:p>
            <w:r>
              <w:rPr>
                <w:b w:val="false"/>
                <w:bCs w:val="false"/>
              </w:rPr>
              <w:t xml:space="preserve">Revisión del estado del arte</w:t>
            </w:r>
          </w:p>
        </w:tc>
        <w:tc>
          <w:tcPr>
            <w:tcW w:type="dxa" w:w="2400"/>
          </w:tcPr>
          <w:p>
            <w:r>
              <w:rPr>
                <w:b w:val="false"/>
                <w:bCs w:val="false"/>
              </w:rPr>
              <w:t xml:space="preserve">Ejecutada</w:t>
            </w:r>
          </w:p>
        </w:tc>
        <w:tc>
          <w:tcPr>
            <w:tcW w:type="dxa" w:w="3000"/>
          </w:tcPr>
          <w:p>
            <w:r>
              <w:rPr>
                <w:b w:val="false"/>
                <w:bCs w:val="false"/>
              </w:rPr>
              <w:t xml:space="preserve">Completada según cronograma (semanas 1-2)</w:t>
            </w:r>
          </w:p>
        </w:tc>
      </w:tr>
      <w:tr>
        <w:tc>
          <w:tcPr>
            <w:tcW w:type="dxa" w:w="3600"/>
          </w:tcPr>
          <w:p>
            <w:r>
              <w:rPr>
                <w:b w:val="false"/>
                <w:bCs w:val="false"/>
              </w:rPr>
              <w:t xml:space="preserve">Definición de requerimientos técnicos preliminares</w:t>
            </w:r>
          </w:p>
        </w:tc>
        <w:tc>
          <w:tcPr>
            <w:tcW w:type="dxa" w:w="2400"/>
          </w:tcPr>
          <w:p>
            <w:r>
              <w:rPr>
                <w:b w:val="false"/>
                <w:bCs w:val="false"/>
              </w:rPr>
              <w:t xml:space="preserve">Ejecutada</w:t>
            </w:r>
          </w:p>
        </w:tc>
        <w:tc>
          <w:tcPr>
            <w:tcW w:type="dxa" w:w="3000"/>
          </w:tcPr>
          <w:p>
            <w:r>
              <w:rPr>
                <w:b w:val="false"/>
                <w:bCs w:val="false"/>
              </w:rPr>
              <w:t xml:space="preserve">Sujetos a validación con el asesor antes del diseño mecánico</w:t>
            </w:r>
          </w:p>
        </w:tc>
      </w:tr>
      <w:tr>
        <w:tc>
          <w:tcPr>
            <w:tcW w:type="dxa" w:w="3600"/>
          </w:tcPr>
          <w:p>
            <w:r>
              <w:rPr>
                <w:b w:val="false"/>
                <w:bCs w:val="false"/>
              </w:rPr>
              <w:t xml:space="preserve">Verificación de valores de norma ISO 10328</w:t>
            </w:r>
          </w:p>
        </w:tc>
        <w:tc>
          <w:tcPr>
            <w:tcW w:type="dxa" w:w="2400"/>
          </w:tcPr>
          <w:p>
            <w:r>
              <w:rPr>
                <w:b w:val="false"/>
                <w:bCs w:val="false"/>
              </w:rPr>
              <w:t xml:space="preserve">En proceso</w:t>
            </w:r>
          </w:p>
        </w:tc>
        <w:tc>
          <w:tcPr>
            <w:tcW w:type="dxa" w:w="3000"/>
          </w:tcPr>
          <w:p>
            <w:r>
              <w:rPr>
                <w:b w:val="false"/>
                <w:bCs w:val="false"/>
              </w:rPr>
              <w:t xml:space="preserve">P4 y P5 (Condición I) verificados con fuente primaria; P3, P6 y Condición II pendientes</w:t>
            </w:r>
          </w:p>
        </w:tc>
      </w:tr>
      <w:tr>
        <w:tc>
          <w:tcPr>
            <w:tcW w:type="dxa" w:w="3600"/>
          </w:tcPr>
          <w:p>
            <w:r>
              <w:rPr>
                <w:b w:val="false"/>
                <w:bCs w:val="false"/>
              </w:rPr>
              <w:t xml:space="preserve">Completar citas bibliográficas incompletas</w:t>
            </w:r>
          </w:p>
        </w:tc>
        <w:tc>
          <w:tcPr>
            <w:tcW w:type="dxa" w:w="2400"/>
          </w:tcPr>
          <w:p>
            <w:r>
              <w:rPr>
                <w:b w:val="false"/>
                <w:bCs w:val="false"/>
              </w:rPr>
              <w:t xml:space="preserve">En proceso</w:t>
            </w:r>
          </w:p>
        </w:tc>
        <w:tc>
          <w:tcPr>
            <w:tcW w:type="dxa" w:w="3000"/>
          </w:tcPr>
          <w:p>
            <w:r>
              <w:rPr>
                <w:b w:val="false"/>
                <w:bCs w:val="false"/>
              </w:rPr>
              <w:t xml:space="preserve">11 de 38 referencias sin autor/año/journal completo</w:t>
            </w:r>
          </w:p>
        </w:tc>
      </w:tr>
    </w:tbl>
    <w:p>
      <w:pPr>
        <w:spacing w:after="120" w:before="240"/>
      </w:pPr>
      <w:r>
        <w:rPr>
          <w:b/>
          <w:bCs/>
          <w:sz w:val="24"/>
          <w:szCs w:val="24"/>
        </w:rPr>
        <w:t xml:space="preserve">4. Dificultades o Problemas Presentados</w:t>
      </w:r>
    </w:p>
    <w:p>
      <w:pPr>
        <w:spacing w:after="120"/>
      </w:pPr>
      <w:r>
        <w:t xml:space="preserve">Acceso a la norma ISO 10328 completa. Causa probable: la norma es un documento de pago (ISO Store). Impacto: riesgo de dimensionar la celda de carga con valores incorrectos si se usan solo fuentes secundarias. Acción correctiva: se identificó y utilizó el acceso institucional gratuito a través de la sala de lectura virtual de Normas Técnicas Peruanas (INACAL), disponible mediante la biblioteca PUCP; adicionalmente se verificaron valores puntuales mediante papers académicos que citan la norma con permiso de reproducción.</w:t>
      </w:r>
    </w:p>
    <w:p>
      <w:pPr>
        <w:spacing w:after="120"/>
      </w:pPr>
      <w:r>
        <w:t xml:space="preserve">Discrepancias entre fuentes secundarias. Causa probable: distintos papers reportan valores de carga de ISO 10328 para componentes distintos (socket vs. rodilla vs. pilón) o ediciones distintas de la norma (2006 vs. 2016), lo que genera cifras aparentemente contradictorias. Impacto: riesgo de usar un valor incorrecto para el dimensionamiento. Acción correctiva: se priorizó el uso de fuentes que citan textualmente la norma vigente (2016) sobre resúmenes de terceros.</w:t>
      </w:r>
    </w:p>
    <w:p>
      <w:pPr>
        <w:spacing w:after="120" w:before="240"/>
      </w:pPr>
      <w:r>
        <w:rPr>
          <w:b/>
          <w:bCs/>
          <w:sz w:val="24"/>
          <w:szCs w:val="24"/>
        </w:rPr>
        <w:t xml:space="preserve">5. Lecciones Aprendidas / Recomendaciones</w:t>
      </w:r>
    </w:p>
    <w:p>
      <w:pPr>
        <w:spacing w:after="120"/>
      </w:pPr>
      <w:r>
        <w:t xml:space="preserve">Es indispensable verificar los valores numéricos de normas técnicas contra fuentes primarias (o secundarias que citen textualmente la norma con permiso de reproducción) antes de utilizarlos en decisiones de diseño, ya que fuentes secundarias de menor calidad pueden reportar valores incorrectos o referirse a componentes/ediciones distintas sin advertirlo. Para las próximas semanas, se recomienda priorizar el cierre de las referencias bibliográficas incompletas antes de avanzar demasiado en el diseño mecánico, para evitar retrabajo en la documentación final.</w:t>
      </w:r>
    </w:p>
    <w:p>
      <w:pPr>
        <w:spacing w:after="120" w:before="240"/>
      </w:pPr>
      <w:r>
        <w:rPr>
          <w:b/>
          <w:bCs/>
          <w:sz w:val="24"/>
          <w:szCs w:val="24"/>
        </w:rPr>
        <w:t xml:space="preserve">6. Actividades Planificadas para la Siguiente Semana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9D9D9" w:val="clear"/>
          </w:tcPr>
          <w:p>
            <w:r>
              <w:rPr>
                <w:b/>
                <w:bCs/>
              </w:rPr>
              <w:t xml:space="preserve">Actividad</w:t>
            </w:r>
          </w:p>
        </w:tc>
        <w:tc>
          <w:tcPr>
            <w:tcW w:type="dxa" w:w="4500"/>
            <w:shd w:fill="D9D9D9" w:val="clear"/>
          </w:tcPr>
          <w:p>
            <w:r>
              <w:rPr>
                <w:b/>
                <w:bCs/>
              </w:rPr>
              <w:t xml:space="preserve">Objetivo</w:t>
            </w:r>
          </w:p>
        </w:tc>
      </w:tr>
      <w:tr>
        <w:tc>
          <w:tcPr>
            <w:tcW w:type="dxa" w:w="4500"/>
          </w:tcPr>
          <w:p>
            <w:r>
              <w:rPr>
                <w:b w:val="false"/>
                <w:bCs w:val="false"/>
              </w:rPr>
              <w:t xml:space="preserve">Completar autor/año/journal de las 11 referencias bibliográficas pendientes</w:t>
            </w:r>
          </w:p>
        </w:tc>
        <w:tc>
          <w:tcPr>
            <w:tcW w:type="dxa" w:w="4500"/>
          </w:tcPr>
          <w:p>
            <w:r>
              <w:rPr>
                <w:b w:val="false"/>
                <w:bCs w:val="false"/>
              </w:rPr>
              <w:t xml:space="preserve">Dejar la revisión bibliográfica lista para citar en el informe final</w:t>
            </w:r>
          </w:p>
        </w:tc>
      </w:tr>
      <w:tr>
        <w:tc>
          <w:tcPr>
            <w:tcW w:type="dxa" w:w="4500"/>
          </w:tcPr>
          <w:p>
            <w:r>
              <w:rPr>
                <w:b w:val="false"/>
                <w:bCs w:val="false"/>
              </w:rPr>
              <w:t xml:space="preserve">Verificar valores de ISO 10328 para niveles P3 y P6 (Condición I y II)</w:t>
            </w:r>
          </w:p>
        </w:tc>
        <w:tc>
          <w:tcPr>
            <w:tcW w:type="dxa" w:w="4500"/>
          </w:tcPr>
          <w:p>
            <w:r>
              <w:rPr>
                <w:b w:val="false"/>
                <w:bCs w:val="false"/>
              </w:rPr>
              <w:t xml:space="preserve">Completar el dimensionamiento del rango de fuerza de la celda de carga</w:t>
            </w:r>
          </w:p>
        </w:tc>
      </w:tr>
      <w:tr>
        <w:tc>
          <w:tcPr>
            <w:tcW w:type="dxa" w:w="4500"/>
          </w:tcPr>
          <w:p>
            <w:r>
              <w:rPr>
                <w:b w:val="false"/>
                <w:bCs w:val="false"/>
              </w:rPr>
              <w:t xml:space="preserve">Iniciar diseño conceptual de la estructura mecánica (3 DOF)</w:t>
            </w:r>
          </w:p>
        </w:tc>
        <w:tc>
          <w:tcPr>
            <w:tcW w:type="dxa" w:w="4500"/>
          </w:tcPr>
          <w:p>
            <w:r>
              <w:rPr>
                <w:b w:val="false"/>
                <w:bCs w:val="false"/>
              </w:rPr>
              <w:t xml:space="preserve">Objetivo específico 1 (Diseño Mecánico) — cierre de semana 3-4 según cronograma</w:t>
            </w:r>
          </w:p>
        </w:tc>
      </w:tr>
    </w:tbl>
    <w:p>
      <w:pPr>
        <w:spacing w:after="120" w:before="240"/>
      </w:pPr>
      <w:r>
        <w:rPr>
          <w:b/>
          <w:bCs/>
          <w:sz w:val="24"/>
          <w:szCs w:val="24"/>
        </w:rPr>
        <w:t xml:space="preserve">7. Anexos o Evidencias</w:t>
      </w:r>
    </w:p>
    <w:p>
      <w:pPr>
        <w:spacing w:after="120"/>
      </w:pPr>
      <w:r>
        <w:t xml:space="preserve">Documento "Revisión bibliográfica - Semana 1-2.md" (revisión del estado del arte completa, síntesis y requerimientos técnicos), guardado en la carpeta del proyecto (LIBRA).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2026-08-05T21:05:52.686Z</dcterms:created>
  <dcterms:modified xsi:type="dcterms:W3CDTF">2026-08-05T21:05:52.699Z</dcterms:modified>
</cp:coreProperties>
</file>

<file path=docProps/custom.xml><?xml version="1.0" encoding="utf-8"?>
<Properties xmlns="http://schemas.openxmlformats.org/officeDocument/2006/custom-properties" xmlns:vt="http://schemas.openxmlformats.org/officeDocument/2006/docPropsVTypes"/>
</file>