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03740"/>
          <w:sz w:val="34"/>
          <w:szCs w:val="34"/>
        </w:rPr>
        <w:t xml:space="preserve">Layered Systemic Evaluation Report — Example, Week 12 Draft</w:t>
      </w:r>
    </w:p>
    <w:p>
      <w:pPr>
        <w:spacing w:after="160"/>
      </w:pPr>
      <w:r>
        <w:rPr>
          <w:color w:val="5f6b67"/>
          <w:sz w:val="19"/>
          <w:szCs w:val="19"/>
        </w:rPr>
        <w:t xml:space="preserve">The study planner for first-year students  |  AK, Team 0 (worked example)  |  DECO6500 A3  |  Week 12 companion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C815E" w:sz="14"/>
              <w:left w:val="single" w:color="BFB8A6" w:sz="4"/>
              <w:bottom w:val="single" w:color="BFB8A6" w:sz="4"/>
              <w:right w:val="single" w:color="BFB8A6" w:sz="4"/>
            </w:tcBorders>
            <w:shd w:fill="EEF0EF" w:color="auto" w:val="clear"/>
            <w:tcMar>
              <w:top w:type="dxa" w:w="110"/>
              <w:left w:type="dxa" w:w="150"/>
              <w:bottom w:type="dxa" w:w="110"/>
              <w:right w:type="dxa" w:w="150"/>
            </w:tcMar>
          </w:tcPr>
          <w:p>
            <w:pPr>
              <w:spacing w:after="70"/>
            </w:pPr>
            <w:r>
              <w:rPr>
                <w:b/>
                <w:bCs/>
                <w:color w:val="8C815E"/>
                <w:sz w:val="19"/>
                <w:szCs w:val="19"/>
              </w:rPr>
              <w:t xml:space="preserve">THIS IS A WEEK 12 DRAFT, AND IT SHOWS CONTENT, NOT FORMAT</w:t>
            </w:r>
          </w:p>
          <w:p>
            <w:pPr>
              <w:spacing w:after="70"/>
            </w:pPr>
            <w:r>
              <w:rPr>
                <w:b/>
                <w:bCs/>
                <w:sz w:val="19"/>
                <w:szCs w:val="19"/>
              </w:rPr>
              <w:t xml:space="preserve">What it is for.</w:t>
            </w:r>
            <w:r>
              <w:rPr>
                <w:sz w:val="19"/>
                <w:szCs w:val="19"/>
              </w:rPr>
              <w:t xml:space="preserve"> This example helps you organise the content your report needs. It follows the recommended structure in Section 6 of the brief, section by section, so you can see where each piece of content goes.</w:t>
            </w:r>
          </w:p>
          <w:p>
            <w:pPr>
              <w:spacing w:after="70"/>
            </w:pPr>
            <w:r>
              <w:rPr>
                <w:b/>
                <w:bCs/>
                <w:sz w:val="19"/>
                <w:szCs w:val="19"/>
              </w:rPr>
              <w:t xml:space="preserve">What it is not.</w:t>
            </w:r>
            <w:r>
              <w:rPr>
                <w:sz w:val="19"/>
                <w:szCs w:val="19"/>
              </w:rPr>
              <w:t xml:space="preserve"> It is not a model of your final submission. Your report will be written in one of three formats (pilot evaluation report, methodological case study, or evaluation handover brief), and the format changes the order, headings and tone. AK has chosen format C; a handover brief written for real would not look like this. Work out your format from the brief and write for your named reader.</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C815E" w:sz="14"/>
              <w:left w:val="single" w:color="BFB8A6" w:sz="4"/>
              <w:bottom w:val="single" w:color="BFB8A6" w:sz="4"/>
              <w:right w:val="single" w:color="BFB8A6" w:sz="4"/>
            </w:tcBorders>
            <w:shd w:fill="EEF0EF" w:color="auto" w:val="clear"/>
            <w:tcMar>
              <w:top w:type="dxa" w:w="110"/>
              <w:left w:type="dxa" w:w="150"/>
              <w:bottom w:type="dxa" w:w="110"/>
              <w:right w:type="dxa" w:w="150"/>
            </w:tcMar>
          </w:tcPr>
          <w:p>
            <w:pPr>
              <w:spacing w:after="70"/>
            </w:pPr>
            <w:r>
              <w:rPr>
                <w:b/>
                <w:bCs/>
                <w:color w:val="8C815E"/>
                <w:sz w:val="19"/>
                <w:szCs w:val="19"/>
              </w:rPr>
              <w:t xml:space="preserve">READ THIS FIRST</w:t>
            </w:r>
          </w:p>
          <w:p>
            <w:pPr>
              <w:spacing w:after="70"/>
            </w:pPr>
            <w:r>
              <w:rPr>
                <w:sz w:val="19"/>
                <w:szCs w:val="19"/>
              </w:rPr>
              <w:t xml:space="preserve">This continues the Week 10 example: Team 0's study planner, and AK's individual A3. Sections 1 to 3 are close to final. Section 4 shows the Week 11 work (the chain from question to method, the evidence strategy, and the criteria and strongest claim set before running). Sections 5 to 7 show what AK wrote after running the method.</w:t>
            </w:r>
          </w:p>
          <w:p>
            <w:pPr>
              <w:spacing w:after="70"/>
            </w:pPr>
            <w:r>
              <w:rPr>
                <w:b/>
                <w:bCs/>
                <w:sz w:val="19"/>
                <w:szCs w:val="19"/>
              </w:rPr>
              <w:t xml:space="preserve">AK is ahead of most of you.</w:t>
            </w:r>
            <w:r>
              <w:rPr>
                <w:sz w:val="19"/>
                <w:szCs w:val="19"/>
              </w:rPr>
              <w:t xml:space="preserve"> AK ran the method early in Week 12. You will run yours before the Week 13 applied class, so use Sections 5 to 7 to see what to aim for, not as a measure of where you should be now.</w:t>
            </w:r>
          </w:p>
          <w:p>
            <w:pPr>
              <w:spacing w:after="70"/>
            </w:pPr>
            <w:r>
              <w:rPr>
                <w:b/>
                <w:bCs/>
                <w:sz w:val="19"/>
                <w:szCs w:val="19"/>
              </w:rPr>
              <w:t xml:space="preserve">Grey boxes mark where the example stops short.</w:t>
            </w:r>
            <w:r>
              <w:rPr>
                <w:sz w:val="19"/>
                <w:szCs w:val="19"/>
              </w:rPr>
              <w:t xml:space="preserve"> Sections 5, 6 and 7 need more than fits in an example. Where you see "MORE IN YOUR REPORT", the example shows the first few items and lists what else your report must contain. Your real report has to include all of it.</w:t>
            </w:r>
          </w:p>
          <w:p>
            <w:pPr>
              <w:spacing w:after="70"/>
            </w:pPr>
            <w:r>
              <w:rPr>
                <w:b/>
                <w:bCs/>
                <w:sz w:val="19"/>
                <w:szCs w:val="19"/>
              </w:rPr>
              <w:t xml:space="preserve">Length.</w:t>
            </w:r>
            <w:r>
              <w:rPr>
                <w:sz w:val="19"/>
                <w:szCs w:val="19"/>
              </w:rPr>
              <w:t xml:space="preserve"> The report text here (page one and Sections 1 to 7, including headings and text in tables, not the grey boxes) is about </w:t>
            </w:r>
            <w:r>
              <w:rPr>
                <w:b/>
                <w:bCs/>
                <w:sz w:val="19"/>
                <w:szCs w:val="19"/>
              </w:rPr>
              <w:t xml:space="preserve">2,540</w:t>
            </w:r>
            <w:r>
              <w:rPr>
                <w:sz w:val="19"/>
                <w:szCs w:val="19"/>
              </w:rPr>
              <w:t xml:space="preserve"> words, inside the brief's 2,500 to 3,000. But Section 8 and the rest of Section 5 still have to fit, so AK will need to cut elsewhere in Week 13: Sections 1 to 4 can be tightened now that the method is settled. Plan your own word budget the same way. Anything that needs assessing has to be in the main report, not an appendix.</w:t>
            </w:r>
          </w:p>
          <w:p>
            <w:pPr>
              <w:spacing w:after="70"/>
            </w:pPr>
            <w:r>
              <w:rPr>
                <w:b/>
                <w:bCs/>
                <w:sz w:val="19"/>
                <w:szCs w:val="19"/>
              </w:rPr>
              <w:t xml:space="preserve">What is invented.</w:t>
            </w:r>
            <w:r>
              <w:rPr>
                <w:sz w:val="19"/>
                <w:szCs w:val="19"/>
              </w:rPr>
              <w:t xml:space="preserve"> The university, its documents, the comparable cases, the practitioners and what they said are all fictional. In your report, every source is real and referenced. [Log 1] to [Log 4] point to the separate example working log.</w:t>
            </w:r>
          </w:p>
          <w:p>
            <w:pPr>
              <w:spacing w:after="70"/>
            </w:pPr>
            <w:r>
              <w:rPr>
                <w:b/>
                <w:bCs/>
                <w:sz w:val="19"/>
                <w:szCs w:val="19"/>
              </w:rPr>
              <w:t xml:space="preserve">Labels.</w:t>
            </w:r>
            <w:r>
              <w:rPr>
                <w:sz w:val="19"/>
                <w:szCs w:val="19"/>
              </w:rPr>
              <w:t xml:space="preserve"> [D] documented, [I] inferred, [A] anticipated: the claim labels from Week 11. You can use labels or words; what matters is that the reader can tell which is which.</w:t>
            </w:r>
          </w:p>
        </w:tc>
      </w:tr>
    </w:tbl>
    <w:p>
      <w:pPr>
        <w:spacing w:after="60"/>
      </w:pPr>
    </w:p>
    <w:p>
      <w:pPr>
        <w:pStyle w:val="Heading1"/>
      </w:pPr>
      <w:r>
        <w:t xml:space="preserve">Where this draft stands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41"/>
        <w:gridCol w:w="3709"/>
        <w:gridCol w:w="1607"/>
        <w:gridCol w:w="2969"/>
      </w:tblGrid>
      <w:tr>
        <w:trPr>
          <w:tblHeader/>
        </w:trPr>
        <w:tc>
          <w:tcPr>
            <w:tcW w:type="dxa" w:w="741"/>
            <w:tcBorders>
              <w:top w:val="single" w:color="BFB8A6" w:sz="4"/>
              <w:left w:val="single" w:color="BFB8A6" w:sz="4"/>
              <w:bottom w:val="single" w:color="BFB8A6" w:sz="4"/>
              <w:right w:val="single" w:color="BFB8A6" w:sz="4"/>
            </w:tcBorders>
            <w:shd w:fill="103740" w:color="auto" w:val="clear"/>
            <w:tcMar>
              <w:top w:type="dxa" w:w="60"/>
              <w:left w:type="dxa" w:w="100"/>
              <w:bottom w:type="dxa" w:w="60"/>
              <w:right w:type="dxa" w:w="100"/>
            </w:tcMar>
          </w:tcPr>
          <w:p>
            <w:pPr>
              <w:spacing w:after="40"/>
            </w:pPr>
            <w:r>
              <w:rPr>
                <w:b/>
                <w:bCs/>
                <w:color w:val="FFFFFF"/>
              </w:rPr>
              <w:t xml:space="preserve">#</w:t>
            </w:r>
          </w:p>
        </w:tc>
        <w:tc>
          <w:tcPr>
            <w:tcW w:type="dxa" w:w="3709"/>
            <w:tcBorders>
              <w:top w:val="single" w:color="BFB8A6" w:sz="4"/>
              <w:left w:val="single" w:color="BFB8A6" w:sz="4"/>
              <w:bottom w:val="single" w:color="BFB8A6" w:sz="4"/>
              <w:right w:val="single" w:color="BFB8A6" w:sz="4"/>
            </w:tcBorders>
            <w:shd w:fill="103740" w:color="auto" w:val="clear"/>
            <w:tcMar>
              <w:top w:type="dxa" w:w="60"/>
              <w:left w:type="dxa" w:w="100"/>
              <w:bottom w:type="dxa" w:w="60"/>
              <w:right w:type="dxa" w:w="100"/>
            </w:tcMar>
          </w:tcPr>
          <w:p>
            <w:pPr>
              <w:spacing w:after="40"/>
            </w:pPr>
            <w:r>
              <w:rPr>
                <w:b/>
                <w:bCs/>
                <w:color w:val="FFFFFF"/>
              </w:rPr>
              <w:t xml:space="preserve">Section of the report</w:t>
            </w:r>
          </w:p>
        </w:tc>
        <w:tc>
          <w:tcPr>
            <w:tcW w:type="dxa" w:w="1607"/>
            <w:tcBorders>
              <w:top w:val="single" w:color="BFB8A6" w:sz="4"/>
              <w:left w:val="single" w:color="BFB8A6" w:sz="4"/>
              <w:bottom w:val="single" w:color="BFB8A6" w:sz="4"/>
              <w:right w:val="single" w:color="BFB8A6" w:sz="4"/>
            </w:tcBorders>
            <w:shd w:fill="103740" w:color="auto" w:val="clear"/>
            <w:tcMar>
              <w:top w:type="dxa" w:w="60"/>
              <w:left w:type="dxa" w:w="100"/>
              <w:bottom w:type="dxa" w:w="60"/>
              <w:right w:type="dxa" w:w="100"/>
            </w:tcMar>
          </w:tcPr>
          <w:p>
            <w:pPr>
              <w:spacing w:after="40"/>
            </w:pPr>
            <w:r>
              <w:rPr>
                <w:b/>
                <w:bCs/>
                <w:color w:val="FFFFFF"/>
              </w:rPr>
              <w:t xml:space="preserve">Brief task</w:t>
            </w:r>
          </w:p>
        </w:tc>
        <w:tc>
          <w:tcPr>
            <w:tcW w:type="dxa" w:w="2969"/>
            <w:tcBorders>
              <w:top w:val="single" w:color="BFB8A6" w:sz="4"/>
              <w:left w:val="single" w:color="BFB8A6" w:sz="4"/>
              <w:bottom w:val="single" w:color="BFB8A6" w:sz="4"/>
              <w:right w:val="single" w:color="BFB8A6" w:sz="4"/>
            </w:tcBorders>
            <w:shd w:fill="103740" w:color="auto" w:val="clear"/>
            <w:tcMar>
              <w:top w:type="dxa" w:w="60"/>
              <w:left w:type="dxa" w:w="100"/>
              <w:bottom w:type="dxa" w:w="60"/>
              <w:right w:type="dxa" w:w="100"/>
            </w:tcMar>
          </w:tcPr>
          <w:p>
            <w:pPr>
              <w:spacing w:after="40"/>
            </w:pPr>
            <w:r>
              <w:rPr>
                <w:b/>
                <w:bCs/>
                <w:color w:val="FFFFFF"/>
              </w:rPr>
              <w:t xml:space="preserve">At the end of Week 12</w:t>
            </w:r>
          </w:p>
        </w:tc>
      </w:tr>
      <w:tr>
        <w:trPr>
          <w:tblHeader w:val="false"/>
        </w:trPr>
        <w:tc>
          <w:tcPr>
            <w:tcW w:type="dxa" w:w="741"/>
            <w:tcBorders>
              <w:top w:val="single" w:color="BFB8A6" w:sz="4"/>
              <w:left w:val="single" w:color="BFB8A6" w:sz="4"/>
              <w:bottom w:val="single" w:color="BFB8A6" w:sz="4"/>
              <w:right w:val="single" w:color="BFB8A6" w:sz="4"/>
            </w:tcBorders>
            <w:tcMar>
              <w:top w:type="dxa" w:w="60"/>
              <w:left w:type="dxa" w:w="100"/>
              <w:bottom w:type="dxa" w:w="60"/>
              <w:right w:type="dxa" w:w="100"/>
            </w:tcMar>
          </w:tcPr>
          <w:p>
            <w:pPr>
              <w:spacing w:after="40"/>
            </w:pPr>
            <w:r>
              <w:t xml:space="preserve">—</w:t>
            </w:r>
          </w:p>
        </w:tc>
        <w:tc>
          <w:tcPr>
            <w:tcW w:type="dxa" w:w="3709"/>
            <w:tcBorders>
              <w:top w:val="single" w:color="BFB8A6" w:sz="4"/>
              <w:left w:val="single" w:color="BFB8A6" w:sz="4"/>
              <w:bottom w:val="single" w:color="BFB8A6" w:sz="4"/>
              <w:right w:val="single" w:color="BFB8A6" w:sz="4"/>
            </w:tcBorders>
            <w:tcMar>
              <w:top w:type="dxa" w:w="60"/>
              <w:left w:type="dxa" w:w="100"/>
              <w:bottom w:type="dxa" w:w="60"/>
              <w:right w:type="dxa" w:w="100"/>
            </w:tcMar>
          </w:tcPr>
          <w:p>
            <w:pPr>
              <w:spacing w:after="40"/>
            </w:pPr>
            <w:r>
              <w:t xml:space="preserve">Format, reader, "What this evaluation can tell you"</w:t>
            </w:r>
          </w:p>
        </w:tc>
        <w:tc>
          <w:tcPr>
            <w:tcW w:type="dxa" w:w="1607"/>
            <w:tcBorders>
              <w:top w:val="single" w:color="BFB8A6" w:sz="4"/>
              <w:left w:val="single" w:color="BFB8A6" w:sz="4"/>
              <w:bottom w:val="single" w:color="BFB8A6" w:sz="4"/>
              <w:right w:val="single" w:color="BFB8A6" w:sz="4"/>
            </w:tcBorders>
            <w:tcMar>
              <w:top w:type="dxa" w:w="60"/>
              <w:left w:type="dxa" w:w="100"/>
              <w:bottom w:type="dxa" w:w="60"/>
              <w:right w:type="dxa" w:w="100"/>
            </w:tcMar>
          </w:tcPr>
          <w:p>
            <w:pPr>
              <w:spacing w:after="40"/>
            </w:pPr>
            <w:r>
              <w:t xml:space="preserve">Section 6</w:t>
            </w:r>
          </w:p>
        </w:tc>
        <w:tc>
          <w:tcPr>
            <w:tcW w:type="dxa" w:w="2969"/>
            <w:tcBorders>
              <w:top w:val="single" w:color="BFB8A6" w:sz="4"/>
              <w:left w:val="single" w:color="BFB8A6" w:sz="4"/>
              <w:bottom w:val="single" w:color="BFB8A6" w:sz="4"/>
              <w:right w:val="single" w:color="BFB8A6" w:sz="4"/>
            </w:tcBorders>
            <w:tcMar>
              <w:top w:type="dxa" w:w="60"/>
              <w:left w:type="dxa" w:w="100"/>
              <w:bottom w:type="dxa" w:w="60"/>
              <w:right w:type="dxa" w:w="100"/>
            </w:tcMar>
          </w:tcPr>
          <w:p>
            <w:pPr>
              <w:spacing w:after="40"/>
            </w:pPr>
            <w:r>
              <w:t xml:space="preserve">Drafted; finalised last</w:t>
            </w:r>
          </w:p>
        </w:tc>
      </w:tr>
      <w:tr>
        <w:trPr>
          <w:tblHeader w:val="false"/>
        </w:trPr>
        <w:tc>
          <w:tcPr>
            <w:tcW w:type="dxa" w:w="741"/>
            <w:tcBorders>
              <w:top w:val="single" w:color="BFB8A6" w:sz="4"/>
              <w:left w:val="single" w:color="BFB8A6" w:sz="4"/>
              <w:bottom w:val="single" w:color="BFB8A6" w:sz="4"/>
              <w:right w:val="single" w:color="BFB8A6" w:sz="4"/>
            </w:tcBorders>
            <w:tcMar>
              <w:top w:type="dxa" w:w="60"/>
              <w:left w:type="dxa" w:w="100"/>
              <w:bottom w:type="dxa" w:w="60"/>
              <w:right w:type="dxa" w:w="100"/>
            </w:tcMar>
          </w:tcPr>
          <w:p>
            <w:pPr>
              <w:spacing w:after="40"/>
            </w:pPr>
            <w:r>
              <w:t xml:space="preserve">1–3</w:t>
            </w:r>
          </w:p>
        </w:tc>
        <w:tc>
          <w:tcPr>
            <w:tcW w:type="dxa" w:w="3709"/>
            <w:tcBorders>
              <w:top w:val="single" w:color="BFB8A6" w:sz="4"/>
              <w:left w:val="single" w:color="BFB8A6" w:sz="4"/>
              <w:bottom w:val="single" w:color="BFB8A6" w:sz="4"/>
              <w:right w:val="single" w:color="BFB8A6" w:sz="4"/>
            </w:tcBorders>
            <w:tcMar>
              <w:top w:type="dxa" w:w="60"/>
              <w:left w:type="dxa" w:w="100"/>
              <w:bottom w:type="dxa" w:w="60"/>
              <w:right w:type="dxa" w:w="100"/>
            </w:tcMar>
          </w:tcPr>
          <w:p>
            <w:pPr>
              <w:spacing w:after="40"/>
            </w:pPr>
            <w:r>
              <w:t xml:space="preserve">System, focus and questions, layers</w:t>
            </w:r>
          </w:p>
        </w:tc>
        <w:tc>
          <w:tcPr>
            <w:tcW w:type="dxa" w:w="1607"/>
            <w:tcBorders>
              <w:top w:val="single" w:color="BFB8A6" w:sz="4"/>
              <w:left w:val="single" w:color="BFB8A6" w:sz="4"/>
              <w:bottom w:val="single" w:color="BFB8A6" w:sz="4"/>
              <w:right w:val="single" w:color="BFB8A6" w:sz="4"/>
            </w:tcBorders>
            <w:tcMar>
              <w:top w:type="dxa" w:w="60"/>
              <w:left w:type="dxa" w:w="100"/>
              <w:bottom w:type="dxa" w:w="60"/>
              <w:right w:type="dxa" w:w="100"/>
            </w:tcMar>
          </w:tcPr>
          <w:p>
            <w:pPr>
              <w:spacing w:after="40"/>
            </w:pPr>
            <w:r>
              <w:t xml:space="preserve">Tasks 1–3</w:t>
            </w:r>
          </w:p>
        </w:tc>
        <w:tc>
          <w:tcPr>
            <w:tcW w:type="dxa" w:w="2969"/>
            <w:tcBorders>
              <w:top w:val="single" w:color="BFB8A6" w:sz="4"/>
              <w:left w:val="single" w:color="BFB8A6" w:sz="4"/>
              <w:bottom w:val="single" w:color="BFB8A6" w:sz="4"/>
              <w:right w:val="single" w:color="BFB8A6" w:sz="4"/>
            </w:tcBorders>
            <w:tcMar>
              <w:top w:type="dxa" w:w="60"/>
              <w:left w:type="dxa" w:w="100"/>
              <w:bottom w:type="dxa" w:w="60"/>
              <w:right w:type="dxa" w:w="100"/>
            </w:tcMar>
          </w:tcPr>
          <w:p>
            <w:pPr>
              <w:spacing w:after="40"/>
            </w:pPr>
            <w:r>
              <w:t xml:space="preserve">Close to final</w:t>
            </w:r>
          </w:p>
        </w:tc>
      </w:tr>
      <w:tr>
        <w:trPr>
          <w:tblHeader w:val="false"/>
        </w:trPr>
        <w:tc>
          <w:tcPr>
            <w:tcW w:type="dxa" w:w="741"/>
            <w:tcBorders>
              <w:top w:val="single" w:color="BFB8A6" w:sz="4"/>
              <w:left w:val="single" w:color="BFB8A6" w:sz="4"/>
              <w:bottom w:val="single" w:color="BFB8A6" w:sz="4"/>
              <w:right w:val="single" w:color="BFB8A6" w:sz="4"/>
            </w:tcBorders>
            <w:tcMar>
              <w:top w:type="dxa" w:w="60"/>
              <w:left w:type="dxa" w:w="100"/>
              <w:bottom w:type="dxa" w:w="60"/>
              <w:right w:type="dxa" w:w="100"/>
            </w:tcMar>
          </w:tcPr>
          <w:p>
            <w:pPr>
              <w:spacing w:after="40"/>
            </w:pPr>
            <w:r>
              <w:t xml:space="preserve">4</w:t>
            </w:r>
          </w:p>
        </w:tc>
        <w:tc>
          <w:tcPr>
            <w:tcW w:type="dxa" w:w="3709"/>
            <w:tcBorders>
              <w:top w:val="single" w:color="BFB8A6" w:sz="4"/>
              <w:left w:val="single" w:color="BFB8A6" w:sz="4"/>
              <w:bottom w:val="single" w:color="BFB8A6" w:sz="4"/>
              <w:right w:val="single" w:color="BFB8A6" w:sz="4"/>
            </w:tcBorders>
            <w:tcMar>
              <w:top w:type="dxa" w:w="60"/>
              <w:left w:type="dxa" w:w="100"/>
              <w:bottom w:type="dxa" w:w="60"/>
              <w:right w:type="dxa" w:w="100"/>
            </w:tcMar>
          </w:tcPr>
          <w:p>
            <w:pPr>
              <w:spacing w:after="40"/>
            </w:pPr>
            <w:r>
              <w:t xml:space="preserve">Evaluation method and evidence strategy</w:t>
            </w:r>
          </w:p>
        </w:tc>
        <w:tc>
          <w:tcPr>
            <w:tcW w:type="dxa" w:w="1607"/>
            <w:tcBorders>
              <w:top w:val="single" w:color="BFB8A6" w:sz="4"/>
              <w:left w:val="single" w:color="BFB8A6" w:sz="4"/>
              <w:bottom w:val="single" w:color="BFB8A6" w:sz="4"/>
              <w:right w:val="single" w:color="BFB8A6" w:sz="4"/>
            </w:tcBorders>
            <w:tcMar>
              <w:top w:type="dxa" w:w="60"/>
              <w:left w:type="dxa" w:w="100"/>
              <w:bottom w:type="dxa" w:w="60"/>
              <w:right w:type="dxa" w:w="100"/>
            </w:tcMar>
          </w:tcPr>
          <w:p>
            <w:pPr>
              <w:spacing w:after="40"/>
            </w:pPr>
            <w:r>
              <w:t xml:space="preserve">Task 4</w:t>
            </w:r>
          </w:p>
        </w:tc>
        <w:tc>
          <w:tcPr>
            <w:tcW w:type="dxa" w:w="2969"/>
            <w:tcBorders>
              <w:top w:val="single" w:color="BFB8A6" w:sz="4"/>
              <w:left w:val="single" w:color="BFB8A6" w:sz="4"/>
              <w:bottom w:val="single" w:color="BFB8A6" w:sz="4"/>
              <w:right w:val="single" w:color="BFB8A6" w:sz="4"/>
            </w:tcBorders>
            <w:tcMar>
              <w:top w:type="dxa" w:w="60"/>
              <w:left w:type="dxa" w:w="100"/>
              <w:bottom w:type="dxa" w:w="60"/>
              <w:right w:type="dxa" w:w="100"/>
            </w:tcMar>
          </w:tcPr>
          <w:p>
            <w:pPr>
              <w:spacing w:after="40"/>
            </w:pPr>
            <w:r>
              <w:t xml:space="preserve">Complete (Week 11)</w:t>
            </w:r>
          </w:p>
        </w:tc>
      </w:tr>
      <w:tr>
        <w:trPr>
          <w:tblHeader w:val="false"/>
        </w:trPr>
        <w:tc>
          <w:tcPr>
            <w:tcW w:type="dxa" w:w="741"/>
            <w:tcBorders>
              <w:top w:val="single" w:color="BFB8A6" w:sz="4"/>
              <w:left w:val="single" w:color="BFB8A6" w:sz="4"/>
              <w:bottom w:val="single" w:color="BFB8A6" w:sz="4"/>
              <w:right w:val="single" w:color="BFB8A6" w:sz="4"/>
            </w:tcBorders>
            <w:tcMar>
              <w:top w:type="dxa" w:w="60"/>
              <w:left w:type="dxa" w:w="100"/>
              <w:bottom w:type="dxa" w:w="60"/>
              <w:right w:type="dxa" w:w="100"/>
            </w:tcMar>
          </w:tcPr>
          <w:p>
            <w:pPr>
              <w:spacing w:after="40"/>
            </w:pPr>
            <w:r>
              <w:t xml:space="preserve">5</w:t>
            </w:r>
          </w:p>
        </w:tc>
        <w:tc>
          <w:tcPr>
            <w:tcW w:type="dxa" w:w="3709"/>
            <w:tcBorders>
              <w:top w:val="single" w:color="BFB8A6" w:sz="4"/>
              <w:left w:val="single" w:color="BFB8A6" w:sz="4"/>
              <w:bottom w:val="single" w:color="BFB8A6" w:sz="4"/>
              <w:right w:val="single" w:color="BFB8A6" w:sz="4"/>
            </w:tcBorders>
            <w:tcMar>
              <w:top w:type="dxa" w:w="60"/>
              <w:left w:type="dxa" w:w="100"/>
              <w:bottom w:type="dxa" w:w="60"/>
              <w:right w:type="dxa" w:w="100"/>
            </w:tcMar>
          </w:tcPr>
          <w:p>
            <w:pPr>
              <w:spacing w:after="40"/>
            </w:pPr>
            <w:r>
              <w:t xml:space="preserve">Findings and layered systemic analysis</w:t>
            </w:r>
          </w:p>
        </w:tc>
        <w:tc>
          <w:tcPr>
            <w:tcW w:type="dxa" w:w="1607"/>
            <w:tcBorders>
              <w:top w:val="single" w:color="BFB8A6" w:sz="4"/>
              <w:left w:val="single" w:color="BFB8A6" w:sz="4"/>
              <w:bottom w:val="single" w:color="BFB8A6" w:sz="4"/>
              <w:right w:val="single" w:color="BFB8A6" w:sz="4"/>
            </w:tcBorders>
            <w:tcMar>
              <w:top w:type="dxa" w:w="60"/>
              <w:left w:type="dxa" w:w="100"/>
              <w:bottom w:type="dxa" w:w="60"/>
              <w:right w:type="dxa" w:w="100"/>
            </w:tcMar>
          </w:tcPr>
          <w:p>
            <w:pPr>
              <w:spacing w:after="40"/>
            </w:pPr>
            <w:r>
              <w:t xml:space="preserve">Task 5</w:t>
            </w:r>
          </w:p>
        </w:tc>
        <w:tc>
          <w:tcPr>
            <w:tcW w:type="dxa" w:w="2969"/>
            <w:tcBorders>
              <w:top w:val="single" w:color="BFB8A6" w:sz="4"/>
              <w:left w:val="single" w:color="BFB8A6" w:sz="4"/>
              <w:bottom w:val="single" w:color="BFB8A6" w:sz="4"/>
              <w:right w:val="single" w:color="BFB8A6" w:sz="4"/>
            </w:tcBorders>
            <w:tcMar>
              <w:top w:type="dxa" w:w="60"/>
              <w:left w:type="dxa" w:w="100"/>
              <w:bottom w:type="dxa" w:w="60"/>
              <w:right w:type="dxa" w:w="100"/>
            </w:tcMar>
          </w:tcPr>
          <w:p>
            <w:pPr>
              <w:spacing w:after="40"/>
            </w:pPr>
            <w:r>
              <w:t xml:space="preserve">Started: first items only</w:t>
            </w:r>
          </w:p>
        </w:tc>
      </w:tr>
      <w:tr>
        <w:trPr>
          <w:tblHeader w:val="false"/>
        </w:trPr>
        <w:tc>
          <w:tcPr>
            <w:tcW w:type="dxa" w:w="741"/>
            <w:tcBorders>
              <w:top w:val="single" w:color="BFB8A6" w:sz="4"/>
              <w:left w:val="single" w:color="BFB8A6" w:sz="4"/>
              <w:bottom w:val="single" w:color="BFB8A6" w:sz="4"/>
              <w:right w:val="single" w:color="BFB8A6" w:sz="4"/>
            </w:tcBorders>
            <w:tcMar>
              <w:top w:type="dxa" w:w="60"/>
              <w:left w:type="dxa" w:w="100"/>
              <w:bottom w:type="dxa" w:w="60"/>
              <w:right w:type="dxa" w:w="100"/>
            </w:tcMar>
          </w:tcPr>
          <w:p>
            <w:pPr>
              <w:spacing w:after="40"/>
            </w:pPr>
            <w:r>
              <w:t xml:space="preserve">6</w:t>
            </w:r>
          </w:p>
        </w:tc>
        <w:tc>
          <w:tcPr>
            <w:tcW w:type="dxa" w:w="3709"/>
            <w:tcBorders>
              <w:top w:val="single" w:color="BFB8A6" w:sz="4"/>
              <w:left w:val="single" w:color="BFB8A6" w:sz="4"/>
              <w:bottom w:val="single" w:color="BFB8A6" w:sz="4"/>
              <w:right w:val="single" w:color="BFB8A6" w:sz="4"/>
            </w:tcBorders>
            <w:tcMar>
              <w:top w:type="dxa" w:w="60"/>
              <w:left w:type="dxa" w:w="100"/>
              <w:bottom w:type="dxa" w:w="60"/>
              <w:right w:type="dxa" w:w="100"/>
            </w:tcMar>
          </w:tcPr>
          <w:p>
            <w:pPr>
              <w:spacing w:after="40"/>
            </w:pPr>
            <w:r>
              <w:t xml:space="preserve">Method evaluation</w:t>
            </w:r>
          </w:p>
        </w:tc>
        <w:tc>
          <w:tcPr>
            <w:tcW w:type="dxa" w:w="1607"/>
            <w:tcBorders>
              <w:top w:val="single" w:color="BFB8A6" w:sz="4"/>
              <w:left w:val="single" w:color="BFB8A6" w:sz="4"/>
              <w:bottom w:val="single" w:color="BFB8A6" w:sz="4"/>
              <w:right w:val="single" w:color="BFB8A6" w:sz="4"/>
            </w:tcBorders>
            <w:tcMar>
              <w:top w:type="dxa" w:w="60"/>
              <w:left w:type="dxa" w:w="100"/>
              <w:bottom w:type="dxa" w:w="60"/>
              <w:right w:type="dxa" w:w="100"/>
            </w:tcMar>
          </w:tcPr>
          <w:p>
            <w:pPr>
              <w:spacing w:after="40"/>
            </w:pPr>
            <w:r>
              <w:t xml:space="preserve">Task 6</w:t>
            </w:r>
          </w:p>
        </w:tc>
        <w:tc>
          <w:tcPr>
            <w:tcW w:type="dxa" w:w="2969"/>
            <w:tcBorders>
              <w:top w:val="single" w:color="BFB8A6" w:sz="4"/>
              <w:left w:val="single" w:color="BFB8A6" w:sz="4"/>
              <w:bottom w:val="single" w:color="BFB8A6" w:sz="4"/>
              <w:right w:val="single" w:color="BFB8A6" w:sz="4"/>
            </w:tcBorders>
            <w:tcMar>
              <w:top w:type="dxa" w:w="60"/>
              <w:left w:type="dxa" w:w="100"/>
              <w:bottom w:type="dxa" w:w="60"/>
              <w:right w:type="dxa" w:w="100"/>
            </w:tcMar>
          </w:tcPr>
          <w:p>
            <w:pPr>
              <w:spacing w:after="40"/>
            </w:pPr>
            <w:r>
              <w:t xml:space="preserve">Drafted</w:t>
            </w:r>
          </w:p>
        </w:tc>
      </w:tr>
      <w:tr>
        <w:trPr>
          <w:tblHeader w:val="false"/>
        </w:trPr>
        <w:tc>
          <w:tcPr>
            <w:tcW w:type="dxa" w:w="741"/>
            <w:tcBorders>
              <w:top w:val="single" w:color="BFB8A6" w:sz="4"/>
              <w:left w:val="single" w:color="BFB8A6" w:sz="4"/>
              <w:bottom w:val="single" w:color="BFB8A6" w:sz="4"/>
              <w:right w:val="single" w:color="BFB8A6" w:sz="4"/>
            </w:tcBorders>
            <w:tcMar>
              <w:top w:type="dxa" w:w="60"/>
              <w:left w:type="dxa" w:w="100"/>
              <w:bottom w:type="dxa" w:w="60"/>
              <w:right w:type="dxa" w:w="100"/>
            </w:tcMar>
          </w:tcPr>
          <w:p>
            <w:pPr>
              <w:spacing w:after="40"/>
            </w:pPr>
            <w:r>
              <w:t xml:space="preserve">7</w:t>
            </w:r>
          </w:p>
        </w:tc>
        <w:tc>
          <w:tcPr>
            <w:tcW w:type="dxa" w:w="3709"/>
            <w:tcBorders>
              <w:top w:val="single" w:color="BFB8A6" w:sz="4"/>
              <w:left w:val="single" w:color="BFB8A6" w:sz="4"/>
              <w:bottom w:val="single" w:color="BFB8A6" w:sz="4"/>
              <w:right w:val="single" w:color="BFB8A6" w:sz="4"/>
            </w:tcBorders>
            <w:tcMar>
              <w:top w:type="dxa" w:w="60"/>
              <w:left w:type="dxa" w:w="100"/>
              <w:bottom w:type="dxa" w:w="60"/>
              <w:right w:type="dxa" w:w="100"/>
            </w:tcMar>
          </w:tcPr>
          <w:p>
            <w:pPr>
              <w:spacing w:after="40"/>
            </w:pPr>
            <w:r>
              <w:t xml:space="preserve">Systemic judgement and recommendations</w:t>
            </w:r>
          </w:p>
        </w:tc>
        <w:tc>
          <w:tcPr>
            <w:tcW w:type="dxa" w:w="1607"/>
            <w:tcBorders>
              <w:top w:val="single" w:color="BFB8A6" w:sz="4"/>
              <w:left w:val="single" w:color="BFB8A6" w:sz="4"/>
              <w:bottom w:val="single" w:color="BFB8A6" w:sz="4"/>
              <w:right w:val="single" w:color="BFB8A6" w:sz="4"/>
            </w:tcBorders>
            <w:tcMar>
              <w:top w:type="dxa" w:w="60"/>
              <w:left w:type="dxa" w:w="100"/>
              <w:bottom w:type="dxa" w:w="60"/>
              <w:right w:type="dxa" w:w="100"/>
            </w:tcMar>
          </w:tcPr>
          <w:p>
            <w:pPr>
              <w:spacing w:after="40"/>
            </w:pPr>
            <w:r>
              <w:t xml:space="preserve">Task 7</w:t>
            </w:r>
          </w:p>
        </w:tc>
        <w:tc>
          <w:tcPr>
            <w:tcW w:type="dxa" w:w="2969"/>
            <w:tcBorders>
              <w:top w:val="single" w:color="BFB8A6" w:sz="4"/>
              <w:left w:val="single" w:color="BFB8A6" w:sz="4"/>
              <w:bottom w:val="single" w:color="BFB8A6" w:sz="4"/>
              <w:right w:val="single" w:color="BFB8A6" w:sz="4"/>
            </w:tcBorders>
            <w:tcMar>
              <w:top w:type="dxa" w:w="60"/>
              <w:left w:type="dxa" w:w="100"/>
              <w:bottom w:type="dxa" w:w="60"/>
              <w:right w:type="dxa" w:w="100"/>
            </w:tcMar>
          </w:tcPr>
          <w:p>
            <w:pPr>
              <w:spacing w:after="40"/>
            </w:pPr>
            <w:r>
              <w:t xml:space="preserve">Drafted; wording for the reader in Week 13</w:t>
            </w:r>
          </w:p>
        </w:tc>
      </w:tr>
      <w:tr>
        <w:trPr>
          <w:tblHeader w:val="false"/>
        </w:trPr>
        <w:tc>
          <w:tcPr>
            <w:tcW w:type="dxa" w:w="741"/>
            <w:tcBorders>
              <w:top w:val="single" w:color="BFB8A6" w:sz="4"/>
              <w:left w:val="single" w:color="BFB8A6" w:sz="4"/>
              <w:bottom w:val="single" w:color="BFB8A6" w:sz="4"/>
              <w:right w:val="single" w:color="BFB8A6" w:sz="4"/>
            </w:tcBorders>
            <w:tcMar>
              <w:top w:type="dxa" w:w="60"/>
              <w:left w:type="dxa" w:w="100"/>
              <w:bottom w:type="dxa" w:w="60"/>
              <w:right w:type="dxa" w:w="100"/>
            </w:tcMar>
          </w:tcPr>
          <w:p>
            <w:pPr>
              <w:spacing w:after="40"/>
            </w:pPr>
            <w:r>
              <w:t xml:space="preserve">8</w:t>
            </w:r>
          </w:p>
        </w:tc>
        <w:tc>
          <w:tcPr>
            <w:tcW w:type="dxa" w:w="3709"/>
            <w:tcBorders>
              <w:top w:val="single" w:color="BFB8A6" w:sz="4"/>
              <w:left w:val="single" w:color="BFB8A6" w:sz="4"/>
              <w:bottom w:val="single" w:color="BFB8A6" w:sz="4"/>
              <w:right w:val="single" w:color="BFB8A6" w:sz="4"/>
            </w:tcBorders>
            <w:tcMar>
              <w:top w:type="dxa" w:w="60"/>
              <w:left w:type="dxa" w:w="100"/>
              <w:bottom w:type="dxa" w:w="60"/>
              <w:right w:type="dxa" w:w="100"/>
            </w:tcMar>
          </w:tcPr>
          <w:p>
            <w:pPr>
              <w:spacing w:after="40"/>
            </w:pPr>
            <w:r>
              <w:t xml:space="preserve">Accountable knowledge integration</w:t>
            </w:r>
          </w:p>
        </w:tc>
        <w:tc>
          <w:tcPr>
            <w:tcW w:type="dxa" w:w="1607"/>
            <w:tcBorders>
              <w:top w:val="single" w:color="BFB8A6" w:sz="4"/>
              <w:left w:val="single" w:color="BFB8A6" w:sz="4"/>
              <w:bottom w:val="single" w:color="BFB8A6" w:sz="4"/>
              <w:right w:val="single" w:color="BFB8A6" w:sz="4"/>
            </w:tcBorders>
            <w:tcMar>
              <w:top w:type="dxa" w:w="60"/>
              <w:left w:type="dxa" w:w="100"/>
              <w:bottom w:type="dxa" w:w="60"/>
              <w:right w:type="dxa" w:w="100"/>
            </w:tcMar>
          </w:tcPr>
          <w:p>
            <w:pPr>
              <w:spacing w:after="40"/>
            </w:pPr>
            <w:r>
              <w:t xml:space="preserve">Section 5 of the brief</w:t>
            </w:r>
          </w:p>
        </w:tc>
        <w:tc>
          <w:tcPr>
            <w:tcW w:type="dxa" w:w="2969"/>
            <w:tcBorders>
              <w:top w:val="single" w:color="BFB8A6" w:sz="4"/>
              <w:left w:val="single" w:color="BFB8A6" w:sz="4"/>
              <w:bottom w:val="single" w:color="BFB8A6" w:sz="4"/>
              <w:right w:val="single" w:color="BFB8A6" w:sz="4"/>
            </w:tcBorders>
            <w:tcMar>
              <w:top w:type="dxa" w:w="60"/>
              <w:left w:type="dxa" w:w="100"/>
              <w:bottom w:type="dxa" w:w="60"/>
              <w:right w:type="dxa" w:w="100"/>
            </w:tcMar>
          </w:tcPr>
          <w:p>
            <w:pPr>
              <w:spacing w:after="40"/>
            </w:pPr>
            <w:r>
              <w:t xml:space="preserve">Heading only (Week 13)</w:t>
            </w:r>
          </w:p>
        </w:tc>
      </w:tr>
      <w:tr>
        <w:trPr>
          <w:tblHeader w:val="false"/>
        </w:trPr>
        <w:tc>
          <w:tcPr>
            <w:tcW w:type="dxa" w:w="741"/>
            <w:tcBorders>
              <w:top w:val="single" w:color="BFB8A6" w:sz="4"/>
              <w:left w:val="single" w:color="BFB8A6" w:sz="4"/>
              <w:bottom w:val="single" w:color="BFB8A6" w:sz="4"/>
              <w:right w:val="single" w:color="BFB8A6" w:sz="4"/>
            </w:tcBorders>
            <w:tcMar>
              <w:top w:type="dxa" w:w="60"/>
              <w:left w:type="dxa" w:w="100"/>
              <w:bottom w:type="dxa" w:w="60"/>
              <w:right w:type="dxa" w:w="100"/>
            </w:tcMar>
          </w:tcPr>
          <w:p>
            <w:pPr>
              <w:spacing w:after="40"/>
            </w:pPr>
            <w:r>
              <w:t xml:space="preserve">—</w:t>
            </w:r>
          </w:p>
        </w:tc>
        <w:tc>
          <w:tcPr>
            <w:tcW w:type="dxa" w:w="3709"/>
            <w:tcBorders>
              <w:top w:val="single" w:color="BFB8A6" w:sz="4"/>
              <w:left w:val="single" w:color="BFB8A6" w:sz="4"/>
              <w:bottom w:val="single" w:color="BFB8A6" w:sz="4"/>
              <w:right w:val="single" w:color="BFB8A6" w:sz="4"/>
            </w:tcBorders>
            <w:tcMar>
              <w:top w:type="dxa" w:w="60"/>
              <w:left w:type="dxa" w:w="100"/>
              <w:bottom w:type="dxa" w:w="60"/>
              <w:right w:type="dxa" w:w="100"/>
            </w:tcMar>
          </w:tcPr>
          <w:p>
            <w:pPr>
              <w:spacing w:after="40"/>
            </w:pPr>
            <w:r>
              <w:t xml:space="preserve">References and appendices</w:t>
            </w:r>
          </w:p>
        </w:tc>
        <w:tc>
          <w:tcPr>
            <w:tcW w:type="dxa" w:w="1607"/>
            <w:tcBorders>
              <w:top w:val="single" w:color="BFB8A6" w:sz="4"/>
              <w:left w:val="single" w:color="BFB8A6" w:sz="4"/>
              <w:bottom w:val="single" w:color="BFB8A6" w:sz="4"/>
              <w:right w:val="single" w:color="BFB8A6" w:sz="4"/>
            </w:tcBorders>
            <w:tcMar>
              <w:top w:type="dxa" w:w="60"/>
              <w:left w:type="dxa" w:w="100"/>
              <w:bottom w:type="dxa" w:w="60"/>
              <w:right w:type="dxa" w:w="100"/>
            </w:tcMar>
          </w:tcPr>
          <w:p>
            <w:pPr>
              <w:spacing w:after="40"/>
            </w:pPr>
            <w:r>
              <w:t xml:space="preserve">—</w:t>
            </w:r>
          </w:p>
        </w:tc>
        <w:tc>
          <w:tcPr>
            <w:tcW w:type="dxa" w:w="2969"/>
            <w:tcBorders>
              <w:top w:val="single" w:color="BFB8A6" w:sz="4"/>
              <w:left w:val="single" w:color="BFB8A6" w:sz="4"/>
              <w:bottom w:val="single" w:color="BFB8A6" w:sz="4"/>
              <w:right w:val="single" w:color="BFB8A6" w:sz="4"/>
            </w:tcBorders>
            <w:tcMar>
              <w:top w:type="dxa" w:w="60"/>
              <w:left w:type="dxa" w:w="100"/>
              <w:bottom w:type="dxa" w:w="60"/>
              <w:right w:type="dxa" w:w="100"/>
            </w:tcMar>
          </w:tcPr>
          <w:p>
            <w:pPr>
              <w:spacing w:after="40"/>
            </w:pPr>
            <w:r>
              <w:t xml:space="preserve">Working log entries 1 to 3, plus one extra</w:t>
            </w:r>
          </w:p>
        </w:tc>
      </w:tr>
    </w:tbl>
    <w:p>
      <w:r>
        <w:br w:type="page"/>
      </w:r>
    </w:p>
    <w:p>
      <w:pPr>
        <w:spacing w:after="110"/>
      </w:pPr>
      <w:r>
        <w:rPr>
          <w:b/>
          <w:bCs/>
        </w:rPr>
        <w:t xml:space="preserve">Format and reader.</w:t>
      </w:r>
      <w:r>
        <w:t xml:space="preserve"> Evaluation handover brief (format C), for the evaluation lead in the university's student app team, who will run the next round of evaluation before any decision to build [Log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491F" w:sz="14"/>
              <w:left w:val="single" w:color="BFB8A6" w:sz="4"/>
              <w:bottom w:val="single" w:color="BFB8A6" w:sz="4"/>
              <w:right w:val="single" w:color="BFB8A6" w:sz="4"/>
            </w:tcBorders>
            <w:shd w:fill="FFFFFF" w:color="auto" w:val="clear"/>
            <w:tcMar>
              <w:top w:type="dxa" w:w="110"/>
              <w:left w:type="dxa" w:w="150"/>
              <w:bottom w:type="dxa" w:w="110"/>
              <w:right w:type="dxa" w:w="150"/>
            </w:tcMar>
          </w:tcPr>
          <w:p>
            <w:pPr>
              <w:spacing w:after="70"/>
            </w:pPr>
            <w:r>
              <w:rPr>
                <w:b/>
                <w:bCs/>
                <w:color w:val="BF491F"/>
                <w:sz w:val="19"/>
                <w:szCs w:val="19"/>
              </w:rPr>
              <w:t xml:space="preserve">What this evaluation can tell you</w:t>
            </w:r>
          </w:p>
          <w:p>
            <w:pPr>
              <w:spacing w:after="70"/>
            </w:pPr>
            <w:r>
              <w:rPr>
                <w:sz w:val="21"/>
                <w:szCs w:val="21"/>
              </w:rPr>
              <w:t xml:space="preserve">This evaluation was designed to establish which staff could see a student's study plan if the planner moved into the student app, and what students would need for the plan to stay theirs. It met two of its four criteria and partly met two: it reached two of the three practitioner roles, and the learning-systems team declined. You can rely on it for what the university's current rules would allow and what two practitioners expect. You cannot rely on it for what the app would actually be built to show, or for how students would respond.</w:t>
            </w:r>
          </w:p>
        </w:tc>
      </w:tr>
    </w:tbl>
    <w:p>
      <w:pPr>
        <w:pStyle w:val="Heading1"/>
      </w:pPr>
      <w:r>
        <w:t xml:space="preserve">Section 1: System and A2 foundation</w:t>
      </w:r>
    </w:p>
    <w:p>
      <w:pPr>
        <w:spacing w:after="110"/>
      </w:pPr>
      <w:r>
        <w:t xml:space="preserve">The study planner is a web tool for first-year students at a large metropolitan university: a student enters an assessment deadline and the planner schedules study blocks into their week. Team 0 built it as a separate tool and evaluated it in A2 with 18 participants. Since A2, the team has agreed to show the override before blocks are placed; this evaluation assumes that change.</w:t>
      </w:r>
    </w:p>
    <w:p>
      <w:pPr>
        <w:spacing w:after="110"/>
      </w:pPr>
      <w:r>
        <w:rPr>
          <w:b/>
          <w:bCs/>
        </w:rPr>
        <w:t xml:space="preserve">What A2 establishes.</w:t>
      </w:r>
      <w:r>
        <w:t xml:space="preserve"> The evidence suggests that confident students with a planning habit accepted being scheduled only once they had confirmed they could override the plan (theme T1; four of six interviewees). Ratings of feeling in control afterwards were divided (n = 18).</w:t>
      </w:r>
    </w:p>
    <w:p>
      <w:pPr>
        <w:spacing w:after="110"/>
      </w:pPr>
      <w:r>
        <w:rPr>
          <w:b/>
          <w:bCs/>
        </w:rPr>
        <w:t xml:space="preserve">What it does not establish.</w:t>
      </w:r>
      <w:r>
        <w:t xml:space="preserve"> Anything about provision inside the university's own student app, about who would hold or see a plan, or about students without a planning habit. One participant asked why the university does not build this into the app it already requires (register entry R-07). That question is the starting point here.</w:t>
      </w:r>
    </w:p>
    <w:p>
      <w:pPr>
        <w:pStyle w:val="Heading1"/>
      </w:pPr>
      <w:r>
        <w:t xml:space="preserve">Section 2: Evaluation focus and questions</w:t>
      </w:r>
    </w:p>
    <w:p>
      <w:pPr>
        <w:spacing w:after="110"/>
      </w:pPr>
      <w:r>
        <w:rPr>
          <w:b/>
          <w:bCs/>
        </w:rPr>
        <w:t xml:space="preserve">Purpose.</w:t>
      </w:r>
      <w:r>
        <w:t xml:space="preserve"> To judge whether the planner should be provided inside the student app, and under what conditions, given that A2 suggests students accept it only when the plan feels like theirs to change.</w:t>
      </w:r>
    </w:p>
    <w:p>
      <w:pPr>
        <w:spacing w:after="110"/>
      </w:pPr>
      <w:r>
        <w:rPr>
          <w:b/>
          <w:bCs/>
        </w:rPr>
        <w:t xml:space="preserve">Focus.</w:t>
      </w:r>
      <w:r>
        <w:t xml:space="preserve"> How moving the planner into the university's app would change who holds, sees and can act on a student's study plan, at Year 1 and Year 3 of the app version.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84"/>
        <w:gridCol w:w="6802"/>
        <w:gridCol w:w="1440"/>
      </w:tblGrid>
      <w:tr>
        <w:trPr>
          <w:tblHeader/>
        </w:trPr>
        <w:tc>
          <w:tcPr>
            <w:tcW w:type="dxa" w:w="784"/>
            <w:tcBorders>
              <w:top w:val="single" w:color="BFB8A6" w:sz="4"/>
              <w:left w:val="single" w:color="BFB8A6" w:sz="4"/>
              <w:bottom w:val="single" w:color="BFB8A6" w:sz="4"/>
              <w:right w:val="single" w:color="BFB8A6" w:sz="4"/>
            </w:tcBorders>
            <w:shd w:fill="103740" w:color="auto" w:val="clear"/>
            <w:tcMar>
              <w:top w:type="dxa" w:w="60"/>
              <w:left w:type="dxa" w:w="100"/>
              <w:bottom w:type="dxa" w:w="60"/>
              <w:right w:type="dxa" w:w="100"/>
            </w:tcMar>
          </w:tcPr>
          <w:p>
            <w:pPr>
              <w:spacing w:after="40"/>
            </w:pPr>
          </w:p>
        </w:tc>
        <w:tc>
          <w:tcPr>
            <w:tcW w:type="dxa" w:w="6802"/>
            <w:tcBorders>
              <w:top w:val="single" w:color="BFB8A6" w:sz="4"/>
              <w:left w:val="single" w:color="BFB8A6" w:sz="4"/>
              <w:bottom w:val="single" w:color="BFB8A6" w:sz="4"/>
              <w:right w:val="single" w:color="BFB8A6" w:sz="4"/>
            </w:tcBorders>
            <w:shd w:fill="103740" w:color="auto" w:val="clear"/>
            <w:tcMar>
              <w:top w:type="dxa" w:w="60"/>
              <w:left w:type="dxa" w:w="100"/>
              <w:bottom w:type="dxa" w:w="60"/>
              <w:right w:type="dxa" w:w="100"/>
            </w:tcMar>
          </w:tcPr>
          <w:p>
            <w:pPr>
              <w:spacing w:after="40"/>
            </w:pPr>
            <w:r>
              <w:rPr>
                <w:b/>
                <w:bCs/>
                <w:color w:val="FFFFFF"/>
              </w:rPr>
              <w:t xml:space="preserve">Evaluation question</w:t>
            </w:r>
          </w:p>
        </w:tc>
        <w:tc>
          <w:tcPr>
            <w:tcW w:type="dxa" w:w="1440"/>
            <w:tcBorders>
              <w:top w:val="single" w:color="BFB8A6" w:sz="4"/>
              <w:left w:val="single" w:color="BFB8A6" w:sz="4"/>
              <w:bottom w:val="single" w:color="BFB8A6" w:sz="4"/>
              <w:right w:val="single" w:color="BFB8A6" w:sz="4"/>
            </w:tcBorders>
            <w:shd w:fill="103740" w:color="auto" w:val="clear"/>
            <w:tcMar>
              <w:top w:type="dxa" w:w="60"/>
              <w:left w:type="dxa" w:w="100"/>
              <w:bottom w:type="dxa" w:w="60"/>
              <w:right w:type="dxa" w:w="100"/>
            </w:tcMar>
          </w:tcPr>
          <w:p>
            <w:pPr>
              <w:spacing w:after="40"/>
            </w:pPr>
            <w:r>
              <w:rPr>
                <w:b/>
                <w:bCs/>
                <w:color w:val="FFFFFF"/>
              </w:rPr>
              <w:t xml:space="preserve">Layers</w:t>
            </w:r>
          </w:p>
        </w:tc>
      </w:tr>
      <w:tr>
        <w:trPr>
          <w:tblHeader w:val="false"/>
        </w:trPr>
        <w:tc>
          <w:tcPr>
            <w:tcW w:type="dxa" w:w="784"/>
            <w:tcBorders>
              <w:top w:val="single" w:color="BFB8A6" w:sz="4"/>
              <w:left w:val="single" w:color="BFB8A6" w:sz="4"/>
              <w:bottom w:val="single" w:color="BFB8A6" w:sz="4"/>
              <w:right w:val="single" w:color="BFB8A6" w:sz="4"/>
            </w:tcBorders>
            <w:tcMar>
              <w:top w:type="dxa" w:w="60"/>
              <w:left w:type="dxa" w:w="100"/>
              <w:bottom w:type="dxa" w:w="60"/>
              <w:right w:type="dxa" w:w="100"/>
            </w:tcMar>
          </w:tcPr>
          <w:p>
            <w:pPr>
              <w:spacing w:after="40"/>
            </w:pPr>
            <w:r>
              <w:rPr>
                <w:b/>
                <w:bCs/>
              </w:rPr>
              <w:t xml:space="preserve">Q1</w:t>
            </w:r>
          </w:p>
        </w:tc>
        <w:tc>
          <w:tcPr>
            <w:tcW w:type="dxa" w:w="6802"/>
            <w:tcBorders>
              <w:top w:val="single" w:color="BFB8A6" w:sz="4"/>
              <w:left w:val="single" w:color="BFB8A6" w:sz="4"/>
              <w:bottom w:val="single" w:color="BFB8A6" w:sz="4"/>
              <w:right w:val="single" w:color="BFB8A6" w:sz="4"/>
            </w:tcBorders>
            <w:tcMar>
              <w:top w:type="dxa" w:w="60"/>
              <w:left w:type="dxa" w:w="100"/>
              <w:bottom w:type="dxa" w:w="60"/>
              <w:right w:type="dxa" w:w="100"/>
            </w:tcMar>
          </w:tcPr>
          <w:p>
            <w:pPr>
              <w:spacing w:after="40"/>
            </w:pPr>
            <w:r>
              <w:t xml:space="preserve">What would the university need to change, and who would do the work, to run study scheduling inside its student app?</w:t>
            </w:r>
          </w:p>
        </w:tc>
        <w:tc>
          <w:tcPr>
            <w:tcW w:type="dxa" w:w="1440"/>
            <w:tcBorders>
              <w:top w:val="single" w:color="BFB8A6" w:sz="4"/>
              <w:left w:val="single" w:color="BFB8A6" w:sz="4"/>
              <w:bottom w:val="single" w:color="BFB8A6" w:sz="4"/>
              <w:right w:val="single" w:color="BFB8A6" w:sz="4"/>
            </w:tcBorders>
            <w:tcMar>
              <w:top w:type="dxa" w:w="60"/>
              <w:left w:type="dxa" w:w="100"/>
              <w:bottom w:type="dxa" w:w="60"/>
              <w:right w:type="dxa" w:w="100"/>
            </w:tcMar>
          </w:tcPr>
          <w:p>
            <w:pPr>
              <w:spacing w:after="40"/>
            </w:pPr>
            <w:r>
              <w:t xml:space="preserve">3.2, 3.3</w:t>
            </w:r>
          </w:p>
        </w:tc>
      </w:tr>
      <w:tr>
        <w:trPr>
          <w:tblHeader w:val="false"/>
        </w:trPr>
        <w:tc>
          <w:tcPr>
            <w:tcW w:type="dxa" w:w="784"/>
            <w:tcBorders>
              <w:top w:val="single" w:color="BFB8A6" w:sz="4"/>
              <w:left w:val="single" w:color="BFB8A6" w:sz="4"/>
              <w:bottom w:val="single" w:color="BFB8A6" w:sz="4"/>
              <w:right w:val="single" w:color="BFB8A6" w:sz="4"/>
            </w:tcBorders>
            <w:tcMar>
              <w:top w:type="dxa" w:w="60"/>
              <w:left w:type="dxa" w:w="100"/>
              <w:bottom w:type="dxa" w:w="60"/>
              <w:right w:type="dxa" w:w="100"/>
            </w:tcMar>
          </w:tcPr>
          <w:p>
            <w:pPr>
              <w:spacing w:after="40"/>
            </w:pPr>
            <w:r>
              <w:rPr>
                <w:b/>
                <w:bCs/>
              </w:rPr>
              <w:t xml:space="preserve">Q2</w:t>
            </w:r>
          </w:p>
        </w:tc>
        <w:tc>
          <w:tcPr>
            <w:tcW w:type="dxa" w:w="6802"/>
            <w:tcBorders>
              <w:top w:val="single" w:color="BFB8A6" w:sz="4"/>
              <w:left w:val="single" w:color="BFB8A6" w:sz="4"/>
              <w:bottom w:val="single" w:color="BFB8A6" w:sz="4"/>
              <w:right w:val="single" w:color="BFB8A6" w:sz="4"/>
            </w:tcBorders>
            <w:tcMar>
              <w:top w:type="dxa" w:w="60"/>
              <w:left w:type="dxa" w:w="100"/>
              <w:bottom w:type="dxa" w:w="60"/>
              <w:right w:type="dxa" w:w="100"/>
            </w:tcMar>
          </w:tcPr>
          <w:p>
            <w:pPr>
              <w:spacing w:after="40"/>
            </w:pPr>
            <w:r>
              <w:t xml:space="preserve">Who would be able to see and act on students' study plans, and what would that do to students' control over their plan?</w:t>
            </w:r>
          </w:p>
        </w:tc>
        <w:tc>
          <w:tcPr>
            <w:tcW w:type="dxa" w:w="1440"/>
            <w:tcBorders>
              <w:top w:val="single" w:color="BFB8A6" w:sz="4"/>
              <w:left w:val="single" w:color="BFB8A6" w:sz="4"/>
              <w:bottom w:val="single" w:color="BFB8A6" w:sz="4"/>
              <w:right w:val="single" w:color="BFB8A6" w:sz="4"/>
            </w:tcBorders>
            <w:tcMar>
              <w:top w:type="dxa" w:w="60"/>
              <w:left w:type="dxa" w:w="100"/>
              <w:bottom w:type="dxa" w:w="60"/>
              <w:right w:type="dxa" w:w="100"/>
            </w:tcMar>
          </w:tcPr>
          <w:p>
            <w:pPr>
              <w:spacing w:after="40"/>
            </w:pPr>
            <w:r>
              <w:t xml:space="preserve">3.3, 4.1</w:t>
            </w:r>
          </w:p>
        </w:tc>
      </w:tr>
    </w:tbl>
    <w:p>
      <w:pPr>
        <w:spacing w:after="110"/>
      </w:pPr>
      <w:r>
        <w:rPr>
          <w:b/>
          <w:bCs/>
        </w:rPr>
        <w:t xml:space="preserve">Why this concern.</w:t>
      </w:r>
      <w:r>
        <w:t xml:space="preserve"> It changes the one condition A2 says acceptance depends on, and the institution, not students, would make the decision. I set aside the experience of students without a planning habit (R-08): it matters at least as much, but I could not reach those students in the time available [Log 1].</w:t>
      </w:r>
    </w:p>
    <w:p>
      <w:pPr>
        <w:spacing w:after="110"/>
      </w:pPr>
      <w:r>
        <w:rPr>
          <w:b/>
          <w:bCs/>
        </w:rPr>
        <w:t xml:space="preserve">Out of scope.</w:t>
      </w:r>
      <w:r>
        <w:t xml:space="preserve"> Usability (evaluated in A2); effects on study outcomes (these need a semester of deployment); environmental consequences (existing infrastructure).</w:t>
      </w:r>
    </w:p>
    <w:p>
      <w:pPr>
        <w:pStyle w:val="Heading1"/>
      </w:pPr>
      <w:r>
        <w:t xml:space="preserve">Section 3: Selected layers and rationale</w:t>
      </w:r>
    </w:p>
    <w:p>
      <w:pPr>
        <w:pStyle w:val="ListParagraph"/>
        <w:numPr>
          <w:ilvl w:val="0"/>
          <w:numId w:val="2"/>
        </w:numPr>
        <w:spacing w:after="60"/>
      </w:pPr>
      <w:r>
        <w:rPr>
          <w:b/>
          <w:bCs/>
        </w:rPr>
        <w:t xml:space="preserve">3.2 Organisational and service:</w:t>
      </w:r>
      <w:r>
        <w:t xml:space="preserve"> someone has to own and support the feature, and keep deadlines accurate (Q1).</w:t>
      </w:r>
    </w:p>
    <w:p>
      <w:pPr>
        <w:pStyle w:val="ListParagraph"/>
        <w:numPr>
          <w:ilvl w:val="0"/>
          <w:numId w:val="2"/>
        </w:numPr>
        <w:spacing w:after="60"/>
      </w:pPr>
      <w:r>
        <w:rPr>
          <w:b/>
          <w:bCs/>
        </w:rPr>
        <w:t xml:space="preserve">3.3 Data, infrastructure and governance:</w:t>
      </w:r>
      <w:r>
        <w:t xml:space="preserve"> inside the app, the plan becomes institutional data under university rules (Q1, Q2).</w:t>
      </w:r>
    </w:p>
    <w:p>
      <w:pPr>
        <w:pStyle w:val="ListParagraph"/>
        <w:numPr>
          <w:ilvl w:val="0"/>
          <w:numId w:val="2"/>
        </w:numPr>
        <w:spacing w:after="60"/>
      </w:pPr>
      <w:r>
        <w:rPr>
          <w:b/>
          <w:bCs/>
        </w:rPr>
        <w:t xml:space="preserve">4.1 Social, cultural, ethical and power:</w:t>
      </w:r>
      <w:r>
        <w:t xml:space="preserve"> whether students keep authority over their own plan (Q2).</w:t>
      </w:r>
    </w:p>
    <w:p>
      <w:pPr>
        <w:spacing w:after="110"/>
      </w:pPr>
      <w:r>
        <w:rPr>
          <w:b/>
          <w:bCs/>
        </w:rPr>
        <w:t xml:space="preserve">Layer 3.1</w:t>
      </w:r>
      <w:r>
        <w:t xml:space="preserve"> (the planner itself) is touched only through the practitioners, because my questions are about institutional arrangements.</w:t>
      </w:r>
    </w:p>
    <w:p>
      <w:pPr>
        <w:spacing w:after="110"/>
      </w:pPr>
      <w:r>
        <w:rPr>
          <w:b/>
          <w:bCs/>
        </w:rPr>
        <w:t xml:space="preserve">Expected relationships.</w:t>
      </w:r>
      <w:r>
        <w:t xml:space="preserve"> The override that T1 depends on is an interface feature; once the plan is institutional data, the governance rules (3.3), not the interface, decide how much control students have (4.1). The planner would also depend on the course-profile pipeline for deadlines (3.3), which makes course coordinators part of its upkeep (3.2).</w:t>
      </w:r>
    </w:p>
    <w:p>
      <w:pPr>
        <w:pStyle w:val="Heading1"/>
      </w:pPr>
      <w:r>
        <w:t xml:space="preserve">Section 4: Evaluation method and evidence strategy</w:t>
      </w:r>
    </w:p>
    <w:p>
      <w:pPr>
        <w:spacing w:after="110"/>
      </w:pPr>
      <w:r>
        <w:rPr>
          <w:b/>
          <w:bCs/>
        </w:rPr>
        <w:t xml:space="preserve">From question to method.</w:t>
      </w:r>
      <w:r>
        <w:t xml:space="preserve"> The leverage point is the moment the plan moves into the university's app. The mechanism: the plan stops being the student's file and becomes institutional data, so access is decided by governance rules rather than by the interface. That points to Lens 4 (rules and data permissions), with two ways of reaching the future: comparable cases where the future already exists (Way 2), and practitioners placed in a Year 1 and Year 3 scenario (Way 1) [Log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03740" w:sz="14"/>
              <w:left w:val="single" w:color="BFB8A6" w:sz="4"/>
              <w:bottom w:val="single" w:color="BFB8A6" w:sz="4"/>
              <w:right w:val="single" w:color="BFB8A6" w:sz="4"/>
            </w:tcBorders>
            <w:shd w:fill="FFFFFF" w:color="auto" w:val="clear"/>
            <w:tcMar>
              <w:top w:type="dxa" w:w="110"/>
              <w:left w:type="dxa" w:w="150"/>
              <w:bottom w:type="dxa" w:w="110"/>
              <w:right w:type="dxa" w:w="150"/>
            </w:tcMar>
          </w:tcPr>
          <w:p>
            <w:pPr>
              <w:spacing w:after="70"/>
            </w:pPr>
            <w:r>
              <w:rPr>
                <w:b/>
                <w:bCs/>
                <w:color w:val="103740"/>
                <w:sz w:val="19"/>
                <w:szCs w:val="19"/>
              </w:rPr>
              <w:t xml:space="preserve">The method in one sentence</w:t>
            </w:r>
          </w:p>
          <w:p>
            <w:pPr>
              <w:spacing w:after="70"/>
            </w:pPr>
            <w:r>
              <w:rPr>
                <w:i/>
                <w:iCs/>
                <w:sz w:val="21"/>
                <w:szCs w:val="21"/>
              </w:rPr>
              <w:t xml:space="preserve">I adapted document and policy analysis by reading the university's rules as they would apply to a plan held in the app at Year 1 and Year 3, and testing that reading against comparable cases and practitioner interviews, because my questions are about what changes when the institution holds the plan.</w:t>
            </w:r>
          </w:p>
        </w:tc>
      </w:tr>
    </w:tbl>
    <w:p>
      <w:pPr>
        <w:spacing w:after="60"/>
      </w:pPr>
    </w:p>
    <w:p>
      <w:pPr>
        <w:spacing w:after="110"/>
      </w:pPr>
      <w:r>
        <w:rPr>
          <w:b/>
          <w:bCs/>
        </w:rPr>
        <w:t xml:space="preserve">Evidence strategy.</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52"/>
        <w:gridCol w:w="3352"/>
        <w:gridCol w:w="2322"/>
      </w:tblGrid>
      <w:tr>
        <w:trPr>
          <w:tblHeader/>
        </w:trPr>
        <w:tc>
          <w:tcPr>
            <w:tcW w:type="dxa" w:w="3352"/>
            <w:tcBorders>
              <w:top w:val="single" w:color="BFB8A6" w:sz="4"/>
              <w:left w:val="single" w:color="BFB8A6" w:sz="4"/>
              <w:bottom w:val="single" w:color="BFB8A6" w:sz="4"/>
              <w:right w:val="single" w:color="BFB8A6" w:sz="4"/>
            </w:tcBorders>
            <w:shd w:fill="103740" w:color="auto" w:val="clear"/>
            <w:tcMar>
              <w:top w:type="dxa" w:w="60"/>
              <w:left w:type="dxa" w:w="100"/>
              <w:bottom w:type="dxa" w:w="60"/>
              <w:right w:type="dxa" w:w="100"/>
            </w:tcMar>
          </w:tcPr>
          <w:p>
            <w:pPr>
              <w:spacing w:after="40"/>
            </w:pPr>
            <w:r>
              <w:rPr>
                <w:b/>
                <w:bCs/>
                <w:color w:val="FFFFFF"/>
              </w:rPr>
              <w:t xml:space="preserve">Evidence</w:t>
            </w:r>
          </w:p>
        </w:tc>
        <w:tc>
          <w:tcPr>
            <w:tcW w:type="dxa" w:w="3352"/>
            <w:tcBorders>
              <w:top w:val="single" w:color="BFB8A6" w:sz="4"/>
              <w:left w:val="single" w:color="BFB8A6" w:sz="4"/>
              <w:bottom w:val="single" w:color="BFB8A6" w:sz="4"/>
              <w:right w:val="single" w:color="BFB8A6" w:sz="4"/>
            </w:tcBorders>
            <w:shd w:fill="103740" w:color="auto" w:val="clear"/>
            <w:tcMar>
              <w:top w:type="dxa" w:w="60"/>
              <w:left w:type="dxa" w:w="100"/>
              <w:bottom w:type="dxa" w:w="60"/>
              <w:right w:type="dxa" w:w="100"/>
            </w:tcMar>
          </w:tcPr>
          <w:p>
            <w:pPr>
              <w:spacing w:after="40"/>
            </w:pPr>
            <w:r>
              <w:rPr>
                <w:b/>
                <w:bCs/>
                <w:color w:val="FFFFFF"/>
              </w:rPr>
              <w:t xml:space="preserve">What it can tell me</w:t>
            </w:r>
          </w:p>
        </w:tc>
        <w:tc>
          <w:tcPr>
            <w:tcW w:type="dxa" w:w="2322"/>
            <w:tcBorders>
              <w:top w:val="single" w:color="BFB8A6" w:sz="4"/>
              <w:left w:val="single" w:color="BFB8A6" w:sz="4"/>
              <w:bottom w:val="single" w:color="BFB8A6" w:sz="4"/>
              <w:right w:val="single" w:color="BFB8A6" w:sz="4"/>
            </w:tcBorders>
            <w:shd w:fill="103740" w:color="auto" w:val="clear"/>
            <w:tcMar>
              <w:top w:type="dxa" w:w="60"/>
              <w:left w:type="dxa" w:w="100"/>
              <w:bottom w:type="dxa" w:w="60"/>
              <w:right w:type="dxa" w:w="100"/>
            </w:tcMar>
          </w:tcPr>
          <w:p>
            <w:pPr>
              <w:spacing w:after="40"/>
            </w:pPr>
            <w:r>
              <w:rPr>
                <w:b/>
                <w:bCs/>
                <w:color w:val="FFFFFF"/>
              </w:rPr>
              <w:t xml:space="preserve">Its gap</w:t>
            </w:r>
          </w:p>
        </w:tc>
      </w:tr>
      <w:tr>
        <w:trPr>
          <w:tblHeader w:val="false"/>
        </w:trPr>
        <w:tc>
          <w:tcPr>
            <w:tcW w:type="dxa" w:w="3352"/>
            <w:tcBorders>
              <w:top w:val="single" w:color="BFB8A6" w:sz="4"/>
              <w:left w:val="single" w:color="BFB8A6" w:sz="4"/>
              <w:bottom w:val="single" w:color="BFB8A6" w:sz="4"/>
              <w:right w:val="single" w:color="BFB8A6" w:sz="4"/>
            </w:tcBorders>
            <w:tcMar>
              <w:top w:type="dxa" w:w="60"/>
              <w:left w:type="dxa" w:w="100"/>
              <w:bottom w:type="dxa" w:w="60"/>
              <w:right w:type="dxa" w:w="100"/>
            </w:tcMar>
          </w:tcPr>
          <w:p>
            <w:pPr>
              <w:spacing w:after="40"/>
            </w:pPr>
            <w:r>
              <w:t xml:space="preserve">Three university documents: app privacy statement, data governance standard, course-profile procedure</w:t>
            </w:r>
          </w:p>
        </w:tc>
        <w:tc>
          <w:tcPr>
            <w:tcW w:type="dxa" w:w="3352"/>
            <w:tcBorders>
              <w:top w:val="single" w:color="BFB8A6" w:sz="4"/>
              <w:left w:val="single" w:color="BFB8A6" w:sz="4"/>
              <w:bottom w:val="single" w:color="BFB8A6" w:sz="4"/>
              <w:right w:val="single" w:color="BFB8A6" w:sz="4"/>
            </w:tcBorders>
            <w:tcMar>
              <w:top w:type="dxa" w:w="60"/>
              <w:left w:type="dxa" w:w="100"/>
              <w:bottom w:type="dxa" w:w="60"/>
              <w:right w:type="dxa" w:w="100"/>
            </w:tcMar>
          </w:tcPr>
          <w:p>
            <w:pPr>
              <w:spacing w:after="40"/>
            </w:pPr>
            <w:r>
              <w:t xml:space="preserve">What the rules would allow (Q2) and what work they assign (Q1) [D]</w:t>
            </w:r>
          </w:p>
        </w:tc>
        <w:tc>
          <w:tcPr>
            <w:tcW w:type="dxa" w:w="2322"/>
            <w:tcBorders>
              <w:top w:val="single" w:color="BFB8A6" w:sz="4"/>
              <w:left w:val="single" w:color="BFB8A6" w:sz="4"/>
              <w:bottom w:val="single" w:color="BFB8A6" w:sz="4"/>
              <w:right w:val="single" w:color="BFB8A6" w:sz="4"/>
            </w:tcBorders>
            <w:tcMar>
              <w:top w:type="dxa" w:w="60"/>
              <w:left w:type="dxa" w:w="100"/>
              <w:bottom w:type="dxa" w:w="60"/>
              <w:right w:type="dxa" w:w="100"/>
            </w:tcMar>
          </w:tcPr>
          <w:p>
            <w:pPr>
              <w:spacing w:after="40"/>
            </w:pPr>
            <w:r>
              <w:t xml:space="preserve">What the rules allow is not what would be built</w:t>
            </w:r>
          </w:p>
        </w:tc>
      </w:tr>
      <w:tr>
        <w:trPr>
          <w:tblHeader w:val="false"/>
        </w:trPr>
        <w:tc>
          <w:tcPr>
            <w:tcW w:type="dxa" w:w="3352"/>
            <w:tcBorders>
              <w:top w:val="single" w:color="BFB8A6" w:sz="4"/>
              <w:left w:val="single" w:color="BFB8A6" w:sz="4"/>
              <w:bottom w:val="single" w:color="BFB8A6" w:sz="4"/>
              <w:right w:val="single" w:color="BFB8A6" w:sz="4"/>
            </w:tcBorders>
            <w:tcMar>
              <w:top w:type="dxa" w:w="60"/>
              <w:left w:type="dxa" w:w="100"/>
              <w:bottom w:type="dxa" w:w="60"/>
              <w:right w:type="dxa" w:w="100"/>
            </w:tcMar>
          </w:tcPr>
          <w:p>
            <w:pPr>
              <w:spacing w:after="40"/>
            </w:pPr>
            <w:r>
              <w:t xml:space="preserve">Two or three comparable cases, selected against three criteria set in advance</w:t>
            </w:r>
          </w:p>
        </w:tc>
        <w:tc>
          <w:tcPr>
            <w:tcW w:type="dxa" w:w="3352"/>
            <w:tcBorders>
              <w:top w:val="single" w:color="BFB8A6" w:sz="4"/>
              <w:left w:val="single" w:color="BFB8A6" w:sz="4"/>
              <w:bottom w:val="single" w:color="BFB8A6" w:sz="4"/>
              <w:right w:val="single" w:color="BFB8A6" w:sz="4"/>
            </w:tcBorders>
            <w:tcMar>
              <w:top w:type="dxa" w:w="60"/>
              <w:left w:type="dxa" w:w="100"/>
              <w:bottom w:type="dxa" w:w="60"/>
              <w:right w:type="dxa" w:w="100"/>
            </w:tcMar>
          </w:tcPr>
          <w:p>
            <w:pPr>
              <w:spacing w:after="40"/>
            </w:pPr>
            <w:r>
              <w:t xml:space="preserve">What happened elsewhere once a planning feature sat in an institutional app (Year 1 and Year 3)</w:t>
            </w:r>
          </w:p>
        </w:tc>
        <w:tc>
          <w:tcPr>
            <w:tcW w:type="dxa" w:w="2322"/>
            <w:tcBorders>
              <w:top w:val="single" w:color="BFB8A6" w:sz="4"/>
              <w:left w:val="single" w:color="BFB8A6" w:sz="4"/>
              <w:bottom w:val="single" w:color="BFB8A6" w:sz="4"/>
              <w:right w:val="single" w:color="BFB8A6" w:sz="4"/>
            </w:tcBorders>
            <w:tcMar>
              <w:top w:type="dxa" w:w="60"/>
              <w:left w:type="dxa" w:w="100"/>
              <w:bottom w:type="dxa" w:w="60"/>
              <w:right w:type="dxa" w:w="100"/>
            </w:tcMar>
          </w:tcPr>
          <w:p>
            <w:pPr>
              <w:spacing w:after="40"/>
            </w:pPr>
            <w:r>
              <w:t xml:space="preserve">Never quite this university</w:t>
            </w:r>
          </w:p>
        </w:tc>
      </w:tr>
      <w:tr>
        <w:trPr>
          <w:tblHeader w:val="false"/>
        </w:trPr>
        <w:tc>
          <w:tcPr>
            <w:tcW w:type="dxa" w:w="3352"/>
            <w:tcBorders>
              <w:top w:val="single" w:color="BFB8A6" w:sz="4"/>
              <w:left w:val="single" w:color="BFB8A6" w:sz="4"/>
              <w:bottom w:val="single" w:color="BFB8A6" w:sz="4"/>
              <w:right w:val="single" w:color="BFB8A6" w:sz="4"/>
            </w:tcBorders>
            <w:tcMar>
              <w:top w:type="dxa" w:w="60"/>
              <w:left w:type="dxa" w:w="100"/>
              <w:bottom w:type="dxa" w:w="60"/>
              <w:right w:type="dxa" w:w="100"/>
            </w:tcMar>
          </w:tcPr>
          <w:p>
            <w:pPr>
              <w:spacing w:after="40"/>
            </w:pPr>
            <w:r>
              <w:t xml:space="preserve">30-minute interviews with a learning advisor, a first-year course coordinator and someone from the learning-systems team, using a one-page Year 1 and Year 3 scenario</w:t>
            </w:r>
          </w:p>
        </w:tc>
        <w:tc>
          <w:tcPr>
            <w:tcW w:type="dxa" w:w="3352"/>
            <w:tcBorders>
              <w:top w:val="single" w:color="BFB8A6" w:sz="4"/>
              <w:left w:val="single" w:color="BFB8A6" w:sz="4"/>
              <w:bottom w:val="single" w:color="BFB8A6" w:sz="4"/>
              <w:right w:val="single" w:color="BFB8A6" w:sz="4"/>
            </w:tcBorders>
            <w:tcMar>
              <w:top w:type="dxa" w:w="60"/>
              <w:left w:type="dxa" w:w="100"/>
              <w:bottom w:type="dxa" w:w="60"/>
              <w:right w:type="dxa" w:w="100"/>
            </w:tcMar>
          </w:tcPr>
          <w:p>
            <w:pPr>
              <w:spacing w:after="40"/>
            </w:pPr>
            <w:r>
              <w:t xml:space="preserve">What the people who would run it expect to do and want to see</w:t>
            </w:r>
          </w:p>
        </w:tc>
        <w:tc>
          <w:tcPr>
            <w:tcW w:type="dxa" w:w="2322"/>
            <w:tcBorders>
              <w:top w:val="single" w:color="BFB8A6" w:sz="4"/>
              <w:left w:val="single" w:color="BFB8A6" w:sz="4"/>
              <w:bottom w:val="single" w:color="BFB8A6" w:sz="4"/>
              <w:right w:val="single" w:color="BFB8A6" w:sz="4"/>
            </w:tcBorders>
            <w:tcMar>
              <w:top w:type="dxa" w:w="60"/>
              <w:left w:type="dxa" w:w="100"/>
              <w:bottom w:type="dxa" w:w="60"/>
              <w:right w:type="dxa" w:w="100"/>
            </w:tcMar>
          </w:tcPr>
          <w:p>
            <w:pPr>
              <w:spacing w:after="40"/>
            </w:pPr>
            <w:r>
              <w:t xml:space="preserve">What people expect, not what they would do</w:t>
            </w:r>
          </w:p>
        </w:tc>
      </w:tr>
    </w:tbl>
    <w:p>
      <w:pPr>
        <w:spacing w:after="110"/>
      </w:pPr>
      <w:r>
        <w:rPr>
          <w:b/>
          <w:bCs/>
        </w:rPr>
        <w:t xml:space="preserve">Protocol.</w:t>
      </w:r>
      <w:r>
        <w:t xml:space="preserve"> (1) List every rule in the three documents that would apply to a plan held in the app. (2) Select cases against the criteria: an institution-owned app students must use, a feature that plans student time, a published account of the outcome. (3) Build the scenario from steps 1 and 2, every line traced to a source. (4) Interview the three practitioners. (5) Sort all material by question and time point, labelled documented, inferred or anticipated, and record where sources agree, conflict or are silent.</w:t>
      </w:r>
    </w:p>
    <w:p>
      <w:pPr>
        <w:spacing w:after="110"/>
      </w:pPr>
      <w:r>
        <w:rPr>
          <w:b/>
          <w:bCs/>
        </w:rPr>
        <w:t xml:space="preserve">Time points.</w:t>
      </w:r>
      <w:r>
        <w:t xml:space="preserve"> Year 1 is the first semester the feature runs; Year 3 is after its first yearly review, when owners, rules and staff may have changed.</w:t>
      </w:r>
    </w:p>
    <w:p>
      <w:pPr>
        <w:spacing w:after="110"/>
      </w:pPr>
      <w:r>
        <w:rPr>
          <w:b/>
          <w:bCs/>
        </w:rPr>
        <w:t xml:space="preserve">Judging sources.</w:t>
      </w:r>
      <w:r>
        <w:t xml:space="preserve"> Checking is matched to consequence: a source that a recommendation rests on is checked against a second source. An AI-suggested case is used only if a primary account of it can be found.</w:t>
      </w:r>
    </w:p>
    <w:p>
      <w:pPr>
        <w:spacing w:after="110"/>
      </w:pPr>
      <w:r>
        <w:rPr>
          <w:b/>
          <w:bCs/>
        </w:rPr>
        <w:t xml:space="preserve">Method evaluation criteria</w:t>
      </w:r>
      <w:r>
        <w:t xml:space="preserve"> (set before running, in [Log 2]).</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5"/>
        <w:gridCol w:w="7221"/>
      </w:tblGrid>
      <w:tr>
        <w:trPr>
          <w:tblHeader/>
        </w:trPr>
        <w:tc>
          <w:tcPr>
            <w:tcW w:type="dxa" w:w="1805"/>
            <w:tcBorders>
              <w:top w:val="single" w:color="BFB8A6" w:sz="4"/>
              <w:left w:val="single" w:color="BFB8A6" w:sz="4"/>
              <w:bottom w:val="single" w:color="BFB8A6" w:sz="4"/>
              <w:right w:val="single" w:color="BFB8A6" w:sz="4"/>
            </w:tcBorders>
            <w:shd w:fill="103740" w:color="auto" w:val="clear"/>
            <w:tcMar>
              <w:top w:type="dxa" w:w="60"/>
              <w:left w:type="dxa" w:w="100"/>
              <w:bottom w:type="dxa" w:w="60"/>
              <w:right w:type="dxa" w:w="100"/>
            </w:tcMar>
          </w:tcPr>
          <w:p>
            <w:pPr>
              <w:spacing w:after="40"/>
            </w:pPr>
            <w:r>
              <w:rPr>
                <w:b/>
                <w:bCs/>
                <w:color w:val="FFFFFF"/>
              </w:rPr>
              <w:t xml:space="preserve">Dimension</w:t>
            </w:r>
          </w:p>
        </w:tc>
        <w:tc>
          <w:tcPr>
            <w:tcW w:type="dxa" w:w="7221"/>
            <w:tcBorders>
              <w:top w:val="single" w:color="BFB8A6" w:sz="4"/>
              <w:left w:val="single" w:color="BFB8A6" w:sz="4"/>
              <w:bottom w:val="single" w:color="BFB8A6" w:sz="4"/>
              <w:right w:val="single" w:color="BFB8A6" w:sz="4"/>
            </w:tcBorders>
            <w:shd w:fill="103740" w:color="auto" w:val="clear"/>
            <w:tcMar>
              <w:top w:type="dxa" w:w="60"/>
              <w:left w:type="dxa" w:w="100"/>
              <w:bottom w:type="dxa" w:w="60"/>
              <w:right w:type="dxa" w:w="100"/>
            </w:tcMar>
          </w:tcPr>
          <w:p>
            <w:pPr>
              <w:spacing w:after="40"/>
            </w:pPr>
            <w:r>
              <w:rPr>
                <w:b/>
                <w:bCs/>
                <w:color w:val="FFFFFF"/>
              </w:rPr>
              <w:t xml:space="preserve">My method works well on this if…, which I will know because…</w:t>
            </w:r>
          </w:p>
        </w:tc>
      </w:tr>
      <w:tr>
        <w:trPr>
          <w:tblHeader w:val="false"/>
        </w:trPr>
        <w:tc>
          <w:tcPr>
            <w:tcW w:type="dxa" w:w="1805"/>
            <w:tcBorders>
              <w:top w:val="single" w:color="BFB8A6" w:sz="4"/>
              <w:left w:val="single" w:color="BFB8A6" w:sz="4"/>
              <w:bottom w:val="single" w:color="BFB8A6" w:sz="4"/>
              <w:right w:val="single" w:color="BFB8A6" w:sz="4"/>
            </w:tcBorders>
            <w:shd w:fill="F2E4C9" w:color="auto" w:val="clear"/>
            <w:tcMar>
              <w:top w:type="dxa" w:w="60"/>
              <w:left w:type="dxa" w:w="100"/>
              <w:bottom w:type="dxa" w:w="60"/>
              <w:right w:type="dxa" w:w="100"/>
            </w:tcMar>
          </w:tcPr>
          <w:p>
            <w:pPr>
              <w:spacing w:after="40"/>
            </w:pPr>
            <w:r>
              <w:rPr>
                <w:b/>
                <w:bCs/>
              </w:rPr>
              <w:t xml:space="preserve">Reach</w:t>
            </w:r>
          </w:p>
        </w:tc>
        <w:tc>
          <w:tcPr>
            <w:tcW w:type="dxa" w:w="7221"/>
            <w:tcBorders>
              <w:top w:val="single" w:color="BFB8A6" w:sz="4"/>
              <w:left w:val="single" w:color="BFB8A6" w:sz="4"/>
              <w:bottom w:val="single" w:color="BFB8A6" w:sz="4"/>
              <w:right w:val="single" w:color="BFB8A6" w:sz="4"/>
            </w:tcBorders>
            <w:tcMar>
              <w:top w:type="dxa" w:w="60"/>
              <w:left w:type="dxa" w:w="100"/>
              <w:bottom w:type="dxa" w:w="60"/>
              <w:right w:type="dxa" w:w="100"/>
            </w:tcMar>
          </w:tcPr>
          <w:p>
            <w:pPr>
              <w:spacing w:after="40"/>
            </w:pPr>
            <w:r>
              <w:t xml:space="preserve">it reaches at least two practitioner roles and the rules governing plan data, which I will know from who I interviewed and which documents I coded.</w:t>
            </w:r>
          </w:p>
        </w:tc>
      </w:tr>
      <w:tr>
        <w:trPr>
          <w:tblHeader w:val="false"/>
        </w:trPr>
        <w:tc>
          <w:tcPr>
            <w:tcW w:type="dxa" w:w="1805"/>
            <w:tcBorders>
              <w:top w:val="single" w:color="BFB8A6" w:sz="4"/>
              <w:left w:val="single" w:color="BFB8A6" w:sz="4"/>
              <w:bottom w:val="single" w:color="BFB8A6" w:sz="4"/>
              <w:right w:val="single" w:color="BFB8A6" w:sz="4"/>
            </w:tcBorders>
            <w:shd w:fill="F2E4C9" w:color="auto" w:val="clear"/>
            <w:tcMar>
              <w:top w:type="dxa" w:w="60"/>
              <w:left w:type="dxa" w:w="100"/>
              <w:bottom w:type="dxa" w:w="60"/>
              <w:right w:type="dxa" w:w="100"/>
            </w:tcMar>
          </w:tcPr>
          <w:p>
            <w:pPr>
              <w:spacing w:after="40"/>
            </w:pPr>
            <w:r>
              <w:rPr>
                <w:b/>
                <w:bCs/>
              </w:rPr>
              <w:t xml:space="preserve">Answerability</w:t>
            </w:r>
          </w:p>
        </w:tc>
        <w:tc>
          <w:tcPr>
            <w:tcW w:type="dxa" w:w="7221"/>
            <w:tcBorders>
              <w:top w:val="single" w:color="BFB8A6" w:sz="4"/>
              <w:left w:val="single" w:color="BFB8A6" w:sz="4"/>
              <w:bottom w:val="single" w:color="BFB8A6" w:sz="4"/>
              <w:right w:val="single" w:color="BFB8A6" w:sz="4"/>
            </w:tcBorders>
            <w:tcMar>
              <w:top w:type="dxa" w:w="60"/>
              <w:left w:type="dxa" w:w="100"/>
              <w:bottom w:type="dxa" w:w="60"/>
              <w:right w:type="dxa" w:w="100"/>
            </w:tcMar>
          </w:tcPr>
          <w:p>
            <w:pPr>
              <w:spacing w:after="40"/>
            </w:pPr>
            <w:r>
              <w:t xml:space="preserve">for each kind of staff, it can say whether they could see a plan and why, which I will know by filling a staff-by-access table with no blank rows.</w:t>
            </w:r>
          </w:p>
        </w:tc>
      </w:tr>
      <w:tr>
        <w:trPr>
          <w:tblHeader w:val="false"/>
        </w:trPr>
        <w:tc>
          <w:tcPr>
            <w:tcW w:type="dxa" w:w="1805"/>
            <w:tcBorders>
              <w:top w:val="single" w:color="BFB8A6" w:sz="4"/>
              <w:left w:val="single" w:color="BFB8A6" w:sz="4"/>
              <w:bottom w:val="single" w:color="BFB8A6" w:sz="4"/>
              <w:right w:val="single" w:color="BFB8A6" w:sz="4"/>
            </w:tcBorders>
            <w:shd w:fill="F2E4C9" w:color="auto" w:val="clear"/>
            <w:tcMar>
              <w:top w:type="dxa" w:w="60"/>
              <w:left w:type="dxa" w:w="100"/>
              <w:bottom w:type="dxa" w:w="60"/>
              <w:right w:type="dxa" w:w="100"/>
            </w:tcMar>
          </w:tcPr>
          <w:p>
            <w:pPr>
              <w:spacing w:after="40"/>
            </w:pPr>
            <w:r>
              <w:rPr>
                <w:b/>
                <w:bCs/>
              </w:rPr>
              <w:t xml:space="preserve">Grounding</w:t>
            </w:r>
          </w:p>
        </w:tc>
        <w:tc>
          <w:tcPr>
            <w:tcW w:type="dxa" w:w="7221"/>
            <w:tcBorders>
              <w:top w:val="single" w:color="BFB8A6" w:sz="4"/>
              <w:left w:val="single" w:color="BFB8A6" w:sz="4"/>
              <w:bottom w:val="single" w:color="BFB8A6" w:sz="4"/>
              <w:right w:val="single" w:color="BFB8A6" w:sz="4"/>
            </w:tcBorders>
            <w:tcMar>
              <w:top w:type="dxa" w:w="60"/>
              <w:left w:type="dxa" w:w="100"/>
              <w:bottom w:type="dxa" w:w="60"/>
              <w:right w:type="dxa" w:w="100"/>
            </w:tcMar>
          </w:tcPr>
          <w:p>
            <w:pPr>
              <w:spacing w:after="40"/>
            </w:pPr>
            <w:r>
              <w:t xml:space="preserve">every anticipated effect cites a document or comparable case, which I will know because each line of my findings table has a source.</w:t>
            </w:r>
          </w:p>
        </w:tc>
      </w:tr>
      <w:tr>
        <w:trPr>
          <w:tblHeader w:val="false"/>
        </w:trPr>
        <w:tc>
          <w:tcPr>
            <w:tcW w:type="dxa" w:w="1805"/>
            <w:tcBorders>
              <w:top w:val="single" w:color="BFB8A6" w:sz="4"/>
              <w:left w:val="single" w:color="BFB8A6" w:sz="4"/>
              <w:bottom w:val="single" w:color="BFB8A6" w:sz="4"/>
              <w:right w:val="single" w:color="BFB8A6" w:sz="4"/>
            </w:tcBorders>
            <w:shd w:fill="F2E4C9" w:color="auto" w:val="clear"/>
            <w:tcMar>
              <w:top w:type="dxa" w:w="60"/>
              <w:left w:type="dxa" w:w="100"/>
              <w:bottom w:type="dxa" w:w="60"/>
              <w:right w:type="dxa" w:w="100"/>
            </w:tcMar>
          </w:tcPr>
          <w:p>
            <w:pPr>
              <w:spacing w:after="40"/>
            </w:pPr>
            <w:r>
              <w:rPr>
                <w:b/>
                <w:bCs/>
              </w:rPr>
              <w:t xml:space="preserve">Feasibility</w:t>
            </w:r>
          </w:p>
        </w:tc>
        <w:tc>
          <w:tcPr>
            <w:tcW w:type="dxa" w:w="7221"/>
            <w:tcBorders>
              <w:top w:val="single" w:color="BFB8A6" w:sz="4"/>
              <w:left w:val="single" w:color="BFB8A6" w:sz="4"/>
              <w:bottom w:val="single" w:color="BFB8A6" w:sz="4"/>
              <w:right w:val="single" w:color="BFB8A6" w:sz="4"/>
            </w:tcBorders>
            <w:tcMar>
              <w:top w:type="dxa" w:w="60"/>
              <w:left w:type="dxa" w:w="100"/>
              <w:bottom w:type="dxa" w:w="60"/>
              <w:right w:type="dxa" w:w="100"/>
            </w:tcMar>
          </w:tcPr>
          <w:p>
            <w:pPr>
              <w:spacing w:after="40"/>
            </w:pPr>
            <w:r>
              <w:t xml:space="preserve">it is complete by the end of Week 12, which I will know because the interviews are done or the agreed plan B has been used.</w:t>
            </w:r>
          </w:p>
        </w:tc>
      </w:tr>
    </w:tbl>
    <w:p>
      <w:pPr>
        <w:spacing w:after="110"/>
      </w:pPr>
      <w:r>
        <w:rPr>
          <w:b/>
          <w:bCs/>
        </w:rPr>
        <w:t xml:space="preserve">Strongest claim, if everything goes as planned.</w:t>
      </w:r>
      <w:r>
        <w:t xml:space="preserve"> For this university, the evidence could establish which staff would be able to see a plan held in the app, and suggest what students would need for the plan to remain theirs. It could not establish how students would respond.</w:t>
      </w:r>
    </w:p>
    <w:p>
      <w:pPr>
        <w:spacing w:after="110"/>
      </w:pPr>
      <w:r>
        <w:rPr>
          <w:b/>
          <w:bCs/>
        </w:rPr>
        <w:t xml:space="preserve">Assumptions, ethics and limits.</w:t>
      </w:r>
      <w:r>
        <w:t xml:space="preserve"> The university would build rather than license the feature. Practitioners speak about their roles, not individual students, with an information sheet and consent form. No students are heard. Plan B, agreed with my tutor: if the learning-systems team declines, use its published integration standard and state the gap.</w:t>
      </w:r>
    </w:p>
    <w:p>
      <w:pPr>
        <w:pStyle w:val="Heading1"/>
      </w:pPr>
      <w:r>
        <w:t xml:space="preserve">Section 5: Findings and layered systemic analysis</w:t>
      </w:r>
    </w:p>
    <w:p>
      <w:pPr>
        <w:pStyle w:val="Heading2"/>
      </w:pPr>
      <w:r>
        <w:t xml:space="preserve">Q1: The work of running it</w:t>
      </w:r>
    </w:p>
    <w:p>
      <w:pPr>
        <w:pStyle w:val="ListParagraph"/>
        <w:numPr>
          <w:ilvl w:val="0"/>
          <w:numId w:val="2"/>
        </w:numPr>
        <w:spacing w:after="60"/>
      </w:pPr>
      <w:r>
        <w:t xml:space="preserve">Deadlines would come from the course profile, which coordinators already maintain; the procedure allows changes after week 2 without notice to students [D]. The coordinator expected late changes to "land on me as emails" once students saw them break their plans [A, interview].</w:t>
      </w:r>
    </w:p>
    <w:p>
      <w:pPr>
        <w:pStyle w:val="ListParagraph"/>
        <w:numPr>
          <w:ilvl w:val="0"/>
          <w:numId w:val="2"/>
        </w:numPr>
        <w:spacing w:after="60"/>
      </w:pPr>
      <w:r>
        <w:t xml:space="preserve">No team is named as the owner of a scheduling feature in either document [D]. The learning-systems integration standard requires every app feature to have a named service owner and a yearly review [D]; without one, the feature would fail its first review at Year 1 [I].</w:t>
      </w:r>
    </w:p>
    <w:p>
      <w:pPr>
        <w:pStyle w:val="ListParagraph"/>
        <w:numPr>
          <w:ilvl w:val="0"/>
          <w:numId w:val="2"/>
        </w:numPr>
        <w:spacing w:after="60"/>
      </w:pPr>
      <w:r>
        <w:t xml:space="preserve">By Year 3, both practitioners expected the course-profile procedure to have been tightened, if the planner made late changes visible [A, interviews]. If so, the planner would change coordinators' work beyond the app itself: a ripple effect into teaching practice (3.2) [A].</w:t>
      </w:r>
    </w:p>
    <w:p>
      <w:pPr>
        <w:pStyle w:val="Heading2"/>
      </w:pPr>
      <w:r>
        <w:t xml:space="preserve">Q2: Who could see the plan</w:t>
      </w:r>
    </w:p>
    <w:p>
      <w:pPr>
        <w:pStyle w:val="ListParagraph"/>
        <w:numPr>
          <w:ilvl w:val="0"/>
          <w:numId w:val="2"/>
        </w:numPr>
        <w:spacing w:after="60"/>
      </w:pPr>
      <w:r>
        <w:t xml:space="preserve">The privacy statement lets "authorised staff" use app data "to support student success" [D]. A plan held in the app would fall within that wording unless the governance standard classified it otherwise; the standard is silent on it [I].</w:t>
      </w:r>
    </w:p>
    <w:p>
      <w:pPr>
        <w:pStyle w:val="ListParagraph"/>
        <w:numPr>
          <w:ilvl w:val="0"/>
          <w:numId w:val="2"/>
        </w:numPr>
        <w:spacing w:after="60"/>
      </w:pPr>
      <w:r>
        <w:t xml:space="preserve">The learning advisor would want to see plans "in a heartbeat", to help students who fall behind; the coordinator did not want access [A, interviews]. Willingness to look is uneven across roles.</w:t>
      </w:r>
    </w:p>
    <w:p>
      <w:pPr>
        <w:pStyle w:val="ListParagraph"/>
        <w:numPr>
          <w:ilvl w:val="0"/>
          <w:numId w:val="2"/>
        </w:numPr>
        <w:spacing w:after="60"/>
      </w:pPr>
      <w:r>
        <w:t xml:space="preserve">In Case A, a planning view added for students in Year 1 had become an advisor dashboard by Year 3, introduced to flag students at risk [D, published review].</w:t>
      </w:r>
    </w:p>
    <w:p>
      <w:pPr>
        <w:pStyle w:val="ListParagraph"/>
        <w:numPr>
          <w:ilvl w:val="0"/>
          <w:numId w:val="2"/>
        </w:numPr>
        <w:spacing w:after="60"/>
      </w:pPr>
      <w:r>
        <w:t xml:space="preserve">The evidence conflicts on consent. The advisor assumed students would be asked before anyone saw their plan; neither the privacy statement nor Case A's review mentions asking [D]. I give more weight to the documents, because they describe what would govern access, while the advisor described what she would prefer.</w:t>
      </w:r>
    </w:p>
    <w:p>
      <w:pPr>
        <w:pStyle w:val="Heading2"/>
      </w:pPr>
      <w:r>
        <w:t xml:space="preserve">Across layers and over time</w:t>
      </w:r>
    </w:p>
    <w:p>
      <w:pPr>
        <w:spacing w:after="110"/>
      </w:pPr>
      <w:r>
        <w:t xml:space="preserve">Plan becomes institutional data (3.3) → the privacy wording permits advisor access [I] → advisors use it to flag students (Case A) [A] → students who know plans are seen keep a private plan elsewhere (Case B, a school planner) [A] → the app plan becomes less accurate → advisors see less, which strengthens the case for more data. </w:t>
      </w:r>
      <w:r>
        <w:rPr>
          <w:b/>
          <w:bCs/>
        </w:rPr>
        <w:t xml:space="preserve">Feedback loop:</w:t>
      </w:r>
      <w:r>
        <w:t xml:space="preserve"> visibility reduces the plan's value to everyone it was meant to help. The override (4.1) does not reach this loop: students control what the plan says, not who sees it. Read through Lens 4, the loop is driven by a rule written for another purpose (student-success data) being applied to a new kind of data by default.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20"/>
        <w:gridCol w:w="6706"/>
      </w:tblGrid>
      <w:tr>
        <w:trPr>
          <w:tblHeader/>
        </w:trPr>
        <w:tc>
          <w:tcPr>
            <w:tcW w:type="dxa" w:w="2320"/>
            <w:tcBorders>
              <w:top w:val="single" w:color="BFB8A6" w:sz="4"/>
              <w:left w:val="single" w:color="BFB8A6" w:sz="4"/>
              <w:bottom w:val="single" w:color="BFB8A6" w:sz="4"/>
              <w:right w:val="single" w:color="BFB8A6" w:sz="4"/>
            </w:tcBorders>
            <w:shd w:fill="103740" w:color="auto" w:val="clear"/>
            <w:tcMar>
              <w:top w:type="dxa" w:w="60"/>
              <w:left w:type="dxa" w:w="100"/>
              <w:bottom w:type="dxa" w:w="60"/>
              <w:right w:type="dxa" w:w="100"/>
            </w:tcMar>
          </w:tcPr>
          <w:p>
            <w:pPr>
              <w:spacing w:after="40"/>
            </w:pPr>
            <w:r>
              <w:rPr>
                <w:b/>
                <w:bCs/>
                <w:color w:val="FFFFFF"/>
              </w:rPr>
              <w:t xml:space="preserve">At Year 3, in the app</w:t>
            </w:r>
          </w:p>
        </w:tc>
        <w:tc>
          <w:tcPr>
            <w:tcW w:type="dxa" w:w="6706"/>
            <w:tcBorders>
              <w:top w:val="single" w:color="BFB8A6" w:sz="4"/>
              <w:left w:val="single" w:color="BFB8A6" w:sz="4"/>
              <w:bottom w:val="single" w:color="BFB8A6" w:sz="4"/>
              <w:right w:val="single" w:color="BFB8A6" w:sz="4"/>
            </w:tcBorders>
            <w:shd w:fill="103740" w:color="auto" w:val="clear"/>
            <w:tcMar>
              <w:top w:type="dxa" w:w="60"/>
              <w:left w:type="dxa" w:w="100"/>
              <w:bottom w:type="dxa" w:w="60"/>
              <w:right w:type="dxa" w:w="100"/>
            </w:tcMar>
          </w:tcPr>
          <w:p>
            <w:pPr>
              <w:spacing w:after="40"/>
            </w:pPr>
          </w:p>
        </w:tc>
      </w:tr>
      <w:tr>
        <w:trPr>
          <w:tblHeader w:val="false"/>
        </w:trPr>
        <w:tc>
          <w:tcPr>
            <w:tcW w:type="dxa" w:w="2320"/>
            <w:tcBorders>
              <w:top w:val="single" w:color="BFB8A6" w:sz="4"/>
              <w:left w:val="single" w:color="BFB8A6" w:sz="4"/>
              <w:bottom w:val="single" w:color="BFB8A6" w:sz="4"/>
              <w:right w:val="single" w:color="BFB8A6" w:sz="4"/>
            </w:tcBorders>
            <w:shd w:fill="F2E4C9" w:color="auto" w:val="clear"/>
            <w:tcMar>
              <w:top w:type="dxa" w:w="60"/>
              <w:left w:type="dxa" w:w="100"/>
              <w:bottom w:type="dxa" w:w="60"/>
              <w:right w:type="dxa" w:w="100"/>
            </w:tcMar>
          </w:tcPr>
          <w:p>
            <w:pPr>
              <w:spacing w:after="40"/>
            </w:pPr>
            <w:r>
              <w:rPr>
                <w:b/>
                <w:bCs/>
              </w:rPr>
              <w:t xml:space="preserve">Does the work</w:t>
            </w:r>
          </w:p>
        </w:tc>
        <w:tc>
          <w:tcPr>
            <w:tcW w:type="dxa" w:w="6706"/>
            <w:tcBorders>
              <w:top w:val="single" w:color="BFB8A6" w:sz="4"/>
              <w:left w:val="single" w:color="BFB8A6" w:sz="4"/>
              <w:bottom w:val="single" w:color="BFB8A6" w:sz="4"/>
              <w:right w:val="single" w:color="BFB8A6" w:sz="4"/>
            </w:tcBorders>
            <w:tcMar>
              <w:top w:type="dxa" w:w="60"/>
              <w:left w:type="dxa" w:w="100"/>
              <w:bottom w:type="dxa" w:w="60"/>
              <w:right w:type="dxa" w:w="100"/>
            </w:tcMar>
          </w:tcPr>
          <w:p>
            <w:pPr>
              <w:spacing w:after="40"/>
            </w:pPr>
            <w:r>
              <w:t xml:space="preserve">Course coordinators (deadline accuracy); learning advisors (follow-up on flags)</w:t>
            </w:r>
          </w:p>
        </w:tc>
      </w:tr>
      <w:tr>
        <w:trPr>
          <w:tblHeader w:val="false"/>
        </w:trPr>
        <w:tc>
          <w:tcPr>
            <w:tcW w:type="dxa" w:w="2320"/>
            <w:tcBorders>
              <w:top w:val="single" w:color="BFB8A6" w:sz="4"/>
              <w:left w:val="single" w:color="BFB8A6" w:sz="4"/>
              <w:bottom w:val="single" w:color="BFB8A6" w:sz="4"/>
              <w:right w:val="single" w:color="BFB8A6" w:sz="4"/>
            </w:tcBorders>
            <w:shd w:fill="F2E4C9" w:color="auto" w:val="clear"/>
            <w:tcMar>
              <w:top w:type="dxa" w:w="60"/>
              <w:left w:type="dxa" w:w="100"/>
              <w:bottom w:type="dxa" w:w="60"/>
              <w:right w:type="dxa" w:w="100"/>
            </w:tcMar>
          </w:tcPr>
          <w:p>
            <w:pPr>
              <w:spacing w:after="40"/>
            </w:pPr>
            <w:r>
              <w:rPr>
                <w:b/>
                <w:bCs/>
              </w:rPr>
              <w:t xml:space="preserve">Holds authority</w:t>
            </w:r>
          </w:p>
        </w:tc>
        <w:tc>
          <w:tcPr>
            <w:tcW w:type="dxa" w:w="6706"/>
            <w:tcBorders>
              <w:top w:val="single" w:color="BFB8A6" w:sz="4"/>
              <w:left w:val="single" w:color="BFB8A6" w:sz="4"/>
              <w:bottom w:val="single" w:color="BFB8A6" w:sz="4"/>
              <w:right w:val="single" w:color="BFB8A6" w:sz="4"/>
            </w:tcBorders>
            <w:tcMar>
              <w:top w:type="dxa" w:w="60"/>
              <w:left w:type="dxa" w:w="100"/>
              <w:bottom w:type="dxa" w:w="60"/>
              <w:right w:type="dxa" w:w="100"/>
            </w:tcMar>
          </w:tcPr>
          <w:p>
            <w:pPr>
              <w:spacing w:after="40"/>
            </w:pPr>
            <w:r>
              <w:t xml:space="preserve">The data governance office, which decides who counts as "authorised staff"</w:t>
            </w:r>
          </w:p>
        </w:tc>
      </w:tr>
      <w:tr>
        <w:trPr>
          <w:tblHeader w:val="false"/>
        </w:trPr>
        <w:tc>
          <w:tcPr>
            <w:tcW w:type="dxa" w:w="2320"/>
            <w:tcBorders>
              <w:top w:val="single" w:color="BFB8A6" w:sz="4"/>
              <w:left w:val="single" w:color="BFB8A6" w:sz="4"/>
              <w:bottom w:val="single" w:color="BFB8A6" w:sz="4"/>
              <w:right w:val="single" w:color="BFB8A6" w:sz="4"/>
            </w:tcBorders>
            <w:shd w:fill="F2E4C9" w:color="auto" w:val="clear"/>
            <w:tcMar>
              <w:top w:type="dxa" w:w="60"/>
              <w:left w:type="dxa" w:w="100"/>
              <w:bottom w:type="dxa" w:w="60"/>
              <w:right w:type="dxa" w:w="100"/>
            </w:tcMar>
          </w:tcPr>
          <w:p>
            <w:pPr>
              <w:spacing w:after="40"/>
            </w:pPr>
            <w:r>
              <w:rPr>
                <w:b/>
                <w:bCs/>
              </w:rPr>
              <w:t xml:space="preserve">Benefits</w:t>
            </w:r>
          </w:p>
        </w:tc>
        <w:tc>
          <w:tcPr>
            <w:tcW w:type="dxa" w:w="6706"/>
            <w:tcBorders>
              <w:top w:val="single" w:color="BFB8A6" w:sz="4"/>
              <w:left w:val="single" w:color="BFB8A6" w:sz="4"/>
              <w:bottom w:val="single" w:color="BFB8A6" w:sz="4"/>
              <w:right w:val="single" w:color="BFB8A6" w:sz="4"/>
            </w:tcBorders>
            <w:tcMar>
              <w:top w:type="dxa" w:w="60"/>
              <w:left w:type="dxa" w:w="100"/>
              <w:bottom w:type="dxa" w:w="60"/>
              <w:right w:type="dxa" w:w="100"/>
            </w:tcMar>
          </w:tcPr>
          <w:p>
            <w:pPr>
              <w:spacing w:after="40"/>
            </w:pPr>
            <w:r>
              <w:t xml:space="preserve">Advisors (earlier signal); students who want help</w:t>
            </w:r>
          </w:p>
        </w:tc>
      </w:tr>
      <w:tr>
        <w:trPr>
          <w:tblHeader w:val="false"/>
        </w:trPr>
        <w:tc>
          <w:tcPr>
            <w:tcW w:type="dxa" w:w="2320"/>
            <w:tcBorders>
              <w:top w:val="single" w:color="BFB8A6" w:sz="4"/>
              <w:left w:val="single" w:color="BFB8A6" w:sz="4"/>
              <w:bottom w:val="single" w:color="BFB8A6" w:sz="4"/>
              <w:right w:val="single" w:color="BFB8A6" w:sz="4"/>
            </w:tcBorders>
            <w:shd w:fill="F2E4C9" w:color="auto" w:val="clear"/>
            <w:tcMar>
              <w:top w:type="dxa" w:w="60"/>
              <w:left w:type="dxa" w:w="100"/>
              <w:bottom w:type="dxa" w:w="60"/>
              <w:right w:type="dxa" w:w="100"/>
            </w:tcMar>
          </w:tcPr>
          <w:p>
            <w:pPr>
              <w:spacing w:after="40"/>
            </w:pPr>
            <w:r>
              <w:rPr>
                <w:b/>
                <w:bCs/>
              </w:rPr>
              <w:t xml:space="preserve">Carries risk</w:t>
            </w:r>
          </w:p>
        </w:tc>
        <w:tc>
          <w:tcPr>
            <w:tcW w:type="dxa" w:w="6706"/>
            <w:tcBorders>
              <w:top w:val="single" w:color="BFB8A6" w:sz="4"/>
              <w:left w:val="single" w:color="BFB8A6" w:sz="4"/>
              <w:bottom w:val="single" w:color="BFB8A6" w:sz="4"/>
              <w:right w:val="single" w:color="BFB8A6" w:sz="4"/>
            </w:tcBorders>
            <w:tcMar>
              <w:top w:type="dxa" w:w="60"/>
              <w:left w:type="dxa" w:w="100"/>
              <w:bottom w:type="dxa" w:w="60"/>
              <w:right w:type="dxa" w:w="100"/>
            </w:tcMar>
          </w:tcPr>
          <w:p>
            <w:pPr>
              <w:spacing w:after="40"/>
            </w:pPr>
            <w:r>
              <w:t xml:space="preserve">Students whose plans show them falling behind</w:t>
            </w:r>
          </w:p>
        </w:tc>
      </w:tr>
      <w:tr>
        <w:trPr>
          <w:tblHeader w:val="false"/>
        </w:trPr>
        <w:tc>
          <w:tcPr>
            <w:tcW w:type="dxa" w:w="2320"/>
            <w:tcBorders>
              <w:top w:val="single" w:color="BFB8A6" w:sz="4"/>
              <w:left w:val="single" w:color="BFB8A6" w:sz="4"/>
              <w:bottom w:val="single" w:color="BFB8A6" w:sz="4"/>
              <w:right w:val="single" w:color="BFB8A6" w:sz="4"/>
            </w:tcBorders>
            <w:shd w:fill="F2E4C9" w:color="auto" w:val="clear"/>
            <w:tcMar>
              <w:top w:type="dxa" w:w="60"/>
              <w:left w:type="dxa" w:w="100"/>
              <w:bottom w:type="dxa" w:w="60"/>
              <w:right w:type="dxa" w:w="100"/>
            </w:tcMar>
          </w:tcPr>
          <w:p>
            <w:pPr>
              <w:spacing w:after="40"/>
            </w:pPr>
            <w:r>
              <w:rPr>
                <w:b/>
                <w:bCs/>
              </w:rPr>
              <w:t xml:space="preserve">May be excluded</w:t>
            </w:r>
          </w:p>
        </w:tc>
        <w:tc>
          <w:tcPr>
            <w:tcW w:type="dxa" w:w="6706"/>
            <w:tcBorders>
              <w:top w:val="single" w:color="BFB8A6" w:sz="4"/>
              <w:left w:val="single" w:color="BFB8A6" w:sz="4"/>
              <w:bottom w:val="single" w:color="BFB8A6" w:sz="4"/>
              <w:right w:val="single" w:color="BFB8A6" w:sz="4"/>
            </w:tcBorders>
            <w:tcMar>
              <w:top w:type="dxa" w:w="60"/>
              <w:left w:type="dxa" w:w="100"/>
              <w:bottom w:type="dxa" w:w="60"/>
              <w:right w:type="dxa" w:w="100"/>
            </w:tcMar>
          </w:tcPr>
          <w:p>
            <w:pPr>
              <w:spacing w:after="40"/>
            </w:pPr>
            <w:r>
              <w:t xml:space="preserve">Students who keep their real plan elsewhere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C815E" w:sz="14"/>
              <w:left w:val="single" w:color="BFB8A6" w:sz="4"/>
              <w:bottom w:val="single" w:color="BFB8A6" w:sz="4"/>
              <w:right w:val="single" w:color="BFB8A6" w:sz="4"/>
            </w:tcBorders>
            <w:shd w:fill="EEF0EF" w:color="auto" w:val="clear"/>
            <w:tcMar>
              <w:top w:type="dxa" w:w="110"/>
              <w:left w:type="dxa" w:w="150"/>
              <w:bottom w:type="dxa" w:w="110"/>
              <w:right w:type="dxa" w:w="150"/>
            </w:tcMar>
          </w:tcPr>
          <w:p>
            <w:pPr>
              <w:spacing w:after="70"/>
            </w:pPr>
            <w:r>
              <w:rPr>
                <w:b/>
                <w:bCs/>
                <w:color w:val="8C815E"/>
                <w:sz w:val="19"/>
                <w:szCs w:val="19"/>
              </w:rPr>
              <w:t xml:space="preserve">MORE IN YOUR REPORT · this example shows the first few items only</w:t>
            </w:r>
          </w:p>
          <w:p>
            <w:pPr>
              <w:spacing w:after="70"/>
            </w:pPr>
            <w:r>
              <w:rPr>
                <w:sz w:val="19"/>
                <w:szCs w:val="19"/>
              </w:rPr>
              <w:t xml:space="preserve">Your Section 5 needs the full analysis, not a sample. In the real report, AK would add: the non-human agents (the governance standard, the course-profile pipeline) and how they constrain the system; benefits and burdens at both time points, for each group in the table; trade-offs, and the value tension analysed (help vs privacy, and whose value wins); and any other conflicts in the evidence, compared in the same way.</w:t>
            </w:r>
          </w:p>
          <w:p>
            <w:pPr>
              <w:spacing w:after="70"/>
            </w:pPr>
            <w:r>
              <w:rPr>
                <w:sz w:val="19"/>
                <w:szCs w:val="19"/>
              </w:rPr>
              <w:t xml:space="preserve">Every important claim keeps its label, so the reader can tell evidence from inference and anticipation.</w:t>
            </w:r>
          </w:p>
        </w:tc>
      </w:tr>
    </w:tbl>
    <w:p>
      <w:pPr>
        <w:pStyle w:val="Heading1"/>
      </w:pPr>
      <w:r>
        <w:t xml:space="preserve">Section 6: Method evaluation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7"/>
        <w:gridCol w:w="1289"/>
        <w:gridCol w:w="3352"/>
        <w:gridCol w:w="2838"/>
      </w:tblGrid>
      <w:tr>
        <w:trPr>
          <w:tblHeader/>
        </w:trPr>
        <w:tc>
          <w:tcPr>
            <w:tcW w:type="dxa" w:w="1547"/>
            <w:tcBorders>
              <w:top w:val="single" w:color="BFB8A6" w:sz="4"/>
              <w:left w:val="single" w:color="BFB8A6" w:sz="4"/>
              <w:bottom w:val="single" w:color="BFB8A6" w:sz="4"/>
              <w:right w:val="single" w:color="BFB8A6" w:sz="4"/>
            </w:tcBorders>
            <w:shd w:fill="103740" w:color="auto" w:val="clear"/>
            <w:tcMar>
              <w:top w:type="dxa" w:w="60"/>
              <w:left w:type="dxa" w:w="100"/>
              <w:bottom w:type="dxa" w:w="60"/>
              <w:right w:type="dxa" w:w="100"/>
            </w:tcMar>
          </w:tcPr>
          <w:p>
            <w:pPr>
              <w:spacing w:after="40"/>
            </w:pPr>
            <w:r>
              <w:rPr>
                <w:b/>
                <w:bCs/>
                <w:color w:val="FFFFFF"/>
              </w:rPr>
              <w:t xml:space="preserve">Criterion</w:t>
            </w:r>
          </w:p>
        </w:tc>
        <w:tc>
          <w:tcPr>
            <w:tcW w:type="dxa" w:w="1289"/>
            <w:tcBorders>
              <w:top w:val="single" w:color="BFB8A6" w:sz="4"/>
              <w:left w:val="single" w:color="BFB8A6" w:sz="4"/>
              <w:bottom w:val="single" w:color="BFB8A6" w:sz="4"/>
              <w:right w:val="single" w:color="BFB8A6" w:sz="4"/>
            </w:tcBorders>
            <w:shd w:fill="103740" w:color="auto" w:val="clear"/>
            <w:tcMar>
              <w:top w:type="dxa" w:w="60"/>
              <w:left w:type="dxa" w:w="100"/>
              <w:bottom w:type="dxa" w:w="60"/>
              <w:right w:type="dxa" w:w="100"/>
            </w:tcMar>
          </w:tcPr>
          <w:p>
            <w:pPr>
              <w:spacing w:after="40"/>
            </w:pPr>
            <w:r>
              <w:rPr>
                <w:b/>
                <w:bCs/>
                <w:color w:val="FFFFFF"/>
              </w:rPr>
              <w:t xml:space="preserve">Verdict</w:t>
            </w:r>
          </w:p>
        </w:tc>
        <w:tc>
          <w:tcPr>
            <w:tcW w:type="dxa" w:w="3352"/>
            <w:tcBorders>
              <w:top w:val="single" w:color="BFB8A6" w:sz="4"/>
              <w:left w:val="single" w:color="BFB8A6" w:sz="4"/>
              <w:bottom w:val="single" w:color="BFB8A6" w:sz="4"/>
              <w:right w:val="single" w:color="BFB8A6" w:sz="4"/>
            </w:tcBorders>
            <w:shd w:fill="103740" w:color="auto" w:val="clear"/>
            <w:tcMar>
              <w:top w:type="dxa" w:w="60"/>
              <w:left w:type="dxa" w:w="100"/>
              <w:bottom w:type="dxa" w:w="60"/>
              <w:right w:type="dxa" w:w="100"/>
            </w:tcMar>
          </w:tcPr>
          <w:p>
            <w:pPr>
              <w:spacing w:after="40"/>
            </w:pPr>
            <w:r>
              <w:rPr>
                <w:b/>
                <w:bCs/>
                <w:color w:val="FFFFFF"/>
              </w:rPr>
              <w:t xml:space="preserve">Evidence from the run</w:t>
            </w:r>
          </w:p>
        </w:tc>
        <w:tc>
          <w:tcPr>
            <w:tcW w:type="dxa" w:w="2838"/>
            <w:tcBorders>
              <w:top w:val="single" w:color="BFB8A6" w:sz="4"/>
              <w:left w:val="single" w:color="BFB8A6" w:sz="4"/>
              <w:bottom w:val="single" w:color="BFB8A6" w:sz="4"/>
              <w:right w:val="single" w:color="BFB8A6" w:sz="4"/>
            </w:tcBorders>
            <w:shd w:fill="103740" w:color="auto" w:val="clear"/>
            <w:tcMar>
              <w:top w:type="dxa" w:w="60"/>
              <w:left w:type="dxa" w:w="100"/>
              <w:bottom w:type="dxa" w:w="60"/>
              <w:right w:type="dxa" w:w="100"/>
            </w:tcMar>
          </w:tcPr>
          <w:p>
            <w:pPr>
              <w:spacing w:after="40"/>
            </w:pPr>
            <w:r>
              <w:rPr>
                <w:b/>
                <w:bCs/>
                <w:color w:val="FFFFFF"/>
              </w:rPr>
              <w:t xml:space="preserve">What it does to the claims</w:t>
            </w:r>
          </w:p>
        </w:tc>
      </w:tr>
      <w:tr>
        <w:trPr>
          <w:tblHeader w:val="false"/>
        </w:trPr>
        <w:tc>
          <w:tcPr>
            <w:tcW w:type="dxa" w:w="1547"/>
            <w:tcBorders>
              <w:top w:val="single" w:color="BFB8A6" w:sz="4"/>
              <w:left w:val="single" w:color="BFB8A6" w:sz="4"/>
              <w:bottom w:val="single" w:color="BFB8A6" w:sz="4"/>
              <w:right w:val="single" w:color="BFB8A6" w:sz="4"/>
            </w:tcBorders>
            <w:tcMar>
              <w:top w:type="dxa" w:w="60"/>
              <w:left w:type="dxa" w:w="100"/>
              <w:bottom w:type="dxa" w:w="60"/>
              <w:right w:type="dxa" w:w="100"/>
            </w:tcMar>
          </w:tcPr>
          <w:p>
            <w:pPr>
              <w:spacing w:after="40"/>
            </w:pPr>
            <w:r>
              <w:t xml:space="preserve">Reach</w:t>
            </w:r>
          </w:p>
        </w:tc>
        <w:tc>
          <w:tcPr>
            <w:tcW w:type="dxa" w:w="1289"/>
            <w:tcBorders>
              <w:top w:val="single" w:color="BFB8A6" w:sz="4"/>
              <w:left w:val="single" w:color="BFB8A6" w:sz="4"/>
              <w:bottom w:val="single" w:color="BFB8A6" w:sz="4"/>
              <w:right w:val="single" w:color="BFB8A6" w:sz="4"/>
            </w:tcBorders>
            <w:tcMar>
              <w:top w:type="dxa" w:w="60"/>
              <w:left w:type="dxa" w:w="100"/>
              <w:bottom w:type="dxa" w:w="60"/>
              <w:right w:type="dxa" w:w="100"/>
            </w:tcMar>
          </w:tcPr>
          <w:p>
            <w:pPr>
              <w:spacing w:after="40"/>
            </w:pPr>
            <w:r>
              <w:t xml:space="preserve">Partly met</w:t>
            </w:r>
          </w:p>
        </w:tc>
        <w:tc>
          <w:tcPr>
            <w:tcW w:type="dxa" w:w="3352"/>
            <w:tcBorders>
              <w:top w:val="single" w:color="BFB8A6" w:sz="4"/>
              <w:left w:val="single" w:color="BFB8A6" w:sz="4"/>
              <w:bottom w:val="single" w:color="BFB8A6" w:sz="4"/>
              <w:right w:val="single" w:color="BFB8A6" w:sz="4"/>
            </w:tcBorders>
            <w:tcMar>
              <w:top w:type="dxa" w:w="60"/>
              <w:left w:type="dxa" w:w="100"/>
              <w:bottom w:type="dxa" w:w="60"/>
              <w:right w:type="dxa" w:w="100"/>
            </w:tcMar>
          </w:tcPr>
          <w:p>
            <w:pPr>
              <w:spacing w:after="40"/>
            </w:pPr>
            <w:r>
              <w:t xml:space="preserve">Advisor and coordinator interviewed; the learning-systems team declined, so plan B used its integration standard [Log 3a]</w:t>
            </w:r>
          </w:p>
        </w:tc>
        <w:tc>
          <w:tcPr>
            <w:tcW w:type="dxa" w:w="2838"/>
            <w:tcBorders>
              <w:top w:val="single" w:color="BFB8A6" w:sz="4"/>
              <w:left w:val="single" w:color="BFB8A6" w:sz="4"/>
              <w:bottom w:val="single" w:color="BFB8A6" w:sz="4"/>
              <w:right w:val="single" w:color="BFB8A6" w:sz="4"/>
            </w:tcBorders>
            <w:tcMar>
              <w:top w:type="dxa" w:w="60"/>
              <w:left w:type="dxa" w:w="100"/>
              <w:bottom w:type="dxa" w:w="60"/>
              <w:right w:type="dxa" w:w="100"/>
            </w:tcMar>
          </w:tcPr>
          <w:p>
            <w:pPr>
              <w:spacing w:after="40"/>
            </w:pPr>
            <w:r>
              <w:t xml:space="preserve">The role that would decide what the app shows was not heard</w:t>
            </w:r>
          </w:p>
        </w:tc>
      </w:tr>
      <w:tr>
        <w:trPr>
          <w:tblHeader w:val="false"/>
        </w:trPr>
        <w:tc>
          <w:tcPr>
            <w:tcW w:type="dxa" w:w="1547"/>
            <w:tcBorders>
              <w:top w:val="single" w:color="BFB8A6" w:sz="4"/>
              <w:left w:val="single" w:color="BFB8A6" w:sz="4"/>
              <w:bottom w:val="single" w:color="BFB8A6" w:sz="4"/>
              <w:right w:val="single" w:color="BFB8A6" w:sz="4"/>
            </w:tcBorders>
            <w:tcMar>
              <w:top w:type="dxa" w:w="60"/>
              <w:left w:type="dxa" w:w="100"/>
              <w:bottom w:type="dxa" w:w="60"/>
              <w:right w:type="dxa" w:w="100"/>
            </w:tcMar>
          </w:tcPr>
          <w:p>
            <w:pPr>
              <w:spacing w:after="40"/>
            </w:pPr>
            <w:r>
              <w:t xml:space="preserve">Answerability</w:t>
            </w:r>
          </w:p>
        </w:tc>
        <w:tc>
          <w:tcPr>
            <w:tcW w:type="dxa" w:w="1289"/>
            <w:tcBorders>
              <w:top w:val="single" w:color="BFB8A6" w:sz="4"/>
              <w:left w:val="single" w:color="BFB8A6" w:sz="4"/>
              <w:bottom w:val="single" w:color="BFB8A6" w:sz="4"/>
              <w:right w:val="single" w:color="BFB8A6" w:sz="4"/>
            </w:tcBorders>
            <w:tcMar>
              <w:top w:type="dxa" w:w="60"/>
              <w:left w:type="dxa" w:w="100"/>
              <w:bottom w:type="dxa" w:w="60"/>
              <w:right w:type="dxa" w:w="100"/>
            </w:tcMar>
          </w:tcPr>
          <w:p>
            <w:pPr>
              <w:spacing w:after="40"/>
            </w:pPr>
            <w:r>
              <w:t xml:space="preserve">Partly met</w:t>
            </w:r>
          </w:p>
        </w:tc>
        <w:tc>
          <w:tcPr>
            <w:tcW w:type="dxa" w:w="3352"/>
            <w:tcBorders>
              <w:top w:val="single" w:color="BFB8A6" w:sz="4"/>
              <w:left w:val="single" w:color="BFB8A6" w:sz="4"/>
              <w:bottom w:val="single" w:color="BFB8A6" w:sz="4"/>
              <w:right w:val="single" w:color="BFB8A6" w:sz="4"/>
            </w:tcBorders>
            <w:tcMar>
              <w:top w:type="dxa" w:w="60"/>
              <w:left w:type="dxa" w:w="100"/>
              <w:bottom w:type="dxa" w:w="60"/>
              <w:right w:type="dxa" w:w="100"/>
            </w:tcMar>
          </w:tcPr>
          <w:p>
            <w:pPr>
              <w:spacing w:after="40"/>
            </w:pPr>
            <w:r>
              <w:t xml:space="preserve">Staff-by-access table filled for advisors and coordinators; blank for systems and administrative staff</w:t>
            </w:r>
          </w:p>
        </w:tc>
        <w:tc>
          <w:tcPr>
            <w:tcW w:type="dxa" w:w="2838"/>
            <w:tcBorders>
              <w:top w:val="single" w:color="BFB8A6" w:sz="4"/>
              <w:left w:val="single" w:color="BFB8A6" w:sz="4"/>
              <w:bottom w:val="single" w:color="BFB8A6" w:sz="4"/>
              <w:right w:val="single" w:color="BFB8A6" w:sz="4"/>
            </w:tcBorders>
            <w:tcMar>
              <w:top w:type="dxa" w:w="60"/>
              <w:left w:type="dxa" w:w="100"/>
              <w:bottom w:type="dxa" w:w="60"/>
              <w:right w:type="dxa" w:w="100"/>
            </w:tcMar>
          </w:tcPr>
          <w:p>
            <w:pPr>
              <w:spacing w:after="40"/>
            </w:pPr>
            <w:r>
              <w:t xml:space="preserve">Q2 answered for two kinds of staff only</w:t>
            </w:r>
          </w:p>
        </w:tc>
      </w:tr>
      <w:tr>
        <w:trPr>
          <w:tblHeader w:val="false"/>
        </w:trPr>
        <w:tc>
          <w:tcPr>
            <w:tcW w:type="dxa" w:w="1547"/>
            <w:tcBorders>
              <w:top w:val="single" w:color="BFB8A6" w:sz="4"/>
              <w:left w:val="single" w:color="BFB8A6" w:sz="4"/>
              <w:bottom w:val="single" w:color="BFB8A6" w:sz="4"/>
              <w:right w:val="single" w:color="BFB8A6" w:sz="4"/>
            </w:tcBorders>
            <w:tcMar>
              <w:top w:type="dxa" w:w="60"/>
              <w:left w:type="dxa" w:w="100"/>
              <w:bottom w:type="dxa" w:w="60"/>
              <w:right w:type="dxa" w:w="100"/>
            </w:tcMar>
          </w:tcPr>
          <w:p>
            <w:pPr>
              <w:spacing w:after="40"/>
            </w:pPr>
            <w:r>
              <w:t xml:space="preserve">Grounding</w:t>
            </w:r>
          </w:p>
        </w:tc>
        <w:tc>
          <w:tcPr>
            <w:tcW w:type="dxa" w:w="1289"/>
            <w:tcBorders>
              <w:top w:val="single" w:color="BFB8A6" w:sz="4"/>
              <w:left w:val="single" w:color="BFB8A6" w:sz="4"/>
              <w:bottom w:val="single" w:color="BFB8A6" w:sz="4"/>
              <w:right w:val="single" w:color="BFB8A6" w:sz="4"/>
            </w:tcBorders>
            <w:tcMar>
              <w:top w:type="dxa" w:w="60"/>
              <w:left w:type="dxa" w:w="100"/>
              <w:bottom w:type="dxa" w:w="60"/>
              <w:right w:type="dxa" w:w="100"/>
            </w:tcMar>
          </w:tcPr>
          <w:p>
            <w:pPr>
              <w:spacing w:after="40"/>
            </w:pPr>
            <w:r>
              <w:t xml:space="preserve">Met</w:t>
            </w:r>
          </w:p>
        </w:tc>
        <w:tc>
          <w:tcPr>
            <w:tcW w:type="dxa" w:w="3352"/>
            <w:tcBorders>
              <w:top w:val="single" w:color="BFB8A6" w:sz="4"/>
              <w:left w:val="single" w:color="BFB8A6" w:sz="4"/>
              <w:bottom w:val="single" w:color="BFB8A6" w:sz="4"/>
              <w:right w:val="single" w:color="BFB8A6" w:sz="4"/>
            </w:tcBorders>
            <w:tcMar>
              <w:top w:type="dxa" w:w="60"/>
              <w:left w:type="dxa" w:w="100"/>
              <w:bottom w:type="dxa" w:w="60"/>
              <w:right w:type="dxa" w:w="100"/>
            </w:tcMar>
          </w:tcPr>
          <w:p>
            <w:pPr>
              <w:spacing w:after="40"/>
            </w:pPr>
            <w:r>
              <w:t xml:space="preserve">Every anticipated effect cites a document or case. One AI-suggested case could not be confirmed and was dropped</w:t>
            </w:r>
          </w:p>
        </w:tc>
        <w:tc>
          <w:tcPr>
            <w:tcW w:type="dxa" w:w="2838"/>
            <w:tcBorders>
              <w:top w:val="single" w:color="BFB8A6" w:sz="4"/>
              <w:left w:val="single" w:color="BFB8A6" w:sz="4"/>
              <w:bottom w:val="single" w:color="BFB8A6" w:sz="4"/>
              <w:right w:val="single" w:color="BFB8A6" w:sz="4"/>
            </w:tcBorders>
            <w:tcMar>
              <w:top w:type="dxa" w:w="60"/>
              <w:left w:type="dxa" w:w="100"/>
              <w:bottom w:type="dxa" w:w="60"/>
              <w:right w:type="dxa" w:w="100"/>
            </w:tcMar>
          </w:tcPr>
          <w:p>
            <w:pPr>
              <w:spacing w:after="40"/>
            </w:pPr>
            <w:r>
              <w:t xml:space="preserve">Year 3 rests on Case B, a school planner, so transfer is a question</w:t>
            </w:r>
          </w:p>
        </w:tc>
      </w:tr>
      <w:tr>
        <w:trPr>
          <w:tblHeader w:val="false"/>
        </w:trPr>
        <w:tc>
          <w:tcPr>
            <w:tcW w:type="dxa" w:w="1547"/>
            <w:tcBorders>
              <w:top w:val="single" w:color="BFB8A6" w:sz="4"/>
              <w:left w:val="single" w:color="BFB8A6" w:sz="4"/>
              <w:bottom w:val="single" w:color="BFB8A6" w:sz="4"/>
              <w:right w:val="single" w:color="BFB8A6" w:sz="4"/>
            </w:tcBorders>
            <w:tcMar>
              <w:top w:type="dxa" w:w="60"/>
              <w:left w:type="dxa" w:w="100"/>
              <w:bottom w:type="dxa" w:w="60"/>
              <w:right w:type="dxa" w:w="100"/>
            </w:tcMar>
          </w:tcPr>
          <w:p>
            <w:pPr>
              <w:spacing w:after="40"/>
            </w:pPr>
            <w:r>
              <w:t xml:space="preserve">Feasibility</w:t>
            </w:r>
          </w:p>
        </w:tc>
        <w:tc>
          <w:tcPr>
            <w:tcW w:type="dxa" w:w="1289"/>
            <w:tcBorders>
              <w:top w:val="single" w:color="BFB8A6" w:sz="4"/>
              <w:left w:val="single" w:color="BFB8A6" w:sz="4"/>
              <w:bottom w:val="single" w:color="BFB8A6" w:sz="4"/>
              <w:right w:val="single" w:color="BFB8A6" w:sz="4"/>
            </w:tcBorders>
            <w:tcMar>
              <w:top w:type="dxa" w:w="60"/>
              <w:left w:type="dxa" w:w="100"/>
              <w:bottom w:type="dxa" w:w="60"/>
              <w:right w:type="dxa" w:w="100"/>
            </w:tcMar>
          </w:tcPr>
          <w:p>
            <w:pPr>
              <w:spacing w:after="40"/>
            </w:pPr>
            <w:r>
              <w:t xml:space="preserve">Met</w:t>
            </w:r>
          </w:p>
        </w:tc>
        <w:tc>
          <w:tcPr>
            <w:tcW w:type="dxa" w:w="3352"/>
            <w:tcBorders>
              <w:top w:val="single" w:color="BFB8A6" w:sz="4"/>
              <w:left w:val="single" w:color="BFB8A6" w:sz="4"/>
              <w:bottom w:val="single" w:color="BFB8A6" w:sz="4"/>
              <w:right w:val="single" w:color="BFB8A6" w:sz="4"/>
            </w:tcBorders>
            <w:tcMar>
              <w:top w:type="dxa" w:w="60"/>
              <w:left w:type="dxa" w:w="100"/>
              <w:bottom w:type="dxa" w:w="60"/>
              <w:right w:type="dxa" w:w="100"/>
            </w:tcMar>
          </w:tcPr>
          <w:p>
            <w:pPr>
              <w:spacing w:after="40"/>
            </w:pPr>
            <w:r>
              <w:t xml:space="preserve">Complete by Thursday of Week 12, using plan B</w:t>
            </w:r>
          </w:p>
        </w:tc>
        <w:tc>
          <w:tcPr>
            <w:tcW w:type="dxa" w:w="2838"/>
            <w:tcBorders>
              <w:top w:val="single" w:color="BFB8A6" w:sz="4"/>
              <w:left w:val="single" w:color="BFB8A6" w:sz="4"/>
              <w:bottom w:val="single" w:color="BFB8A6" w:sz="4"/>
              <w:right w:val="single" w:color="BFB8A6" w:sz="4"/>
            </w:tcBorders>
            <w:tcMar>
              <w:top w:type="dxa" w:w="60"/>
              <w:left w:type="dxa" w:w="100"/>
              <w:bottom w:type="dxa" w:w="60"/>
              <w:right w:type="dxa" w:w="100"/>
            </w:tcMar>
          </w:tcPr>
          <w:p>
            <w:pPr>
              <w:spacing w:after="40"/>
            </w:pPr>
            <w:r>
              <w:t xml:space="preserve">None</w:t>
            </w:r>
          </w:p>
        </w:tc>
      </w:tr>
    </w:tbl>
    <w:p>
      <w:pPr>
        <w:spacing w:after="110"/>
      </w:pPr>
      <w:r>
        <w:rPr>
          <w:b/>
          <w:bCs/>
        </w:rPr>
        <w:t xml:space="preserve">Strongest claim, predicted and supported.</w:t>
      </w:r>
      <w:r>
        <w:t xml:space="preserve"> I predicted the evidence could establish which staff would be able to see a plan. It can establish what the rules would allow and what two roles expect; it cannot establish what the app would be built to show, because the team that builds it was not heard. The gap comes from Reach: the absent role is the one with the most authority over the answer.</w:t>
      </w:r>
    </w:p>
    <w:p>
      <w:pPr>
        <w:spacing w:after="110"/>
      </w:pPr>
      <w:r>
        <w:rPr>
          <w:b/>
          <w:bCs/>
        </w:rPr>
        <w:t xml:space="preserve">What the method let me see.</w:t>
      </w:r>
      <w:r>
        <w:t xml:space="preserve"> Reading the rules alongside the interviews showed the gap between the interface control A2 tested and the governance control that would decide visibility. Interviews alone would have taken the advisor's good intentions as the answer.</w:t>
      </w:r>
    </w:p>
    <w:p>
      <w:pPr>
        <w:spacing w:after="110"/>
      </w:pPr>
      <w:r>
        <w:rPr>
          <w:b/>
          <w:bCs/>
        </w:rPr>
        <w:t xml:space="preserve">How the method shaped the findings.</w:t>
      </w:r>
      <w:r>
        <w:t xml:space="preserve"> The scenario named "your role" for each practitioner, which may have invited answers about their own access and not about colleagues'. Case B comes from a school, where teacher oversight is normal; university students may respond differently. The plan B document describes integration, not access, so it narrowed what I could say about systems staff. An AI tool suggested three comparable cases; I could confirm two, so the case base is smaller than planned and leans on published reviews, which tend to report problems that were fixed rather than ones that remain.</w:t>
      </w:r>
    </w:p>
    <w:p>
      <w:pPr>
        <w:spacing w:after="110"/>
      </w:pPr>
      <w:r>
        <w:rPr>
          <w:b/>
          <w:bCs/>
        </w:rPr>
        <w:t xml:space="preserve">What it missed.</w:t>
      </w:r>
      <w:r>
        <w:t xml:space="preserve"> Students are absent, so every claim about their response is anticipated, not heard. Staff turnover by Year 3 is flattened: both practitioners answered as themselves, though the people in those roles at Year 3 may see access differently.</w:t>
      </w:r>
    </w:p>
    <w:p>
      <w:pPr>
        <w:spacing w:after="110"/>
      </w:pPr>
      <w:r>
        <w:rPr>
          <w:b/>
          <w:bCs/>
        </w:rPr>
        <w:t xml:space="preserve">Can carry, cannot carry.</w:t>
      </w:r>
      <w:r>
        <w:t xml:space="preserve"> The findings can carry that current rules would permit staff in student-success roles to see plans, and that at least one such role would want to. They cannot carry what the app would show, who would decide, or how students would respond, because the deciding team and students were not reached. A next method must establish what the governance office would classify a plan as, and how students without a planning habit respond to a visible plan, through a document request to that office and short interviews with students recruited through first-year courses.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C815E" w:sz="14"/>
              <w:left w:val="single" w:color="BFB8A6" w:sz="4"/>
              <w:bottom w:val="single" w:color="BFB8A6" w:sz="4"/>
              <w:right w:val="single" w:color="BFB8A6" w:sz="4"/>
            </w:tcBorders>
            <w:shd w:fill="EEF0EF" w:color="auto" w:val="clear"/>
            <w:tcMar>
              <w:top w:type="dxa" w:w="110"/>
              <w:left w:type="dxa" w:w="150"/>
              <w:bottom w:type="dxa" w:w="110"/>
              <w:right w:type="dxa" w:w="150"/>
            </w:tcMar>
          </w:tcPr>
          <w:p>
            <w:pPr>
              <w:spacing w:after="70"/>
            </w:pPr>
            <w:r>
              <w:rPr>
                <w:b/>
                <w:bCs/>
                <w:color w:val="8C815E"/>
                <w:sz w:val="19"/>
                <w:szCs w:val="19"/>
              </w:rPr>
              <w:t xml:space="preserve">MORE IN YOUR REPORT · this example shows the first few items only</w:t>
            </w:r>
          </w:p>
          <w:p>
            <w:pPr>
              <w:spacing w:after="70"/>
            </w:pPr>
            <w:r>
              <w:rPr>
                <w:sz w:val="19"/>
                <w:szCs w:val="19"/>
              </w:rPr>
              <w:t xml:space="preserve">Your Section 6 also needs to show how and why your method changed while you ran it, drawing on your log (AK's plan B is recorded in [Log 3a]), and anything else the method missed or flattened, with the findings each affects.</w:t>
            </w:r>
          </w:p>
        </w:tc>
      </w:tr>
    </w:tbl>
    <w:p>
      <w:pPr>
        <w:pStyle w:val="Heading1"/>
      </w:pPr>
      <w:r>
        <w:t xml:space="preserve">Section 7: Systemic judgement and recommendations</w:t>
      </w:r>
    </w:p>
    <w:p>
      <w:pPr>
        <w:spacing w:after="110"/>
      </w:pPr>
      <w:r>
        <w:rPr>
          <w:b/>
          <w:bCs/>
        </w:rPr>
        <w:t xml:space="preserve">Q1.</w:t>
      </w:r>
      <w:r>
        <w:t xml:space="preserve"> Running the planner in the app would add work for course coordinators, whose deadline changes would now break students' plans, and would need an owner that no current document names [D, A].</w:t>
      </w:r>
    </w:p>
    <w:p>
      <w:pPr>
        <w:spacing w:after="110"/>
      </w:pPr>
      <w:r>
        <w:rPr>
          <w:b/>
          <w:bCs/>
        </w:rPr>
        <w:t xml:space="preserve">Q2.</w:t>
      </w:r>
      <w:r>
        <w:t xml:space="preserve"> Under current rules, staff in student-success roles could see plans, and at least one such role would want to [D, A]. Students would keep control over what the plan says, not over who sees it, which removes the condition A2 found acceptance depends on [I].</w:t>
      </w:r>
    </w:p>
    <w:p>
      <w:pPr>
        <w:spacing w:after="110"/>
      </w:pPr>
      <w:r>
        <w:rPr>
          <w:b/>
          <w:bCs/>
        </w:rPr>
        <w:t xml:space="preserve">Recommendation: further evaluate before building, then implement only under conditions.</w:t>
      </w:r>
      <w:r>
        <w:t xml:space="preserve"> The next round should establish, with the data governance office, how a plan held in the app would be classified, and should hear from students without a planning habit (Section 6). If the planner is built, it should meet three conditions: plans are private to the student by default; any staff view is by the student's invitation and can be withdrawn; and the governance standard records plans as student-controlled data. The app team would own the feature; the governance office would own the classification.</w:t>
      </w:r>
    </w:p>
    <w:p>
      <w:pPr>
        <w:spacing w:after="110"/>
      </w:pPr>
      <w:r>
        <w:rPr>
          <w:b/>
          <w:bCs/>
        </w:rPr>
        <w:t xml:space="preserve">Responsibilities.</w:t>
      </w:r>
      <w:r>
        <w:t xml:space="preserve"> The app team's evaluation lead commissions the next round and the request to the governance office; learning advisors are consulted on what help they need, without plan access; course coordinators are told before launch how deadline changes would reach students.</w:t>
      </w:r>
    </w:p>
    <w:p>
      <w:pPr>
        <w:spacing w:after="110"/>
      </w:pPr>
      <w:r>
        <w:rPr>
          <w:b/>
          <w:bCs/>
        </w:rPr>
        <w:t xml:space="preserve">Residual risk.</w:t>
      </w:r>
      <w:r>
        <w:t xml:space="preserve"> Even with these conditions, a later decision could widen access, as in Case A. The governance standard is the safeguard that outlasts the first version of the app.</w:t>
      </w:r>
    </w:p>
    <w:p>
      <w:pPr>
        <w:spacing w:after="110"/>
      </w:pPr>
      <w:r>
        <w:rPr>
          <w:b/>
          <w:bCs/>
        </w:rPr>
        <w:t xml:space="preserve">Uncertainty and alternatives.</w:t>
      </w:r>
      <w:r>
        <w:t xml:space="preserve"> The advisor's wish to see plans may reflect care rather than surveillance, and some students may welcome it; this evaluation cannot tell which students. If the governance office classified plans as student-controlled and excluded them from success analytics, the case for building would be much stronger; if students without a planning habit welcomed advisor access, the default-private condition would need rethinking.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C815E" w:sz="14"/>
              <w:left w:val="single" w:color="BFB8A6" w:sz="4"/>
              <w:bottom w:val="single" w:color="BFB8A6" w:sz="4"/>
              <w:right w:val="single" w:color="BFB8A6" w:sz="4"/>
            </w:tcBorders>
            <w:shd w:fill="EEF0EF" w:color="auto" w:val="clear"/>
            <w:tcMar>
              <w:top w:type="dxa" w:w="110"/>
              <w:left w:type="dxa" w:w="150"/>
              <w:bottom w:type="dxa" w:w="110"/>
              <w:right w:type="dxa" w:w="150"/>
            </w:tcMar>
          </w:tcPr>
          <w:p>
            <w:pPr>
              <w:spacing w:after="70"/>
            </w:pPr>
            <w:r>
              <w:rPr>
                <w:b/>
                <w:bCs/>
                <w:color w:val="8C815E"/>
                <w:sz w:val="19"/>
                <w:szCs w:val="19"/>
              </w:rPr>
              <w:t xml:space="preserve">MORE IN YOUR REPORT · this example shows the first few items only</w:t>
            </w:r>
          </w:p>
          <w:p>
            <w:pPr>
              <w:spacing w:after="70"/>
            </w:pPr>
            <w:r>
              <w:rPr>
                <w:sz w:val="19"/>
                <w:szCs w:val="19"/>
              </w:rPr>
              <w:t xml:space="preserve">In Week 13 you will work on writing Section 7 for your reader: the strength of each claim in your wording, and claim-evidence traceability (each recommendation linked to the findings and method evaluation it rests on). If you make more than one recommendation, each needs its own conditions and responsibilities.</w:t>
            </w:r>
          </w:p>
        </w:tc>
      </w:tr>
    </w:tbl>
    <w:p>
      <w:pPr>
        <w:pStyle w:val="Heading1"/>
      </w:pPr>
      <w:r>
        <w:t xml:space="preserve">Section 8: Accountable knowledge integration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C815E" w:sz="14"/>
              <w:left w:val="single" w:color="BFB8A6" w:sz="4"/>
              <w:bottom w:val="single" w:color="BFB8A6" w:sz="4"/>
              <w:right w:val="single" w:color="BFB8A6" w:sz="4"/>
            </w:tcBorders>
            <w:shd w:fill="EEF0EF" w:color="auto" w:val="clear"/>
            <w:tcMar>
              <w:top w:type="dxa" w:w="110"/>
              <w:left w:type="dxa" w:w="150"/>
              <w:bottom w:type="dxa" w:w="110"/>
              <w:right w:type="dxa" w:w="150"/>
            </w:tcMar>
          </w:tcPr>
          <w:p>
            <w:pPr>
              <w:spacing w:after="70"/>
            </w:pPr>
            <w:r>
              <w:rPr>
                <w:b/>
                <w:bCs/>
                <w:color w:val="8C815E"/>
                <w:sz w:val="19"/>
                <w:szCs w:val="19"/>
              </w:rPr>
              <w:t xml:space="preserve">WEEK 13</w:t>
            </w:r>
          </w:p>
          <w:p>
            <w:pPr>
              <w:spacing w:after="70"/>
            </w:pPr>
            <w:r>
              <w:rPr>
                <w:sz w:val="19"/>
                <w:szCs w:val="19"/>
              </w:rPr>
              <w:t xml:space="preserve">Heading only. Section 8 makes consequential source, verification and integration decisions visible: two or three source evaluation examples, two or three decision-record entries drawn from the log, and a limitations and uncertainty account. It can be embedded through the report instead. AK's dropped AI-suggested case and plan B are likely candidates.</w:t>
            </w:r>
          </w:p>
        </w:tc>
      </w:tr>
    </w:tbl>
    <w:p>
      <w:pPr>
        <w:pStyle w:val="Heading1"/>
      </w:pPr>
      <w:r>
        <w:t xml:space="preserve">References</w:t>
      </w:r>
    </w:p>
    <w:p>
      <w:pPr>
        <w:spacing w:after="110"/>
      </w:pPr>
      <w:r>
        <w:t xml:space="preserve">Fictional in this example. In your report, every source is real and listed in full.</w:t>
      </w:r>
    </w:p>
    <w:p>
      <w:pPr>
        <w:pStyle w:val="Heading1"/>
      </w:pPr>
      <w:r>
        <w:t xml:space="preserve">Appendices</w:t>
      </w:r>
    </w:p>
    <w:p>
      <w:pPr>
        <w:spacing w:after="110"/>
      </w:pPr>
      <w:r>
        <w:t xml:space="preserve">Appendix A: Working log (entries 1 to 3 and an extra entry 3a; see the separate example).</w:t>
      </w:r>
    </w:p>
    <w:p>
      <w:pPr>
        <w:spacing w:after="60"/>
      </w:pPr>
    </w:p>
    <w:p>
      <w:r>
        <w:rPr>
          <w:color w:val="5f6b67"/>
          <w:sz w:val="16"/>
          <w:szCs w:val="16"/>
        </w:rPr>
        <w:t xml:space="preserve">Version 0.1  |  Week 12 companion  |  Team 0, AK, the university, its documents, the cases and the practitioners are fictional; the A2 figures are from the course sample dataset</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C815E"/>
        <w:sz w:val="15"/>
        <w:szCs w:val="15"/>
      </w:rPr>
      <w:t xml:space="preserve">DECO6500 A3 · Example report, Week 12 draft · Team 0 worked example  |  Page </w:t>
    </w:r>
    <w:r>
      <w:rPr>
        <w:color w:val="8C815E"/>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03740"/>
      <w:sz w:val="28"/>
      <w:szCs w:val="28"/>
    </w:rPr>
  </w:style>
  <w:style w:type="paragraph" w:styleId="Heading2">
    <w:name w:val="Heading 2"/>
    <w:basedOn w:val="Normal"/>
    <w:next w:val="Normal"/>
    <w:qFormat/>
    <w:pPr>
      <w:spacing w:after="90" w:before="200"/>
      <w:outlineLvl w:val="1"/>
    </w:pPr>
    <w:rPr>
      <w:rFonts w:ascii="Arial" w:cs="Arial" w:eastAsia="Arial" w:hAnsi="Arial"/>
      <w:b/>
      <w:bCs/>
      <w:color w:val="BF491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DECO6500 A3 Example report, Week 12 draft</dc:title>
  <dc:creator>DECO6500 teaching team</dc:creator>
  <cp:lastModifiedBy>Un-named</cp:lastModifiedBy>
  <cp:revision>1</cp:revision>
  <dcterms:created xsi:type="dcterms:W3CDTF">2026-10-20T14:09:15.714Z</dcterms:created>
  <dcterms:modified xsi:type="dcterms:W3CDTF">2026-10-20T14:09:15.715Z</dcterms:modified>
</cp:coreProperties>
</file>

<file path=docProps/custom.xml><?xml version="1.0" encoding="utf-8"?>
<Properties xmlns="http://schemas.openxmlformats.org/officeDocument/2006/custom-properties" xmlns:vt="http://schemas.openxmlformats.org/officeDocument/2006/docPropsVTypes"/>
</file>