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spacing w:before="80" w:after="80"/>
        <w:ind w:left="567"/>
      </w:pPr>
      <w:r>
        <w:rPr>
          <w:rFonts w:ascii="Arial" w:hAnsi="Arial"/>
          <w:b w:val="0"/>
          <w:i/>
          <w:color w:val="005A6C"/>
          <w:sz w:val="18"/>
        </w:rPr>
        <w:t>*Already installed?* Skip to [Updating to the latest version](#updating-to-the-latest-version) — one command and you're current. The [Knowledge Base section](#knowledge-base--how-its-organised) covers the new two-tier (general + shared customer) model.</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7 steps (recommended order)</w:t>
      </w:r>
    </w:p>
    <w:p>
      <w:pPr>
        <w:pStyle w:val="ListNumber"/>
      </w:pPr>
      <w:r>
        <w:rPr>
          <w:rFonts w:ascii="Arial" w:hAnsi="Arial"/>
          <w:b w:val="0"/>
          <w:i w:val="0"/>
          <w:color w:val="000000"/>
          <w:sz w:val="20"/>
        </w:rPr>
      </w:r>
      <w:r>
        <w:rPr>
          <w:rFonts w:ascii="Arial" w:hAnsi="Arial"/>
          <w:b/>
          <w:i w:val="0"/>
          <w:color w:val="000000"/>
          <w:sz w:val="20"/>
        </w:rPr>
        <w:t>Activate your Claude account</w:t>
      </w:r>
      <w:r>
        <w:rPr>
          <w:rFonts w:ascii="Arial" w:hAnsi="Arial"/>
          <w:b w:val="0"/>
          <w:i w:val="0"/>
          <w:color w:val="000000"/>
          <w:sz w:val="20"/>
        </w:rPr>
        <w:t xml:space="preserve"> — follow the invite email Joerg sent you</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3 is done, it will fail at the GitHub login step.</w:t>
      </w:r>
    </w:p>
    <w:p>
      <w:pPr>
        <w:pStyle w:val="Heading2"/>
      </w:pPr>
      <w:r>
        <w:rPr>
          <w:rFonts w:ascii="Arial" w:hAnsi="Arial"/>
          <w:color w:val="005A6C"/>
          <w:sz w:val="28"/>
        </w:rPr>
        <w:t>Step 1 — Activate your Claude account</w:t>
      </w:r>
    </w:p>
    <w:p>
      <w:r>
        <w:rPr>
          <w:rFonts w:ascii="Arial" w:hAnsi="Arial"/>
          <w:b w:val="0"/>
          <w:i w:val="0"/>
          <w:color w:val="000000"/>
          <w:sz w:val="20"/>
        </w:rPr>
        <w:t xml:space="preserve">Before you can use the agents, your Anthropic (Claude) account must be active. Joerg sends each TTC colleague an </w:t>
      </w:r>
      <w:r>
        <w:rPr>
          <w:rFonts w:ascii="Arial" w:hAnsi="Arial"/>
          <w:b/>
          <w:i w:val="0"/>
          <w:color w:val="000000"/>
          <w:sz w:val="20"/>
        </w:rPr>
        <w:t>invitation email from Anthropic</w:t>
      </w:r>
      <w:r>
        <w:rPr>
          <w:rFonts w:ascii="Arial" w:hAnsi="Arial"/>
          <w:b w:val="0"/>
          <w:i w:val="0"/>
          <w:color w:val="000000"/>
          <w:sz w:val="20"/>
        </w:rPr>
        <w:t xml:space="preserve"> when onboarding — it contains a personal activation link.</w:t>
      </w:r>
    </w:p>
    <w:p>
      <w:pPr>
        <w:pStyle w:val="ListNumber"/>
      </w:pPr>
      <w:r>
        <w:rPr>
          <w:rFonts w:ascii="Arial" w:hAnsi="Arial"/>
          <w:b w:val="0"/>
          <w:i w:val="0"/>
          <w:color w:val="000000"/>
          <w:sz w:val="20"/>
        </w:rPr>
        <w:t>Open the invitation email with the subject line *"You've been invited to join TTC on Claude"* (or similar). Check your Junk / Clutter folder if you don't see it — Anthropic emails sometimes land there.</w:t>
      </w:r>
    </w:p>
    <w:p>
      <w:pPr>
        <w:pStyle w:val="ListNumber"/>
      </w:pPr>
      <w:r>
        <w:rPr>
          <w:rFonts w:ascii="Arial" w:hAnsi="Arial"/>
          <w:b w:val="0"/>
          <w:i w:val="0"/>
          <w:color w:val="000000"/>
          <w:sz w:val="20"/>
        </w:rPr>
        <w:t xml:space="preserve">Click the </w:t>
      </w:r>
      <w:r>
        <w:rPr>
          <w:rFonts w:ascii="Arial" w:hAnsi="Arial"/>
          <w:b/>
          <w:i w:val="0"/>
          <w:color w:val="000000"/>
          <w:sz w:val="20"/>
        </w:rPr>
        <w:t>Accept invitation</w:t>
      </w:r>
      <w:r>
        <w:rPr>
          <w:rFonts w:ascii="Arial" w:hAnsi="Arial"/>
          <w:b w:val="0"/>
          <w:i w:val="0"/>
          <w:color w:val="000000"/>
          <w:sz w:val="20"/>
        </w:rPr>
        <w:t xml:space="preserve"> button in the email. It takes you to claude.ai.</w:t>
      </w:r>
    </w:p>
    <w:p>
      <w:pPr>
        <w:pStyle w:val="ListNumber"/>
      </w:pPr>
      <w:r>
        <w:rPr>
          <w:rFonts w:ascii="Arial" w:hAnsi="Arial"/>
          <w:b w:val="0"/>
          <w:i w:val="0"/>
          <w:color w:val="000000"/>
          <w:sz w:val="20"/>
        </w:rPr>
      </w:r>
      <w:r>
        <w:rPr>
          <w:rFonts w:ascii="Arial" w:hAnsi="Arial"/>
          <w:b/>
          <w:i w:val="0"/>
          <w:color w:val="000000"/>
          <w:sz w:val="20"/>
        </w:rPr>
        <w:t>Create or sign in to your Anthropic account</w:t>
      </w:r>
      <w:r>
        <w:rPr>
          <w:rFonts w:ascii="Arial" w:hAnsi="Arial"/>
          <w:b w:val="0"/>
          <w:i w:val="0"/>
          <w:color w:val="000000"/>
          <w:sz w:val="20"/>
        </w:rPr>
        <w:t xml:space="preserve"> using your TTC work email address. If you already have a personal Anthropic account on your work email, it will link; otherwise create a new one and set a password.</w:t>
      </w:r>
    </w:p>
    <w:p>
      <w:pPr>
        <w:pStyle w:val="ListNumber"/>
      </w:pPr>
      <w:r>
        <w:rPr>
          <w:rFonts w:ascii="Arial" w:hAnsi="Arial"/>
          <w:b w:val="0"/>
          <w:i w:val="0"/>
          <w:color w:val="000000"/>
          <w:sz w:val="20"/>
        </w:rPr>
        <w:t>Accept the workspace invitation when prompted — you should now see "TTC" (or the TTC workspace name) in your account.</w:t>
      </w:r>
    </w:p>
    <w:p>
      <w:pPr>
        <w:pStyle w:val="ListNumber"/>
      </w:pPr>
      <w:r>
        <w:rPr>
          <w:rFonts w:ascii="Arial" w:hAnsi="Arial"/>
          <w:b w:val="0"/>
          <w:i w:val="0"/>
          <w:color w:val="000000"/>
          <w:sz w:val="20"/>
        </w:rPr>
        <w:t xml:space="preserve">Try sending a test message at </w:t>
      </w:r>
      <w:r>
        <w:rPr>
          <w:rFonts w:ascii="Arial" w:hAnsi="Arial"/>
          <w:b/>
          <w:i w:val="0"/>
          <w:color w:val="000000"/>
          <w:sz w:val="20"/>
        </w:rPr>
        <w:t>https://claude.ai</w:t>
      </w:r>
      <w:r>
        <w:rPr>
          <w:rFonts w:ascii="Arial" w:hAnsi="Arial"/>
          <w:b w:val="0"/>
          <w:i w:val="0"/>
          <w:color w:val="000000"/>
          <w:sz w:val="20"/>
        </w:rPr>
        <w:t xml:space="preserve"> — if Claude replies, your account is active. Done.</w:t>
      </w:r>
    </w:p>
    <w:p>
      <w:r>
        <w:rPr>
          <w:rFonts w:ascii="Arial" w:hAnsi="Arial"/>
          <w:b w:val="0"/>
          <w:i w:val="0"/>
          <w:color w:val="000000"/>
          <w:sz w:val="20"/>
        </w:rPr>
        <w:t>If:</w:t>
      </w:r>
    </w:p>
    <w:p>
      <w:pPr>
        <w:pStyle w:val="ListBullet"/>
      </w:pPr>
      <w:r>
        <w:rPr>
          <w:rFonts w:ascii="Arial" w:hAnsi="Arial"/>
          <w:b w:val="0"/>
          <w:i w:val="0"/>
          <w:color w:val="000000"/>
          <w:sz w:val="20"/>
        </w:rPr>
      </w:r>
      <w:r>
        <w:rPr>
          <w:rFonts w:ascii="Arial" w:hAnsi="Arial"/>
          <w:b/>
          <w:i w:val="0"/>
          <w:color w:val="000000"/>
          <w:sz w:val="20"/>
        </w:rPr>
        <w:t>The email expired</w:t>
      </w:r>
      <w:r>
        <w:rPr>
          <w:rFonts w:ascii="Arial" w:hAnsi="Arial"/>
          <w:b w:val="0"/>
          <w:i w:val="0"/>
          <w:color w:val="000000"/>
          <w:sz w:val="20"/>
        </w:rPr>
        <w:t xml:space="preserve"> or you cannot find it → ask Joerg to resend.</w:t>
      </w:r>
    </w:p>
    <w:p>
      <w:pPr>
        <w:pStyle w:val="ListBullet"/>
      </w:pPr>
      <w:r>
        <w:rPr>
          <w:rFonts w:ascii="Arial" w:hAnsi="Arial"/>
          <w:b w:val="0"/>
          <w:i w:val="0"/>
          <w:color w:val="000000"/>
          <w:sz w:val="20"/>
        </w:rPr>
      </w:r>
      <w:r>
        <w:rPr>
          <w:rFonts w:ascii="Arial" w:hAnsi="Arial"/>
          <w:b/>
          <w:i w:val="0"/>
          <w:color w:val="000000"/>
          <w:sz w:val="20"/>
        </w:rPr>
        <w:t>You already had a personal Claude account</w:t>
      </w:r>
      <w:r>
        <w:rPr>
          <w:rFonts w:ascii="Arial" w:hAnsi="Arial"/>
          <w:b w:val="0"/>
          <w:i w:val="0"/>
          <w:color w:val="000000"/>
          <w:sz w:val="20"/>
        </w:rPr>
        <w:t xml:space="preserve"> on a different email → that's fine; the TTC invite will link your TTC workspace to the existing account. Use whichever email the invite was sent to.</w:t>
      </w:r>
    </w:p>
    <w:p>
      <w:pPr>
        <w:pStyle w:val="ListBullet"/>
      </w:pPr>
      <w:r>
        <w:rPr>
          <w:rFonts w:ascii="Arial" w:hAnsi="Arial"/>
          <w:b w:val="0"/>
          <w:i w:val="0"/>
          <w:color w:val="000000"/>
          <w:sz w:val="20"/>
        </w:rPr>
      </w:r>
      <w:r>
        <w:rPr>
          <w:rFonts w:ascii="Arial" w:hAnsi="Arial"/>
          <w:b/>
          <w:i w:val="0"/>
          <w:color w:val="000000"/>
          <w:sz w:val="20"/>
        </w:rPr>
        <w:t>Claude.ai asks you to pay</w:t>
      </w:r>
      <w:r>
        <w:rPr>
          <w:rFonts w:ascii="Arial" w:hAnsi="Arial"/>
          <w:b w:val="0"/>
          <w:i w:val="0"/>
          <w:color w:val="000000"/>
          <w:sz w:val="20"/>
        </w:rPr>
        <w:t xml:space="preserve"> → you are not yet in the TTC workspace; re-open the invite link or ask Joerg.</w:t>
      </w:r>
    </w:p>
    <w:p>
      <w:r>
        <w:rPr>
          <w:rFonts w:ascii="Arial" w:hAnsi="Arial"/>
          <w:b w:val="0"/>
          <w:i w:val="0"/>
          <w:color w:val="000000"/>
          <w:sz w:val="20"/>
        </w:rPr>
        <w:t>Once you can log into claude.ai and reply to a test prompt, carry on with step 2.</w:t>
      </w:r>
    </w:p>
    <w:p>
      <w:pPr>
        <w:pStyle w:val="Heading2"/>
      </w:pPr>
      <w:r>
        <w:rPr>
          <w:rFonts w:ascii="Arial" w:hAnsi="Arial"/>
          <w:color w:val="005A6C"/>
          <w:sz w:val="28"/>
        </w:rPr>
        <w:t>Step 2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3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5.</w:t>
      </w:r>
    </w:p>
    <w:p>
      <w:pPr>
        <w:pStyle w:val="Heading2"/>
      </w:pPr>
      <w:r>
        <w:rPr>
          <w:rFonts w:ascii="Arial" w:hAnsi="Arial"/>
          <w:color w:val="005A6C"/>
          <w:sz w:val="28"/>
        </w:rPr>
        <w:t>Step 4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5).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the Anthropic account you activated in step 1 (same credentials you will use in step 6 for Claude Code).</w:t>
      </w:r>
    </w:p>
    <w:p>
      <w:r>
        <w:rPr>
          <w:rFonts w:ascii="Arial" w:hAnsi="Arial"/>
          <w:b w:val="0"/>
          <w:i w:val="0"/>
          <w:color w:val="000000"/>
          <w:sz w:val="20"/>
        </w:rPr>
        <w:t>Once signed in, come back here and carry on with step 5. We will add the useful extensions and connectors to Claude Desktop in step 7.</w:t>
      </w:r>
    </w:p>
    <w:p>
      <w:pPr>
        <w:pStyle w:val="Heading2"/>
      </w:pPr>
      <w:r>
        <w:rPr>
          <w:rFonts w:ascii="Arial" w:hAnsi="Arial"/>
          <w:color w:val="005A6C"/>
          <w:sz w:val="28"/>
        </w:rPr>
        <w:t>Step 5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w:t>
      </w:r>
      <w:r>
        <w:rPr>
          <w:rFonts w:ascii="Arial" w:hAnsi="Arial"/>
          <w:b/>
          <w:i w:val="0"/>
          <w:color w:val="000000"/>
          <w:sz w:val="20"/>
        </w:rPr>
        <w:t>right-click "Windows PowerShell"</w:t>
      </w:r>
      <w:r>
        <w:rPr>
          <w:rFonts w:ascii="Arial" w:hAnsi="Arial"/>
          <w:b w:val="0"/>
          <w:i w:val="0"/>
          <w:color w:val="000000"/>
          <w:sz w:val="20"/>
        </w:rPr>
        <w:t xml:space="preserve"> and choose </w:t>
      </w:r>
      <w:r>
        <w:rPr>
          <w:rFonts w:ascii="Arial" w:hAnsi="Arial"/>
          <w:b/>
          <w:i w:val="0"/>
          <w:color w:val="000000"/>
          <w:sz w:val="20"/>
        </w:rPr>
        <w:t>"Run as administrator"</w:t>
      </w:r>
      <w:r>
        <w:rPr>
          <w:rFonts w:ascii="Arial" w:hAnsi="Arial"/>
          <w:b w:val="0"/>
          <w:i w:val="0"/>
          <w:color w:val="000000"/>
          <w:sz w:val="20"/>
        </w:rPr>
        <w:t>. Running as admin avoids repeated User Account Control pop-ups and lets the installer do its work without interruption.</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r>
      <w:r>
        <w:rPr>
          <w:rFonts w:ascii="Arial" w:hAnsi="Arial"/>
          <w:b/>
          <w:i w:val="0"/>
          <w:color w:val="000000"/>
          <w:sz w:val="20"/>
        </w:rPr>
        <w:t>Windows security will ask for permission</w:t>
      </w:r>
      <w:r>
        <w:rPr>
          <w:rFonts w:ascii="Arial" w:hAnsi="Arial"/>
          <w:b w:val="0"/>
          <w:i w:val="0"/>
          <w:color w:val="000000"/>
          <w:sz w:val="20"/>
        </w:rPr>
        <w:t xml:space="preserve"> a few times while the installer runs — this is normal. Whenever Windows (User Account Control) asks whether you want to allow an installer to make changes to your device,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r>
      <w:r>
        <w:rPr>
          <w:rFonts w:ascii="Arial" w:hAnsi="Arial"/>
          <w:b/>
          <w:i w:val="0"/>
          <w:color w:val="000000"/>
          <w:sz w:val="20"/>
        </w:rPr>
        <w:t>If PowerShell asks "Do you want to run software from this untrusted publisher?"</w:t>
      </w:r>
      <w:r>
        <w:rPr>
          <w:rFonts w:ascii="Arial" w:hAnsi="Arial"/>
          <w:b w:val="0"/>
          <w:i w:val="0"/>
          <w:color w:val="000000"/>
          <w:sz w:val="20"/>
        </w:rPr>
        <w:t xml:space="preserve"> or any similar confirmation with a list of choices like `[Y] Yes  [A] Yes to All  [N] No  [L] No to All`, type </w:t>
      </w:r>
      <w:r>
        <w:rPr>
          <w:rFonts w:ascii="Arial" w:hAnsi="Arial"/>
          <w:b/>
          <w:i w:val="0"/>
          <w:color w:val="000000"/>
          <w:sz w:val="20"/>
        </w:rPr>
        <w:t>`A`</w:t>
      </w:r>
      <w:r>
        <w:rPr>
          <w:rFonts w:ascii="Arial" w:hAnsi="Arial"/>
          <w:b w:val="0"/>
          <w:i w:val="0"/>
          <w:color w:val="000000"/>
          <w:sz w:val="20"/>
        </w:rPr>
        <w:t xml:space="preserve"> and press Enter. This confirms all script-based steps in one go. If a plain `[Y]/[N]` prompt appears, answer `Y`.</w:t>
      </w:r>
    </w:p>
    <w:p>
      <w:pPr>
        <w:pStyle w:val="ListNumber"/>
      </w:pPr>
      <w:r>
        <w:rPr>
          <w:rFonts w:ascii="Arial" w:hAnsi="Arial"/>
          <w:b w:val="0"/>
          <w:i w:val="0"/>
          <w:color w:val="000000"/>
          <w:sz w:val="20"/>
        </w:rPr>
        <w:t>The installer will install Git, GitHub CLI, Node.js, Python and the 1Password CLI using the built-in Windows package manager (`winget`).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 (again right-click "Run as administrator").</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6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7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5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4)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Knowledge Base — how it's organised</w:t>
      </w:r>
    </w:p>
    <w:p>
      <w:r>
        <w:rPr>
          <w:rFonts w:ascii="Arial" w:hAnsi="Arial"/>
          <w:b w:val="0"/>
          <w:i w:val="0"/>
          <w:color w:val="000000"/>
          <w:sz w:val="20"/>
        </w:rPr>
        <w:t xml:space="preserve">The agents read from </w:t>
      </w:r>
      <w:r>
        <w:rPr>
          <w:rFonts w:ascii="Arial" w:hAnsi="Arial"/>
          <w:b/>
          <w:i w:val="0"/>
          <w:color w:val="000000"/>
          <w:sz w:val="20"/>
        </w:rPr>
        <w:t>two kinds of knowledge base</w:t>
      </w:r>
      <w:r>
        <w:rPr>
          <w:rFonts w:ascii="Arial" w:hAnsi="Arial"/>
          <w:b w:val="0"/>
          <w:i w:val="0"/>
          <w:color w:val="000000"/>
          <w:sz w:val="20"/>
        </w:rPr>
        <w:t>. Understanding the split helps you know where to put things and what your colleagues will and won't see.</w:t>
      </w:r>
    </w:p>
    <w:p>
      <w:pPr>
        <w:pStyle w:val="Heading3"/>
      </w:pPr>
      <w:r>
        <w:rPr>
          <w:rFonts w:ascii="Arial" w:hAnsi="Arial"/>
          <w:color w:val="25415C"/>
          <w:sz w:val="24"/>
        </w:rPr>
        <w:t>Tier 1 — General KB (local, private to you)</w:t>
      </w:r>
    </w:p>
    <w:p>
      <w:r>
        <w:rPr>
          <w:rFonts w:ascii="Arial" w:hAnsi="Arial"/>
          <w:b w:val="0"/>
          <w:i w:val="0"/>
          <w:color w:val="000000"/>
          <w:sz w:val="20"/>
        </w:rPr>
        <w:t>Location: `~/AI-Vault/Claude Folder/Knowledge Base/`</w:t>
      </w:r>
    </w:p>
    <w:p>
      <w:r>
        <w:rPr>
          <w:rFonts w:ascii="Arial" w:hAnsi="Arial"/>
          <w:b w:val="0"/>
          <w:i w:val="0"/>
          <w:color w:val="000000"/>
          <w:sz w:val="20"/>
        </w:rPr>
        <w:t>Contains TTC-internal reference material that every installation keeps its own copy of:</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What's in it</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 — only if you have bwbm agent access)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`Finance/`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contract templates, pricing baselines, partner agreements</w:t>
            </w:r>
          </w:p>
        </w:tc>
      </w:tr>
      <w:tr>
        <w:tc>
          <w:tcPr>
            <w:tcW w:type="dxa" w:w="4536"/>
            <w:tcMar>
              <w:top w:w="50" w:type="dxa"/>
              <w:bottom w:w="50" w:type="dxa"/>
              <w:start w:w="80" w:type="dxa"/>
              <w:end w:w="80" w:type="dxa"/>
            </w:tcMar>
            <w:vAlign w:val="center"/>
          </w:tcPr>
          <w:p>
            <w:r/>
            <w:r>
              <w:rPr>
                <w:rFonts w:ascii="Arial" w:hAnsi="Arial"/>
                <w:b w:val="0"/>
                <w:i w:val="0"/>
                <w:color w:val="000000"/>
                <w:sz w:val="18"/>
              </w:rPr>
              <w:t>`Personal/`</w:t>
            </w:r>
          </w:p>
        </w:tc>
        <w:tc>
          <w:tcPr>
            <w:tcW w:type="dxa" w:w="4536"/>
            <w:tcMar>
              <w:top w:w="50" w:type="dxa"/>
              <w:bottom w:w="50" w:type="dxa"/>
              <w:start w:w="80" w:type="dxa"/>
              <w:end w:w="80" w:type="dxa"/>
            </w:tcMar>
            <w:vAlign w:val="center"/>
          </w:tcPr>
          <w:p>
            <w:r/>
            <w:r>
              <w:rPr>
                <w:rFonts w:ascii="Arial" w:hAnsi="Arial"/>
                <w:b w:val="0"/>
                <w:i w:val="0"/>
                <w:color w:val="000000"/>
                <w:sz w:val="18"/>
              </w:rPr>
              <w:t>Your own personal notes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Brand assets, sales methodology, service offerings</w:t>
            </w:r>
          </w:p>
        </w:tc>
      </w:tr>
      <w:tr>
        <w:tc>
          <w:tcPr>
            <w:tcW w:type="dxa" w:w="4536"/>
            <w:tcMar>
              <w:top w:w="50" w:type="dxa"/>
              <w:bottom w:w="50" w:type="dxa"/>
              <w:start w:w="80" w:type="dxa"/>
              <w:end w:w="80" w:type="dxa"/>
            </w:tcMar>
            <w:vAlign w:val="center"/>
          </w:tcPr>
          <w:p>
            <w:r/>
            <w:r>
              <w:rPr>
                <w:rFonts w:ascii="Arial" w:hAnsi="Arial"/>
                <w:b w:val="0"/>
                <w:i w:val="0"/>
                <w:color w:val="000000"/>
                <w:sz w:val="18"/>
              </w:rPr>
              <w:t>`Archive/`</w:t>
            </w:r>
          </w:p>
        </w:tc>
        <w:tc>
          <w:tcPr>
            <w:tcW w:type="dxa" w:w="4536"/>
            <w:tcMar>
              <w:top w:w="50" w:type="dxa"/>
              <w:bottom w:w="50" w:type="dxa"/>
              <w:start w:w="80" w:type="dxa"/>
              <w:end w:w="80" w:type="dxa"/>
            </w:tcMar>
            <w:vAlign w:val="center"/>
          </w:tcPr>
          <w:p>
            <w:r/>
            <w:r>
              <w:rPr>
                <w:rFonts w:ascii="Arial" w:hAnsi="Arial"/>
                <w:b w:val="0"/>
                <w:i w:val="0"/>
                <w:color w:val="000000"/>
                <w:sz w:val="18"/>
              </w:rPr>
              <w:t>Historical, read-only</w:t>
            </w:r>
          </w:p>
        </w:tc>
      </w:tr>
    </w:tbl>
    <w:p/>
    <w:p>
      <w:r>
        <w:rPr>
          <w:rFonts w:ascii="Arial" w:hAnsi="Arial"/>
          <w:b w:val="0"/>
          <w:i w:val="0"/>
          <w:color w:val="000000"/>
          <w:sz w:val="20"/>
        </w:rPr>
        <w:t xml:space="preserve">This tier is </w:t>
      </w:r>
      <w:r>
        <w:rPr>
          <w:rFonts w:ascii="Arial" w:hAnsi="Arial"/>
          <w:b/>
          <w:i w:val="0"/>
          <w:color w:val="000000"/>
          <w:sz w:val="20"/>
        </w:rPr>
        <w:t>local to your machine</w:t>
      </w:r>
      <w:r>
        <w:rPr>
          <w:rFonts w:ascii="Arial" w:hAnsi="Arial"/>
          <w:b w:val="0"/>
          <w:i w:val="0"/>
          <w:color w:val="000000"/>
          <w:sz w:val="20"/>
        </w:rPr>
        <w:t>. Your colleagues have their own copies. Refreshing one doesn't touch anyone else's.</w:t>
      </w:r>
    </w:p>
    <w:p>
      <w:pPr>
        <w:pStyle w:val="Heading3"/>
      </w:pPr>
      <w:r>
        <w:rPr>
          <w:rFonts w:ascii="Arial" w:hAnsi="Arial"/>
          <w:color w:val="25415C"/>
          <w:sz w:val="24"/>
        </w:rPr>
        <w:t>Tier 2 — Customer KB (shared via OneDrive)</w:t>
      </w:r>
    </w:p>
    <w:p>
      <w:r>
        <w:rPr>
          <w:rFonts w:ascii="Arial" w:hAnsi="Arial"/>
          <w:b w:val="0"/>
          <w:i w:val="0"/>
          <w:color w:val="000000"/>
          <w:sz w:val="20"/>
        </w:rPr>
        <w:t>Location: every active customer has a hidden folder called `AI-INFO - DO NOT DELETE/` directly under their OneDrive folder. Examples:</w:t>
      </w:r>
    </w:p>
    <w:p>
      <w:pPr>
        <w:spacing w:before="120" w:after="120"/>
        <w:ind w:left="567"/>
        <w:shd w:val="clear" w:color="auto" w:fill="E9EDF0"/>
      </w:pPr>
      <w:r>
        <w:rPr>
          <w:rFonts w:ascii="Courier New" w:hAnsi="Courier New"/>
          <w:color w:val="25415C"/>
          <w:sz w:val="16"/>
        </w:rPr>
        <w:t>OneDrive-TTCGlobal/Sales/Customer/Middle East/ADNOC/AI-INFO - DO NOT DELETE/</w:t>
      </w:r>
      <w:r>
        <w:rPr>
          <w:rFonts w:ascii="Courier New" w:hAnsi="Courier New"/>
          <w:color w:val="25415C"/>
          <w:sz w:val="16"/>
        </w:rPr>
        <w:br/>
        <w:t>OneDrive-TTCGlobal/Sales/Customer/Middle East/ENOC/AI-INFO - DO NOT DELETE/</w:t>
      </w:r>
      <w:r>
        <w:rPr>
          <w:rFonts w:ascii="Courier New" w:hAnsi="Courier New"/>
          <w:color w:val="25415C"/>
          <w:sz w:val="16"/>
        </w:rPr>
        <w:br/>
        <w:t>OneDrive-TTCGlobal/Delivery/Leapwork/VKB/AI-INFO - DO NOT DELETE/</w:t>
      </w:r>
    </w:p>
    <w:p>
      <w:r>
        <w:rPr>
          <w:rFonts w:ascii="Arial" w:hAnsi="Arial"/>
          <w:b w:val="0"/>
          <w:i w:val="0"/>
          <w:color w:val="000000"/>
          <w:sz w:val="20"/>
        </w:rPr>
        <w:t>Inside each folder:</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File / 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Purpose</w:t>
            </w:r>
          </w:p>
        </w:tc>
      </w:tr>
      <w:tr>
        <w:tc>
          <w:tcPr>
            <w:tcW w:type="dxa" w:w="4536"/>
            <w:tcMar>
              <w:top w:w="50" w:type="dxa"/>
              <w:bottom w:w="50" w:type="dxa"/>
              <w:start w:w="80" w:type="dxa"/>
              <w:end w:w="80" w:type="dxa"/>
            </w:tcMar>
            <w:vAlign w:val="center"/>
          </w:tcPr>
          <w:p>
            <w:r/>
            <w:r>
              <w:rPr>
                <w:rFonts w:ascii="Arial" w:hAnsi="Arial"/>
                <w:b w:val="0"/>
                <w:i w:val="0"/>
                <w:color w:val="000000"/>
                <w:sz w:val="18"/>
              </w:rPr>
              <w:t>`README.md`</w:t>
            </w:r>
          </w:p>
        </w:tc>
        <w:tc>
          <w:tcPr>
            <w:tcW w:type="dxa" w:w="4536"/>
            <w:tcMar>
              <w:top w:w="50" w:type="dxa"/>
              <w:bottom w:w="50" w:type="dxa"/>
              <w:start w:w="80" w:type="dxa"/>
              <w:end w:w="80" w:type="dxa"/>
            </w:tcMar>
            <w:vAlign w:val="center"/>
          </w:tcPr>
          <w:p>
            <w:r/>
            <w:r>
              <w:rPr>
                <w:rFonts w:ascii="Arial" w:hAnsi="Arial"/>
                <w:b w:val="0"/>
                <w:i w:val="0"/>
                <w:color w:val="000000"/>
                <w:sz w:val="18"/>
              </w:rPr>
              <w:t>Explains rules, names the responsible owner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`notes.md`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**Human-editable** running notes on the customer — anyone with folder access can contribute</w:t>
            </w:r>
          </w:p>
        </w:tc>
      </w:tr>
      <w:tr>
        <w:tc>
          <w:tcPr>
            <w:tcW w:type="dxa" w:w="4536"/>
            <w:tcMar>
              <w:top w:w="50" w:type="dxa"/>
              <w:bottom w:w="50" w:type="dxa"/>
              <w:start w:w="80" w:type="dxa"/>
              <w:end w:w="80" w:type="dxa"/>
            </w:tcMar>
            <w:vAlign w:val="center"/>
          </w:tcPr>
          <w:p>
            <w:r/>
            <w:r>
              <w:rPr>
                <w:rFonts w:ascii="Arial" w:hAnsi="Arial"/>
                <w:b w:val="0"/>
                <w:i w:val="0"/>
                <w:color w:val="000000"/>
                <w:sz w:val="18"/>
              </w:rPr>
              <w:t>`memory.md`</w:t>
            </w:r>
          </w:p>
        </w:tc>
        <w:tc>
          <w:tcPr>
            <w:tcW w:type="dxa" w:w="4536"/>
            <w:tcMar>
              <w:top w:w="50" w:type="dxa"/>
              <w:bottom w:w="50" w:type="dxa"/>
              <w:start w:w="80" w:type="dxa"/>
              <w:end w:w="80" w:type="dxa"/>
            </w:tcMar>
            <w:vAlign w:val="center"/>
          </w:tcPr>
          <w:p>
            <w:r/>
            <w:r>
              <w:rPr>
                <w:rFonts w:ascii="Arial" w:hAnsi="Arial"/>
                <w:b w:val="0"/>
                <w:i w:val="0"/>
                <w:color w:val="000000"/>
                <w:sz w:val="18"/>
              </w:rPr>
              <w:t>Agent session highlights — what AI has learned or decided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`converted/`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Generated `.txt` files agents read for semantic search — don't edit by hand</w:t>
            </w:r>
          </w:p>
        </w:tc>
      </w:tr>
      <w:tr>
        <w:tc>
          <w:tcPr>
            <w:tcW w:type="dxa" w:w="4536"/>
            <w:tcMar>
              <w:top w:w="50" w:type="dxa"/>
              <w:bottom w:w="50" w:type="dxa"/>
              <w:start w:w="80" w:type="dxa"/>
              <w:end w:w="80" w:type="dxa"/>
            </w:tcMar>
            <w:vAlign w:val="center"/>
          </w:tcPr>
          <w:p>
            <w:r/>
            <w:r>
              <w:rPr>
                <w:rFonts w:ascii="Arial" w:hAnsi="Arial"/>
                <w:b w:val="0"/>
                <w:i w:val="0"/>
                <w:color w:val="000000"/>
                <w:sz w:val="18"/>
              </w:rPr>
              <w:t>`_index.json`</w:t>
            </w:r>
          </w:p>
        </w:tc>
        <w:tc>
          <w:tcPr>
            <w:tcW w:type="dxa" w:w="4536"/>
            <w:tcMar>
              <w:top w:w="50" w:type="dxa"/>
              <w:bottom w:w="50" w:type="dxa"/>
              <w:start w:w="80" w:type="dxa"/>
              <w:end w:w="80" w:type="dxa"/>
            </w:tcMar>
            <w:vAlign w:val="center"/>
          </w:tcPr>
          <w:p>
            <w:r/>
            <w:r>
              <w:rPr>
                <w:rFonts w:ascii="Arial" w:hAnsi="Arial"/>
                <w:b w:val="0"/>
                <w:i w:val="0"/>
                <w:color w:val="000000"/>
                <w:sz w:val="18"/>
              </w:rPr>
              <w:t>Delta manifest (auto-generated)</w:t>
            </w:r>
          </w:p>
        </w:tc>
      </w:tr>
    </w:tbl>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Multi-user collaboration</w:t>
      </w:r>
      <w:r>
        <w:rPr>
          <w:rFonts w:ascii="Arial" w:hAnsi="Arial"/>
          <w:b w:val="0"/>
          <w:i w:val="0"/>
          <w:color w:val="000000"/>
          <w:sz w:val="20"/>
        </w:rPr>
        <w:t xml:space="preserve"> — when you work on ADNOC, your agent picks up notes your colleague added last week. When you add something, it syncs to them via OneDrive.</w:t>
      </w:r>
    </w:p>
    <w:p>
      <w:pPr>
        <w:pStyle w:val="ListBullet"/>
      </w:pPr>
      <w:r>
        <w:rPr>
          <w:rFonts w:ascii="Arial" w:hAnsi="Arial"/>
          <w:b w:val="0"/>
          <w:i w:val="0"/>
          <w:color w:val="000000"/>
          <w:sz w:val="20"/>
        </w:rPr>
      </w:r>
      <w:r>
        <w:rPr>
          <w:rFonts w:ascii="Arial" w:hAnsi="Arial"/>
          <w:b/>
          <w:i w:val="0"/>
          <w:color w:val="000000"/>
          <w:sz w:val="20"/>
        </w:rPr>
        <w:t>One source of truth per customer</w:t>
      </w:r>
      <w:r>
        <w:rPr>
          <w:rFonts w:ascii="Arial" w:hAnsi="Arial"/>
          <w:b w:val="0"/>
          <w:i w:val="0"/>
          <w:color w:val="000000"/>
          <w:sz w:val="20"/>
        </w:rPr>
        <w:t xml:space="preserve"> — no more duplicate customer KBs on different machines.</w:t>
      </w:r>
    </w:p>
    <w:p>
      <w:pPr>
        <w:pStyle w:val="ListBullet"/>
      </w:pPr>
      <w:r>
        <w:rPr>
          <w:rFonts w:ascii="Arial" w:hAnsi="Arial"/>
          <w:b w:val="0"/>
          <w:i w:val="0"/>
          <w:color w:val="000000"/>
          <w:sz w:val="20"/>
        </w:rPr>
      </w:r>
      <w:r>
        <w:rPr>
          <w:rFonts w:ascii="Arial" w:hAnsi="Arial"/>
          <w:b/>
          <w:i w:val="0"/>
          <w:color w:val="000000"/>
          <w:sz w:val="20"/>
        </w:rPr>
        <w:t>Folder is hidden</w:t>
      </w:r>
      <w:r>
        <w:rPr>
          <w:rFonts w:ascii="Arial" w:hAnsi="Arial"/>
          <w:b w:val="0"/>
          <w:i w:val="0"/>
          <w:color w:val="000000"/>
          <w:sz w:val="20"/>
        </w:rPr>
        <w:t xml:space="preserve"> on macOS / Windows — press `Cmd+Shift+.` (Mac) or enable "Show hidden items" (Windows) to see it. OneDrive Web always shows it.</w:t>
      </w:r>
    </w:p>
    <w:p>
      <w:pPr>
        <w:pStyle w:val="ListBullet"/>
      </w:pPr>
      <w:r>
        <w:rPr>
          <w:rFonts w:ascii="Arial" w:hAnsi="Arial"/>
          <w:b w:val="0"/>
          <w:i w:val="0"/>
          <w:color w:val="000000"/>
          <w:sz w:val="20"/>
        </w:rPr>
      </w:r>
      <w:r>
        <w:rPr>
          <w:rFonts w:ascii="Arial" w:hAnsi="Arial"/>
          <w:b/>
          <w:i w:val="0"/>
          <w:color w:val="000000"/>
          <w:sz w:val="20"/>
        </w:rPr>
        <w:t>Name is deliberately awkward</w:t>
      </w:r>
      <w:r>
        <w:rPr>
          <w:rFonts w:ascii="Arial" w:hAnsi="Arial"/>
          <w:b w:val="0"/>
          <w:i w:val="0"/>
          <w:color w:val="000000"/>
          <w:sz w:val="20"/>
        </w:rPr>
        <w:t xml:space="preserve"> (`AI-INFO - DO NOT DELETE`) so no one mistakes it for deliverables. OneDrive restores deletions within 93 days anyway.</w:t>
      </w:r>
    </w:p>
    <w:p>
      <w:pPr>
        <w:pStyle w:val="Heading3"/>
      </w:pPr>
      <w:r>
        <w:rPr>
          <w:rFonts w:ascii="Arial" w:hAnsi="Arial"/>
          <w:color w:val="25415C"/>
          <w:sz w:val="24"/>
        </w:rPr>
        <w:t>Which agents use which tier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Agent</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General KB</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Customer KB</w:t>
            </w:r>
          </w:p>
        </w:tc>
      </w:tr>
      <w:tr>
        <w:tc>
          <w:tcPr>
            <w:tcW w:type="dxa" w:w="3024"/>
            <w:tcMar>
              <w:top w:w="50" w:type="dxa"/>
              <w:bottom w:w="50" w:type="dxa"/>
              <w:start w:w="80" w:type="dxa"/>
              <w:end w:w="80" w:type="dxa"/>
            </w:tcMar>
            <w:vAlign w:val="center"/>
          </w:tcPr>
          <w:p>
            <w:r/>
            <w:r>
              <w:rPr>
                <w:rFonts w:ascii="Arial" w:hAnsi="Arial"/>
                <w:b w:val="0"/>
                <w:i w:val="0"/>
                <w:color w:val="000000"/>
                <w:sz w:val="18"/>
              </w:rPr>
              <w:t>**Tender**</w:t>
            </w:r>
          </w:p>
        </w:tc>
        <w:tc>
          <w:tcPr>
            <w:tcW w:type="dxa" w:w="3024"/>
            <w:tcMar>
              <w:top w:w="50" w:type="dxa"/>
              <w:bottom w:w="50" w:type="dxa"/>
              <w:start w:w="80" w:type="dxa"/>
              <w:end w:w="80" w:type="dxa"/>
            </w:tcMar>
            <w:vAlign w:val="center"/>
          </w:tcPr>
          <w:p>
            <w:r/>
            <w:r>
              <w:rPr>
                <w:rFonts w:ascii="Arial" w:hAnsi="Arial"/>
                <w:b w:val="0"/>
                <w:i w:val="0"/>
                <w:color w:val="000000"/>
                <w:sz w:val="18"/>
              </w:rPr>
              <w:t>`ttc-general/`, `Finance/`</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`Finance/Contract Templates TTC/`</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vAlign w:val="center"/>
          </w:tcPr>
          <w:p>
            <w:r/>
            <w:r>
              <w:rPr>
                <w:rFonts w:ascii="Arial" w:hAnsi="Arial"/>
                <w:b w:val="0"/>
                <w:i w:val="0"/>
                <w:color w:val="000000"/>
                <w:sz w:val="18"/>
              </w:rPr>
              <w:t>**Test**</w:t>
            </w:r>
          </w:p>
        </w:tc>
        <w:tc>
          <w:tcPr>
            <w:tcW w:type="dxa" w:w="3024"/>
            <w:tcMar>
              <w:top w:w="50" w:type="dxa"/>
              <w:bottom w:w="50" w:type="dxa"/>
              <w:start w:w="80" w:type="dxa"/>
              <w:end w:w="80" w:type="dxa"/>
            </w:tcMar>
            <w:vAlign w:val="center"/>
          </w:tcPr>
          <w:p>
            <w:r/>
            <w:r>
              <w:rPr>
                <w:rFonts w:ascii="Arial" w:hAnsi="Arial"/>
                <w:b w:val="0"/>
                <w:i w:val="0"/>
                <w:color w:val="000000"/>
                <w:sz w:val="18"/>
              </w:rPr>
              <w:t>`BwBm/`, `ttc-general/`</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**TAF**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reads customer context for test scope</w:t>
            </w:r>
          </w:p>
        </w:tc>
      </w:tr>
      <w:tr>
        <w:tc>
          <w:tcPr>
            <w:tcW w:type="dxa" w:w="3024"/>
            <w:tcMar>
              <w:top w:w="50" w:type="dxa"/>
              <w:bottom w:w="50" w:type="dxa"/>
              <w:start w:w="80" w:type="dxa"/>
              <w:end w:w="80" w:type="dxa"/>
            </w:tcMar>
            <w:vAlign w:val="center"/>
          </w:tcPr>
          <w:p>
            <w:r/>
            <w:r>
              <w:rPr>
                <w:rFonts w:ascii="Arial" w:hAnsi="Arial"/>
                <w:b w:val="0"/>
                <w:i w:val="0"/>
                <w:color w:val="000000"/>
                <w:sz w:val="18"/>
              </w:rPr>
              <w:t>**QA TOM Generator**</w:t>
            </w:r>
          </w:p>
        </w:tc>
        <w:tc>
          <w:tcPr>
            <w:tcW w:type="dxa" w:w="3024"/>
            <w:tcMar>
              <w:top w:w="50" w:type="dxa"/>
              <w:bottom w:w="50" w:type="dxa"/>
              <w:start w:w="80" w:type="dxa"/>
              <w:end w:w="80" w:type="dxa"/>
            </w:tcMar>
            <w:vAlign w:val="center"/>
          </w:tcPr>
          <w:p>
            <w:r/>
            <w:r>
              <w:rPr>
                <w:rFonts w:ascii="Arial" w:hAnsi="Arial"/>
                <w:b w:val="0"/>
                <w:i w:val="0"/>
                <w:color w:val="000000"/>
                <w:sz w:val="18"/>
              </w:rPr>
              <w:t>`ttc-general/`, methodology</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**SAP**</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`BwBm/`</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when working on customer SAP landscape</w:t>
            </w:r>
          </w:p>
        </w:tc>
      </w:tr>
      <w:tr>
        <w:tc>
          <w:tcPr>
            <w:tcW w:type="dxa" w:w="3024"/>
            <w:tcMar>
              <w:top w:w="50" w:type="dxa"/>
              <w:bottom w:w="50" w:type="dxa"/>
              <w:start w:w="80" w:type="dxa"/>
              <w:end w:w="80" w:type="dxa"/>
            </w:tcMar>
            <w:vAlign w:val="center"/>
          </w:tcPr>
          <w:p>
            <w:r/>
            <w:r>
              <w:rPr>
                <w:rFonts w:ascii="Arial" w:hAnsi="Arial"/>
                <w:b w:val="0"/>
                <w:i w:val="0"/>
                <w:color w:val="000000"/>
                <w:sz w:val="18"/>
              </w:rPr>
              <w:t>**BwBm**</w:t>
            </w:r>
          </w:p>
        </w:tc>
        <w:tc>
          <w:tcPr>
            <w:tcW w:type="dxa" w:w="3024"/>
            <w:tcMar>
              <w:top w:w="50" w:type="dxa"/>
              <w:bottom w:w="50" w:type="dxa"/>
              <w:start w:w="80" w:type="dxa"/>
              <w:end w:w="80" w:type="dxa"/>
            </w:tcMar>
            <w:vAlign w:val="center"/>
          </w:tcPr>
          <w:p>
            <w:r/>
            <w:r>
              <w:rPr>
                <w:rFonts w:ascii="Arial" w:hAnsi="Arial"/>
                <w:b w:val="0"/>
                <w:i w:val="0"/>
                <w:color w:val="000000"/>
                <w:sz w:val="18"/>
              </w:rPr>
              <w:t>`BwBm/` (internal project — stays Tier 1)</w:t>
            </w:r>
          </w:p>
        </w:tc>
        <w:tc>
          <w:tcPr>
            <w:tcW w:type="dxa" w:w="3024"/>
            <w:tcMar>
              <w:top w:w="50" w:type="dxa"/>
              <w:bottom w:w="50" w:type="dxa"/>
              <w:start w:w="80" w:type="dxa"/>
              <w:end w:w="80" w:type="dxa"/>
            </w:tcMar>
            <w:vAlign w:val="center"/>
          </w:tcPr>
          <w:p>
            <w:r/>
            <w:r>
              <w:rPr>
                <w:rFonts w:ascii="Arial" w:hAnsi="Arial"/>
                <w:b w:val="0"/>
                <w:i w:val="0"/>
                <w:color w:val="000000"/>
                <w:sz w:val="18"/>
              </w:rPr>
              <w:t>rarely</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**Infrastructure**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documents the framework itself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3024"/>
            <w:tcMar>
              <w:top w:w="50" w:type="dxa"/>
              <w:bottom w:w="50" w:type="dxa"/>
              <w:start w:w="80" w:type="dxa"/>
              <w:end w:w="80" w:type="dxa"/>
            </w:tcMar>
            <w:vAlign w:val="center"/>
          </w:tcPr>
          <w:p>
            <w:r/>
            <w:r>
              <w:rPr>
                <w:rFonts w:ascii="Arial" w:hAnsi="Arial"/>
                <w:b w:val="0"/>
                <w:i w:val="0"/>
                <w:color w:val="000000"/>
                <w:sz w:val="18"/>
              </w:rPr>
              <w:t>Finance, HR, Odoo, Personal, Private, PPTX</w:t>
            </w:r>
          </w:p>
        </w:tc>
        <w:tc>
          <w:tcPr>
            <w:tcW w:type="dxa" w:w="3024"/>
            <w:tcMar>
              <w:top w:w="50" w:type="dxa"/>
              <w:bottom w:w="50" w:type="dxa"/>
              <w:start w:w="80" w:type="dxa"/>
              <w:end w:w="80" w:type="dxa"/>
            </w:tcMar>
            <w:vAlign w:val="center"/>
          </w:tcPr>
          <w:p>
            <w:r/>
            <w:r>
              <w:rPr>
                <w:rFonts w:ascii="Arial" w:hAnsi="Arial"/>
                <w:b w:val="0"/>
                <w:i w:val="0"/>
                <w:color w:val="000000"/>
                <w:sz w:val="18"/>
              </w:rPr>
              <w:t>their own reference</w:t>
            </w:r>
          </w:p>
        </w:tc>
        <w:tc>
          <w:tcPr>
            <w:tcW w:type="dxa" w:w="3024"/>
            <w:tcMar>
              <w:top w:w="50" w:type="dxa"/>
              <w:bottom w:w="50" w:type="dxa"/>
              <w:start w:w="80" w:type="dxa"/>
              <w:end w:w="80" w:type="dxa"/>
            </w:tcMar>
            <w:vAlign w:val="center"/>
          </w:tcPr>
          <w:p>
            <w:r/>
            <w:r>
              <w:rPr>
                <w:rFonts w:ascii="Arial" w:hAnsi="Arial"/>
                <w:b w:val="0"/>
                <w:i w:val="0"/>
                <w:color w:val="000000"/>
                <w:sz w:val="18"/>
              </w:rPr>
              <w:t>— (don't touch customer KBs)</w:t>
            </w:r>
          </w:p>
        </w:tc>
      </w:tr>
    </w:tbl>
    <w:p/>
    <w:p>
      <w:r>
        <w:rPr>
          <w:rFonts w:ascii="Arial" w:hAnsi="Arial"/>
          <w:b w:val="0"/>
          <w:i w:val="0"/>
          <w:color w:val="000000"/>
          <w:sz w:val="20"/>
        </w:rPr>
        <w:t>The agents know the split — you don't have to think about it. Just tell them the customer name and they'll look in the right place.</w:t>
      </w:r>
    </w:p>
    <w:p>
      <w:pPr>
        <w:pStyle w:val="Heading3"/>
      </w:pPr>
      <w:r>
        <w:rPr>
          <w:rFonts w:ascii="Arial" w:hAnsi="Arial"/>
          <w:color w:val="25415C"/>
          <w:sz w:val="24"/>
        </w:rPr>
        <w:t>Working with a customer — three scenarios</w:t>
      </w:r>
    </w:p>
    <w:p>
      <w:r>
        <w:rPr>
          <w:rFonts w:ascii="Arial" w:hAnsi="Arial"/>
          <w:b w:val="0"/>
          <w:i w:val="0"/>
          <w:color w:val="000000"/>
          <w:sz w:val="20"/>
        </w:rPr>
      </w:r>
      <w:r>
        <w:rPr>
          <w:rFonts w:ascii="Arial" w:hAnsi="Arial"/>
          <w:b/>
          <w:i w:val="0"/>
          <w:color w:val="000000"/>
          <w:sz w:val="20"/>
        </w:rPr>
        <w:t>Scenario 1 — A colleague already has a KB for this customer</w:t>
      </w:r>
      <w:r>
        <w:rPr>
          <w:rFonts w:ascii="Arial" w:hAnsi="Arial"/>
          <w:b w:val="0"/>
          <w:i w:val="0"/>
          <w:color w:val="000000"/>
          <w:sz w:val="20"/>
        </w:rPr>
        <w:t xml:space="preserve"> Nothing special to do. Every customer-facing agent runs a </w:t>
      </w:r>
      <w:r>
        <w:rPr>
          <w:rFonts w:ascii="Arial" w:hAnsi="Arial"/>
          <w:b/>
          <w:i w:val="0"/>
          <w:color w:val="000000"/>
          <w:sz w:val="20"/>
        </w:rPr>
        <w:t>silent discovery</w:t>
      </w:r>
      <w:r>
        <w:rPr>
          <w:rFonts w:ascii="Arial" w:hAnsi="Arial"/>
          <w:b w:val="0"/>
          <w:i w:val="0"/>
          <w:color w:val="000000"/>
          <w:sz w:val="20"/>
        </w:rPr>
        <w:t xml:space="preserve"> at session start that scans OneDrive for `AI-INFO - DO NOT DELETE/` folders and adds any new ones to your local registry. Next time you say "apply tender" and mention that customer, the agent already knows the KB exists.</w:t>
      </w:r>
    </w:p>
    <w:p>
      <w:r>
        <w:rPr>
          <w:rFonts w:ascii="Arial" w:hAnsi="Arial"/>
          <w:b w:val="0"/>
          <w:i w:val="0"/>
          <w:color w:val="000000"/>
          <w:sz w:val="20"/>
        </w:rPr>
      </w:r>
      <w:r>
        <w:rPr>
          <w:rFonts w:ascii="Arial" w:hAnsi="Arial"/>
          <w:b/>
          <w:i w:val="0"/>
          <w:color w:val="000000"/>
          <w:sz w:val="20"/>
        </w:rPr>
        <w:t>Scenario 2 — You're the first person working on a brand-new customer</w:t>
      </w:r>
      <w:r>
        <w:rPr>
          <w:rFonts w:ascii="Arial" w:hAnsi="Arial"/>
          <w:b w:val="0"/>
          <w:i w:val="0"/>
          <w:color w:val="000000"/>
          <w:sz w:val="20"/>
        </w:rPr>
        <w:t xml:space="preserve"> When you ask the agent to save something for a customer it doesn't recognise, it will run:</w:t>
      </w:r>
    </w:p>
    <w:p>
      <w:pPr>
        <w:spacing w:before="120" w:after="120"/>
        <w:ind w:left="567"/>
        <w:shd w:val="clear" w:color="auto" w:fill="E9EDF0"/>
      </w:pPr>
      <w:r>
        <w:rPr>
          <w:rFonts w:ascii="Courier New" w:hAnsi="Courier New"/>
          <w:color w:val="25415C"/>
          <w:sz w:val="16"/>
        </w:rPr>
        <w:t>~/AI-Vault/Claude\ Folder/kb_bootstrap_customer.sh "Customer Name"</w:t>
      </w:r>
    </w:p>
    <w:p>
      <w:r>
        <w:rPr>
          <w:rFonts w:ascii="Arial" w:hAnsi="Arial"/>
          <w:b w:val="0"/>
          <w:i w:val="0"/>
          <w:color w:val="000000"/>
          <w:sz w:val="20"/>
        </w:rPr>
        <w:t>This creates the hidden `AI-INFO - DO NOT DELETE/` folder inside their OneDrive customer folder, seeds `README.md`, `notes.md`, `memory.md`, adds the customer to the registry, and applies the hidden flag. It's idempotent — running it again is safe.</w:t>
      </w:r>
    </w:p>
    <w:p>
      <w:r>
        <w:rPr>
          <w:rFonts w:ascii="Arial" w:hAnsi="Arial"/>
          <w:b w:val="0"/>
          <w:i w:val="0"/>
          <w:color w:val="000000"/>
          <w:sz w:val="20"/>
        </w:rPr>
      </w:r>
      <w:r>
        <w:rPr>
          <w:rFonts w:ascii="Arial" w:hAnsi="Arial"/>
          <w:b/>
          <w:i w:val="0"/>
          <w:color w:val="000000"/>
          <w:sz w:val="20"/>
        </w:rPr>
        <w:t>Scenario 3 — Someone added new documents to a customer folder</w:t>
      </w:r>
      <w:r>
        <w:rPr>
          <w:rFonts w:ascii="Arial" w:hAnsi="Arial"/>
          <w:b w:val="0"/>
          <w:i w:val="0"/>
          <w:color w:val="000000"/>
          <w:sz w:val="20"/>
        </w:rPr>
        <w:t xml:space="preserve"> Rebuild the searchable index:</w:t>
      </w:r>
    </w:p>
    <w:p>
      <w:pPr>
        <w:spacing w:before="120" w:after="120"/>
        <w:ind w:left="567"/>
        <w:shd w:val="clear" w:color="auto" w:fill="E9EDF0"/>
      </w:pPr>
      <w:r>
        <w:rPr>
          <w:rFonts w:ascii="Courier New" w:hAnsi="Courier New"/>
          <w:color w:val="25415C"/>
          <w:sz w:val="16"/>
        </w:rPr>
        <w:t>~/AI-Vault/Claude\ Folder/kb_refresh_customer.sh "Customer Name"</w:t>
      </w:r>
    </w:p>
    <w:p>
      <w:r>
        <w:rPr>
          <w:rFonts w:ascii="Arial" w:hAnsi="Arial"/>
          <w:b w:val="0"/>
          <w:i w:val="0"/>
          <w:color w:val="000000"/>
          <w:sz w:val="20"/>
        </w:rPr>
        <w:t>This re-converts only the new/changed source docs and updates your local vector index. Takes seconds.</w:t>
      </w:r>
    </w:p>
    <w:p>
      <w:r>
        <w:rPr>
          <w:rFonts w:ascii="Arial" w:hAnsi="Arial"/>
          <w:b w:val="0"/>
          <w:i w:val="0"/>
          <w:color w:val="000000"/>
          <w:sz w:val="20"/>
        </w:rPr>
        <w:t>The full rule book lives in `~/AI-Vault/docs/KB_CONVENTIONS.md`.</w:t>
      </w:r>
    </w:p>
    <w:p>
      <w:pPr>
        <w:pStyle w:val="Heading3"/>
      </w:pPr>
      <w:r>
        <w:rPr>
          <w:rFonts w:ascii="Arial" w:hAnsi="Arial"/>
          <w:color w:val="25415C"/>
          <w:sz w:val="24"/>
        </w:rPr>
        <w:t>Storage rules cheat sheet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you're producing</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Where it goes</w:t>
            </w:r>
          </w:p>
        </w:tc>
      </w:tr>
      <w:tr>
        <w:tc>
          <w:tcPr>
            <w:tcW w:type="dxa" w:w="4536"/>
            <w:tcMar>
              <w:top w:w="50" w:type="dxa"/>
              <w:bottom w:w="50" w:type="dxa"/>
              <w:start w:w="80" w:type="dxa"/>
              <w:end w:w="80" w:type="dxa"/>
            </w:tcMar>
            <w:vAlign w:val="center"/>
          </w:tcPr>
          <w:p>
            <w:r/>
            <w:r>
              <w:rPr>
                <w:rFonts w:ascii="Arial" w:hAnsi="Arial"/>
                <w:b w:val="0"/>
                <w:i w:val="0"/>
                <w:color w:val="000000"/>
                <w:sz w:val="18"/>
              </w:rPr>
              <w:t>Drafts, in-progress work</w:t>
            </w:r>
          </w:p>
        </w:tc>
        <w:tc>
          <w:tcPr>
            <w:tcW w:type="dxa" w:w="4536"/>
            <w:tcMar>
              <w:top w:w="50" w:type="dxa"/>
              <w:bottom w:w="50" w:type="dxa"/>
              <w:start w:w="80" w:type="dxa"/>
              <w:end w:w="80" w:type="dxa"/>
            </w:tcMar>
            <w:vAlign w:val="center"/>
          </w:tcPr>
          <w:p>
            <w:r/>
            <w:r>
              <w:rPr>
                <w:rFonts w:ascii="Arial" w:hAnsi="Arial"/>
                <w:b w:val="0"/>
                <w:i w:val="0"/>
                <w:color w:val="000000"/>
                <w:sz w:val="18"/>
              </w:rPr>
              <w:t>`~/AI-Vault/Agents/&lt;Agent&gt;/working/`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Collaborative customer notes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`&lt;customer&gt;/AI-INFO - DO NOT DELETE/notes.md`</w:t>
            </w:r>
          </w:p>
        </w:tc>
      </w:tr>
      <w:tr>
        <w:tc>
          <w:tcPr>
            <w:tcW w:type="dxa" w:w="4536"/>
            <w:tcMar>
              <w:top w:w="50" w:type="dxa"/>
              <w:bottom w:w="50" w:type="dxa"/>
              <w:start w:w="80" w:type="dxa"/>
              <w:end w:w="80" w:type="dxa"/>
            </w:tcMar>
            <w:vAlign w:val="center"/>
          </w:tcPr>
          <w:p>
            <w:r/>
            <w:r>
              <w:rPr>
                <w:rFonts w:ascii="Arial" w:hAnsi="Arial"/>
                <w:b w:val="0"/>
                <w:i w:val="0"/>
                <w:color w:val="000000"/>
                <w:sz w:val="18"/>
              </w:rPr>
              <w:t>Agent session highlights</w:t>
            </w:r>
          </w:p>
        </w:tc>
        <w:tc>
          <w:tcPr>
            <w:tcW w:type="dxa" w:w="4536"/>
            <w:tcMar>
              <w:top w:w="50" w:type="dxa"/>
              <w:bottom w:w="50" w:type="dxa"/>
              <w:start w:w="80" w:type="dxa"/>
              <w:end w:w="80" w:type="dxa"/>
            </w:tcMar>
            <w:vAlign w:val="center"/>
          </w:tcPr>
          <w:p>
            <w:r/>
            <w:r>
              <w:rPr>
                <w:rFonts w:ascii="Arial" w:hAnsi="Arial"/>
                <w:b w:val="0"/>
                <w:i w:val="0"/>
                <w:color w:val="000000"/>
                <w:sz w:val="18"/>
              </w:rPr>
              <w:t>`&lt;customer&gt;/AI-INFO - DO NOT DELETE/memory.md`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Session memory (cross-customer)</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`~/AI-Vault/Agents/&lt;Agent&gt;/memory/`</w:t>
            </w:r>
          </w:p>
        </w:tc>
      </w:tr>
      <w:tr>
        <w:tc>
          <w:tcPr>
            <w:tcW w:type="dxa" w:w="4536"/>
            <w:tcMar>
              <w:top w:w="50" w:type="dxa"/>
              <w:bottom w:w="50" w:type="dxa"/>
              <w:start w:w="80" w:type="dxa"/>
              <w:end w:w="80" w:type="dxa"/>
            </w:tcMar>
            <w:vAlign w:val="center"/>
          </w:tcPr>
          <w:p>
            <w:r/>
            <w:r>
              <w:rPr>
                <w:rFonts w:ascii="Arial" w:hAnsi="Arial"/>
                <w:b w:val="0"/>
                <w:i w:val="0"/>
                <w:color w:val="000000"/>
                <w:sz w:val="18"/>
              </w:rPr>
              <w:t>**Final client deliverable**</w:t>
            </w:r>
          </w:p>
        </w:tc>
        <w:tc>
          <w:tcPr>
            <w:tcW w:type="dxa" w:w="4536"/>
            <w:tcMar>
              <w:top w:w="50" w:type="dxa"/>
              <w:bottom w:w="50" w:type="dxa"/>
              <w:start w:w="80" w:type="dxa"/>
              <w:end w:w="80" w:type="dxa"/>
            </w:tcMar>
            <w:vAlign w:val="center"/>
          </w:tcPr>
          <w:p>
            <w:r/>
            <w:r>
              <w:rPr>
                <w:rFonts w:ascii="Arial" w:hAnsi="Arial"/>
                <w:b w:val="0"/>
                <w:i w:val="0"/>
                <w:color w:val="000000"/>
                <w:sz w:val="18"/>
              </w:rPr>
              <w:t>`&lt;customer&gt;/` proper — only after Joerg confirms "ship it"</w:t>
            </w:r>
          </w:p>
        </w:tc>
      </w:tr>
    </w:tbl>
    <w:p/>
    <w:p>
      <w:r>
        <w:rPr>
          <w:rFonts w:ascii="Arial" w:hAnsi="Arial"/>
          <w:b w:val="0"/>
          <w:i w:val="0"/>
          <w:color w:val="000000"/>
          <w:sz w:val="20"/>
        </w:rPr>
        <w:t>Never create an `AI-INFO` folder manually — always use the bootstrap script so the registry stays in sync.</w:t>
      </w:r>
    </w:p>
    <w:p>
      <w:pPr>
        <w:pStyle w:val="Heading2"/>
      </w:pPr>
      <w:r>
        <w:rPr>
          <w:rFonts w:ascii="Arial" w:hAnsi="Arial"/>
          <w:color w:val="005A6C"/>
          <w:sz w:val="28"/>
        </w:rPr>
        <w:t>Updating to the latest version</w:t>
      </w:r>
    </w:p>
    <w:p>
      <w:r>
        <w:rPr>
          <w:rFonts w:ascii="Arial" w:hAnsi="Arial"/>
          <w:b w:val="0"/>
          <w:i w:val="0"/>
          <w:color w:val="000000"/>
          <w:sz w:val="20"/>
        </w:rPr>
        <w:t xml:space="preserve">The framework and agents are under active development. To pull the latest version of everything — framework, all agents, KB scripts, and conventions — run </w:t>
      </w:r>
      <w:r>
        <w:rPr>
          <w:rFonts w:ascii="Arial" w:hAnsi="Arial"/>
          <w:b/>
          <w:i w:val="0"/>
          <w:color w:val="000000"/>
          <w:sz w:val="20"/>
        </w:rPr>
        <w:t>one command</w:t>
      </w:r>
      <w:r>
        <w:rPr>
          <w:rFonts w:ascii="Arial" w:hAnsi="Arial"/>
          <w:b w:val="0"/>
          <w:i w:val="0"/>
          <w:color w:val="000000"/>
          <w:sz w:val="20"/>
        </w:rPr>
        <w:t>:</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~/AI-Vault/ttc-agent-framework/scripts/update-all.sh</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"$env:USERPROFILE\AI-Vault\ttc-agent-framework\scripts\update-all.sh"</w:t>
      </w:r>
    </w:p>
    <w:p>
      <w:r>
        <w:rPr>
          <w:rFonts w:ascii="Arial" w:hAnsi="Arial"/>
          <w:b w:val="0"/>
          <w:i w:val="0"/>
          <w:color w:val="000000"/>
          <w:sz w:val="20"/>
        </w:rPr>
      </w:r>
      <w:r>
        <w:rPr>
          <w:rFonts w:ascii="Arial" w:hAnsi="Arial"/>
          <w:b w:val="0"/>
          <w:i/>
          <w:color w:val="000000"/>
          <w:sz w:val="20"/>
        </w:rPr>
        <w:t>(Windows support via Git Bash; a native `update-all.ps1` may be added later.)</w:t>
      </w:r>
      <w:r>
        <w:rPr>
          <w:rFonts w:ascii="Arial" w:hAnsi="Arial"/>
          <w:b w:val="0"/>
          <w:i w:val="0"/>
          <w:color w:val="000000"/>
          <w:sz w:val="20"/>
        </w:rPr>
      </w:r>
    </w:p>
    <w:p>
      <w:r>
        <w:rPr>
          <w:rFonts w:ascii="Arial" w:hAnsi="Arial"/>
          <w:b w:val="0"/>
          <w:i w:val="0"/>
          <w:color w:val="000000"/>
          <w:sz w:val="20"/>
        </w:rPr>
        <w:t>What it does:</w:t>
      </w:r>
    </w:p>
    <w:p>
      <w:pPr>
        <w:pStyle w:val="ListBullet"/>
      </w:pPr>
      <w:r>
        <w:rPr>
          <w:rFonts w:ascii="Arial" w:hAnsi="Arial"/>
          <w:b w:val="0"/>
          <w:i w:val="0"/>
          <w:color w:val="000000"/>
          <w:sz w:val="20"/>
        </w:rPr>
        <w:t>Pulls the framework repo</w:t>
      </w:r>
    </w:p>
    <w:p>
      <w:pPr>
        <w:pStyle w:val="ListBullet"/>
      </w:pPr>
      <w:r>
        <w:rPr>
          <w:rFonts w:ascii="Arial" w:hAnsi="Arial"/>
          <w:b w:val="0"/>
          <w:i w:val="0"/>
          <w:color w:val="000000"/>
          <w:sz w:val="20"/>
        </w:rPr>
        <w:t>Pulls every agent repo you have installed (fast-forward only)</w:t>
      </w:r>
    </w:p>
    <w:p>
      <w:pPr>
        <w:pStyle w:val="ListBullet"/>
      </w:pPr>
      <w:r>
        <w:rPr>
          <w:rFonts w:ascii="Arial" w:hAnsi="Arial"/>
          <w:b w:val="0"/>
          <w:i w:val="0"/>
          <w:color w:val="000000"/>
          <w:sz w:val="20"/>
        </w:rPr>
      </w:r>
      <w:r>
        <w:rPr>
          <w:rFonts w:ascii="Arial" w:hAnsi="Arial"/>
          <w:b/>
          <w:i w:val="0"/>
          <w:color w:val="000000"/>
          <w:sz w:val="20"/>
        </w:rPr>
        <w:t>Skips any repo with uncommitted local changes</w:t>
      </w:r>
      <w:r>
        <w:rPr>
          <w:rFonts w:ascii="Arial" w:hAnsi="Arial"/>
          <w:b w:val="0"/>
          <w:i w:val="0"/>
          <w:color w:val="000000"/>
          <w:sz w:val="20"/>
        </w:rPr>
        <w:t xml:space="preserve"> (safe — nothing overwritten)</w:t>
      </w:r>
    </w:p>
    <w:p>
      <w:pPr>
        <w:pStyle w:val="ListBullet"/>
      </w:pPr>
      <w:r>
        <w:rPr>
          <w:rFonts w:ascii="Arial" w:hAnsi="Arial"/>
          <w:b w:val="0"/>
          <w:i w:val="0"/>
          <w:color w:val="000000"/>
          <w:sz w:val="20"/>
        </w:rPr>
        <w:t>Refreshes the runtime KB scripts (`kb_bootstrap_customer.sh`, `kb_refresh_customer.sh`, the converter, the vectorizer) and `KB_CONVENTIONS.md`</w:t>
      </w:r>
    </w:p>
    <w:p>
      <w:r>
        <w:rPr>
          <w:rFonts w:ascii="Arial" w:hAnsi="Arial"/>
          <w:b w:val="0"/>
          <w:i w:val="0"/>
          <w:color w:val="000000"/>
          <w:sz w:val="20"/>
        </w:rPr>
        <w:t xml:space="preserve">System-prompt changes take effect in your </w:t>
      </w:r>
      <w:r>
        <w:rPr>
          <w:rFonts w:ascii="Arial" w:hAnsi="Arial"/>
          <w:b/>
          <w:i w:val="0"/>
          <w:color w:val="000000"/>
          <w:sz w:val="20"/>
        </w:rPr>
        <w:t>next</w:t>
      </w:r>
      <w:r>
        <w:rPr>
          <w:rFonts w:ascii="Arial" w:hAnsi="Arial"/>
          <w:b w:val="0"/>
          <w:i w:val="0"/>
          <w:color w:val="000000"/>
          <w:sz w:val="20"/>
        </w:rPr>
        <w:t xml:space="preserve"> Claude Code conversation. No reload or restart needed.</w:t>
      </w:r>
    </w:p>
    <w:p>
      <w:r>
        <w:rPr>
          <w:rFonts w:ascii="Arial" w:hAnsi="Arial"/>
          <w:b w:val="0"/>
          <w:i w:val="0"/>
          <w:color w:val="000000"/>
          <w:sz w:val="20"/>
        </w:rPr>
        <w:t>When to run it:</w:t>
      </w:r>
    </w:p>
    <w:p>
      <w:pPr>
        <w:pStyle w:val="ListBullet"/>
      </w:pPr>
      <w:r>
        <w:rPr>
          <w:rFonts w:ascii="Arial" w:hAnsi="Arial"/>
          <w:b w:val="0"/>
          <w:i w:val="0"/>
          <w:color w:val="000000"/>
          <w:sz w:val="20"/>
        </w:rPr>
        <w:t>When Joerg says "I pushed an update"</w:t>
      </w:r>
    </w:p>
    <w:p>
      <w:pPr>
        <w:pStyle w:val="ListBullet"/>
      </w:pPr>
      <w:r>
        <w:rPr>
          <w:rFonts w:ascii="Arial" w:hAnsi="Arial"/>
          <w:b w:val="0"/>
          <w:i w:val="0"/>
          <w:color w:val="000000"/>
          <w:sz w:val="20"/>
        </w:rPr>
        <w:t>Once a week to stay current</w:t>
      </w:r>
    </w:p>
    <w:p>
      <w:pPr>
        <w:pStyle w:val="ListBullet"/>
      </w:pPr>
      <w:r>
        <w:rPr>
          <w:rFonts w:ascii="Arial" w:hAnsi="Arial"/>
          <w:b w:val="0"/>
          <w:i w:val="0"/>
          <w:color w:val="000000"/>
          <w:sz w:val="20"/>
        </w:rPr>
        <w:t>Before starting a big customer engagement</w:t>
      </w:r>
    </w:p>
    <w:p>
      <w:r>
        <w:rPr>
          <w:rFonts w:ascii="Arial" w:hAnsi="Arial"/>
          <w:b w:val="0"/>
          <w:i w:val="0"/>
          <w:color w:val="000000"/>
          <w:sz w:val="20"/>
        </w:rPr>
        <w:t xml:space="preserve">When </w:t>
      </w:r>
      <w:r>
        <w:rPr>
          <w:rFonts w:ascii="Arial" w:hAnsi="Arial"/>
          <w:b/>
          <w:i w:val="0"/>
          <w:color w:val="000000"/>
          <w:sz w:val="20"/>
        </w:rPr>
        <w:t>not</w:t>
      </w:r>
      <w:r>
        <w:rPr>
          <w:rFonts w:ascii="Arial" w:hAnsi="Arial"/>
          <w:b w:val="0"/>
          <w:i w:val="0"/>
          <w:color w:val="000000"/>
          <w:sz w:val="20"/>
        </w:rPr>
        <w:t xml:space="preserve"> to run it (use the one-line installer from Step 5 instead):</w:t>
      </w:r>
    </w:p>
    <w:p>
      <w:pPr>
        <w:pStyle w:val="ListBullet"/>
      </w:pPr>
      <w:r>
        <w:rPr>
          <w:rFonts w:ascii="Arial" w:hAnsi="Arial"/>
          <w:b w:val="0"/>
          <w:i w:val="0"/>
          <w:color w:val="000000"/>
          <w:sz w:val="20"/>
        </w:rPr>
        <w:t>First install on a new machine</w:t>
      </w:r>
    </w:p>
    <w:p>
      <w:pPr>
        <w:pStyle w:val="ListBullet"/>
      </w:pPr>
      <w:r>
        <w:rPr>
          <w:rFonts w:ascii="Arial" w:hAnsi="Arial"/>
          <w:b w:val="0"/>
          <w:i w:val="0"/>
          <w:color w:val="000000"/>
          <w:sz w:val="20"/>
        </w:rPr>
        <w:t>When a new tool or Python dependency has been added (rare — usually mentioned in release notes)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