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pPr>
    </w:p>
    <w:p>
      <w:pPr>
        <w:spacing w:after="280"/>
      </w:pPr>
    </w:p>
    <w:p>
      <w:pPr>
        <w:spacing w:after="280"/>
      </w:pPr>
    </w:p>
    <w:p>
      <w:pPr>
        <w:spacing w:after="280"/>
        <w:jc w:val="center"/>
      </w:pPr>
      <w:r>
        <w:rPr>
          <w:rFonts w:ascii="Arial" w:hAnsi="Arial" w:eastAsia="Arial"/>
          <w:b/>
          <w:color w:val="2E74B5"/>
          <w:sz w:val="22"/>
        </w:rPr>
        <w:t>PROFESSIONAL PORTFOLIO</w:t>
      </w:r>
    </w:p>
    <w:p>
      <w:pPr>
        <w:spacing w:after="200"/>
        <w:jc w:val="center"/>
      </w:pPr>
      <w:r>
        <w:rPr>
          <w:rFonts w:ascii="Arial" w:hAnsi="Arial" w:eastAsia="Arial"/>
          <w:b/>
          <w:color w:val="0B2545"/>
          <w:sz w:val="60"/>
        </w:rPr>
        <w:t>Thomas Strand</w:t>
      </w:r>
    </w:p>
    <w:p>
      <w:pPr>
        <w:spacing w:after="80"/>
        <w:jc w:val="center"/>
      </w:pPr>
      <w:r>
        <w:rPr>
          <w:rFonts w:ascii="Arial" w:hAnsi="Arial" w:eastAsia="Arial"/>
          <w:b/>
          <w:color w:val="1F4D78"/>
          <w:sz w:val="32"/>
        </w:rPr>
        <w:t>Network &amp; Infrastructure Operations Leader</w:t>
      </w:r>
    </w:p>
    <w:p>
      <w:pPr>
        <w:spacing w:after="560"/>
        <w:jc w:val="center"/>
      </w:pPr>
      <w:r>
        <w:rPr>
          <w:rFonts w:ascii="Arial" w:hAnsi="Arial" w:eastAsia="Arial"/>
          <w:b/>
          <w:color w:val="59626C"/>
          <w:sz w:val="23"/>
        </w:rPr>
        <w:t>Target Role: Network Engineer, ENS Strategic Lead | Meta | Aiken, SC</w:t>
      </w:r>
    </w:p>
    <w:p>
      <w:pPr>
        <w:spacing w:after="840"/>
        <w:ind w:left="936" w:right="936"/>
        <w:jc w:val="center"/>
      </w:pPr>
      <w:r>
        <w:rPr>
          <w:rFonts w:ascii="Arial" w:hAnsi="Arial" w:eastAsia="Arial"/>
          <w:i/>
          <w:color w:val="1C232B"/>
          <w:sz w:val="26"/>
        </w:rPr>
        <w:t>Strategic infrastructure operations, network security, incident leadership, automation, compliance, operational resilience, and documentation.</w:t>
      </w:r>
    </w:p>
    <w:p>
      <w:pPr>
        <w:spacing w:after="60"/>
        <w:jc w:val="center"/>
      </w:pPr>
      <w:r>
        <w:rPr>
          <w:rFonts w:ascii="Arial" w:hAnsi="Arial" w:eastAsia="Arial"/>
          <w:color w:val="59626C"/>
          <w:sz w:val="21"/>
        </w:rPr>
        <w:t>Hephzibah, Georgia  |  (706) 526-7846  |  ttcstrand@gmail.com</w:t>
      </w:r>
    </w:p>
    <w:p>
      <w:pPr>
        <w:jc w:val="center"/>
      </w:pPr>
      <w:r>
        <w:rPr>
          <w:rFonts w:ascii="Arial" w:hAnsi="Arial" w:eastAsia="Arial"/>
          <w:color w:val="59626C"/>
          <w:sz w:val="19"/>
        </w:rPr>
        <w:t>July 2026 | Sanitized public portfolio</w:t>
      </w:r>
      <w:r>
        <w:br w:type="page"/>
      </w:r>
    </w:p>
    <w:p>
      <w:pPr>
        <w:pStyle w:val="Heading1"/>
        <w:keepNext/>
      </w:pPr>
      <w:r>
        <w:rPr>
          <w:rFonts w:ascii="Arial" w:hAnsi="Arial" w:eastAsia="Arial"/>
          <w:b/>
          <w:color w:val="2E74B5"/>
        </w:rPr>
        <w:t>EXECUTIVE PROFILE</w:t>
      </w:r>
    </w:p>
    <w:p>
      <w:pPr>
        <w:widowControl w:val="1"/>
      </w:pPr>
      <w:r>
        <w:rPr>
          <w:rFonts w:ascii="Arial" w:hAnsi="Arial" w:eastAsia="Arial"/>
          <w:color w:val="1C232B"/>
        </w:rPr>
        <w:t>Enterprise infrastructure and cybersecurity leader with more than 15 years of hands-on experience operating and modernizing complex, multi-site environments. Current responsibilities span network security, identity, endpoints, servers, virtualization, monitoring, compliance, incident response, automation, business continuity, and executive communication.</w:t>
      </w:r>
    </w:p>
    <w:p>
      <w:pPr>
        <w:widowControl w:val="1"/>
      </w:pPr>
      <w:r>
        <w:rPr>
          <w:rFonts w:ascii="Arial" w:hAnsi="Arial" w:eastAsia="Arial"/>
          <w:color w:val="1C232B"/>
        </w:rPr>
        <w:t>I support an environment serving 35,000+ users across 62 sites and approximately 60,000 endpoints. My strongest contribution is connecting strategy with execution: defining the control model, coordinating the teams, identifying operational dependencies, documenting acceptance and rollback criteria, investigating failure, and leaving behind a supportable operating process.</w:t>
      </w:r>
    </w:p>
    <w:p>
      <w:pPr>
        <w:pStyle w:val="Callout"/>
      </w:pPr>
      <w:r>
        <w:rPr>
          <w:rFonts w:ascii="Arial" w:hAnsi="Arial" w:eastAsia="Arial"/>
          <w:b/>
          <w:i/>
          <w:color w:val="0B2545"/>
          <w:sz w:val="22"/>
        </w:rPr>
        <w:t>Operating principle: A control is not complete until it is secure, testable, observable, recoverable, and documented.</w:t>
      </w:r>
    </w:p>
    <w:p>
      <w:pPr>
        <w:pStyle w:val="Heading1"/>
        <w:keepNext/>
      </w:pPr>
      <w:r>
        <w:rPr>
          <w:rFonts w:ascii="Arial" w:hAnsi="Arial" w:eastAsia="Arial"/>
          <w:b/>
          <w:color w:val="2E74B5"/>
        </w:rPr>
        <w:t>ROLE ALIGNMENT</w:t>
      </w:r>
    </w:p>
    <w:tbl>
      <w:tblPr>
        <w:tblW w:type="dxa" w:w="9360"/>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300"/>
        <w:gridCol w:w="3530"/>
        <w:gridCol w:w="3530"/>
      </w:tblGrid>
      <w:tr>
        <w:trPr>
          <w:tblHeader w:val="true"/>
        </w:trPr>
        <w:tc>
          <w:tcPr>
            <w:tcW w:type="dxa" w:w="2300"/>
            <w:tcMar>
              <w:top w:w="80" w:type="dxa"/>
              <w:start w:w="120" w:type="dxa"/>
              <w:bottom w:w="80" w:type="dxa"/>
              <w:end w:w="120" w:type="dxa"/>
            </w:tcMar>
            <w:shd w:fill="E8EEF5"/>
            <w:vAlign w:val="center"/>
          </w:tcPr>
          <w:p>
            <w:pPr>
              <w:spacing w:after="0"/>
              <w:jc w:val="left"/>
            </w:pPr>
            <w:r>
              <w:rPr>
                <w:rFonts w:ascii="Arial" w:hAnsi="Arial" w:eastAsia="Arial"/>
                <w:b/>
                <w:color w:val="0B2545"/>
                <w:sz w:val="19"/>
              </w:rPr>
              <w:t>ENS Priority</w:t>
            </w:r>
          </w:p>
        </w:tc>
        <w:tc>
          <w:tcPr>
            <w:tcW w:type="dxa" w:w="3530"/>
            <w:tcMar>
              <w:top w:w="80" w:type="dxa"/>
              <w:start w:w="120" w:type="dxa"/>
              <w:bottom w:w="80" w:type="dxa"/>
              <w:end w:w="120" w:type="dxa"/>
            </w:tcMar>
            <w:shd w:fill="E8EEF5"/>
            <w:vAlign w:val="center"/>
          </w:tcPr>
          <w:p>
            <w:pPr>
              <w:spacing w:after="0"/>
              <w:jc w:val="left"/>
            </w:pPr>
            <w:r>
              <w:rPr>
                <w:rFonts w:ascii="Arial" w:hAnsi="Arial" w:eastAsia="Arial"/>
                <w:b/>
                <w:color w:val="0B2545"/>
                <w:sz w:val="19"/>
              </w:rPr>
              <w:t>Evidence from My Work</w:t>
            </w:r>
          </w:p>
        </w:tc>
        <w:tc>
          <w:tcPr>
            <w:tcW w:type="dxa" w:w="3530"/>
            <w:tcMar>
              <w:top w:w="80" w:type="dxa"/>
              <w:start w:w="120" w:type="dxa"/>
              <w:bottom w:w="80" w:type="dxa"/>
              <w:end w:w="120" w:type="dxa"/>
            </w:tcMar>
            <w:shd w:fill="E8EEF5"/>
            <w:vAlign w:val="center"/>
          </w:tcPr>
          <w:p>
            <w:pPr>
              <w:spacing w:after="0"/>
              <w:jc w:val="left"/>
            </w:pPr>
            <w:r>
              <w:rPr>
                <w:rFonts w:ascii="Arial" w:hAnsi="Arial" w:eastAsia="Arial"/>
                <w:b/>
                <w:color w:val="0B2545"/>
                <w:sz w:val="19"/>
              </w:rPr>
              <w:t>Transferable Value</w:t>
            </w:r>
          </w:p>
        </w:tc>
      </w:tr>
      <w:tr>
        <w:tc>
          <w:tcPr>
            <w:tcW w:type="dxa" w:w="2300"/>
            <w:vAlign w:val="center"/>
          </w:tcPr>
          <w:p>
            <w:pPr>
              <w:spacing w:before="0" w:after="0" w:line="252" w:lineRule="auto"/>
            </w:pPr>
            <w:r>
              <w:rPr>
                <w:rFonts w:ascii="Arial" w:hAnsi="Arial" w:eastAsia="Arial"/>
                <w:b/>
                <w:color w:val="1C232B"/>
                <w:sz w:val="18"/>
              </w:rPr>
              <w:t>Operational execution</w:t>
            </w:r>
          </w:p>
        </w:tc>
        <w:tc>
          <w:tcPr>
            <w:tcW w:type="dxa" w:w="3530"/>
            <w:vAlign w:val="center"/>
          </w:tcPr>
          <w:p>
            <w:pPr>
              <w:spacing w:before="0" w:after="0" w:line="252" w:lineRule="auto"/>
            </w:pPr>
            <w:r>
              <w:rPr>
                <w:rFonts w:ascii="Arial" w:hAnsi="Arial" w:eastAsia="Arial"/>
                <w:b w:val="0"/>
                <w:color w:val="1C232B"/>
                <w:sz w:val="18"/>
              </w:rPr>
              <w:t>Cross-functional infrastructure and security projects with defined requirements, pilots, acceptance checks, rollback, and support handoff.</w:t>
            </w:r>
          </w:p>
        </w:tc>
        <w:tc>
          <w:tcPr>
            <w:tcW w:type="dxa" w:w="3530"/>
            <w:vAlign w:val="center"/>
          </w:tcPr>
          <w:p>
            <w:pPr>
              <w:spacing w:before="0" w:after="0" w:line="252" w:lineRule="auto"/>
            </w:pPr>
            <w:r>
              <w:rPr>
                <w:rFonts w:ascii="Arial" w:hAnsi="Arial" w:eastAsia="Arial"/>
                <w:b w:val="0"/>
                <w:color w:val="1C232B"/>
                <w:sz w:val="18"/>
              </w:rPr>
              <w:t>Moves complex work from technical concept to repeatable operations.</w:t>
            </w:r>
          </w:p>
        </w:tc>
      </w:tr>
      <w:tr>
        <w:tc>
          <w:tcPr>
            <w:tcW w:type="dxa" w:w="2300"/>
            <w:vAlign w:val="center"/>
          </w:tcPr>
          <w:p>
            <w:pPr>
              <w:spacing w:before="0" w:after="0" w:line="252" w:lineRule="auto"/>
            </w:pPr>
            <w:r>
              <w:rPr>
                <w:rFonts w:ascii="Arial" w:hAnsi="Arial" w:eastAsia="Arial"/>
                <w:b/>
                <w:color w:val="1C232B"/>
                <w:sz w:val="18"/>
              </w:rPr>
              <w:t>Incident &amp; escalation management</w:t>
            </w:r>
          </w:p>
        </w:tc>
        <w:tc>
          <w:tcPr>
            <w:tcW w:type="dxa" w:w="3530"/>
            <w:vAlign w:val="center"/>
          </w:tcPr>
          <w:p>
            <w:pPr>
              <w:spacing w:before="0" w:after="0" w:line="252" w:lineRule="auto"/>
            </w:pPr>
            <w:r>
              <w:rPr>
                <w:rFonts w:ascii="Arial" w:hAnsi="Arial" w:eastAsia="Arial"/>
                <w:b w:val="0"/>
                <w:color w:val="1C232B"/>
                <w:sz w:val="18"/>
              </w:rPr>
              <w:t>Evidence correlation across policies, endpoints, identity, logs, network activity, and central services; clear corrective action and time-to-effect.</w:t>
            </w:r>
          </w:p>
        </w:tc>
        <w:tc>
          <w:tcPr>
            <w:tcW w:type="dxa" w:w="3530"/>
            <w:vAlign w:val="center"/>
          </w:tcPr>
          <w:p>
            <w:pPr>
              <w:spacing w:before="0" w:after="0" w:line="252" w:lineRule="auto"/>
            </w:pPr>
            <w:r>
              <w:rPr>
                <w:rFonts w:ascii="Arial" w:hAnsi="Arial" w:eastAsia="Arial"/>
                <w:b w:val="0"/>
                <w:color w:val="1C232B"/>
                <w:sz w:val="18"/>
              </w:rPr>
              <w:t>Supports disciplined restoration and prevention of repeat events.</w:t>
            </w:r>
          </w:p>
        </w:tc>
      </w:tr>
      <w:tr>
        <w:tc>
          <w:tcPr>
            <w:tcW w:type="dxa" w:w="2300"/>
            <w:vAlign w:val="center"/>
          </w:tcPr>
          <w:p>
            <w:pPr>
              <w:spacing w:before="0" w:after="0" w:line="252" w:lineRule="auto"/>
            </w:pPr>
            <w:r>
              <w:rPr>
                <w:rFonts w:ascii="Arial" w:hAnsi="Arial" w:eastAsia="Arial"/>
                <w:b/>
                <w:color w:val="1C232B"/>
                <w:sz w:val="18"/>
              </w:rPr>
              <w:t>Automation &amp; tooling</w:t>
            </w:r>
          </w:p>
        </w:tc>
        <w:tc>
          <w:tcPr>
            <w:tcW w:type="dxa" w:w="3530"/>
            <w:vAlign w:val="center"/>
          </w:tcPr>
          <w:p>
            <w:pPr>
              <w:spacing w:before="0" w:after="0" w:line="252" w:lineRule="auto"/>
            </w:pPr>
            <w:r>
              <w:rPr>
                <w:rFonts w:ascii="Arial" w:hAnsi="Arial" w:eastAsia="Arial"/>
                <w:b w:val="0"/>
                <w:color w:val="1C232B"/>
                <w:sz w:val="18"/>
              </w:rPr>
              <w:t>PowerShell, Microsoft Graph, scheduled tasks, certificate-based authentication, SolarWinds integrations, and constrained SQL procedures.</w:t>
            </w:r>
          </w:p>
        </w:tc>
        <w:tc>
          <w:tcPr>
            <w:tcW w:type="dxa" w:w="3530"/>
            <w:vAlign w:val="center"/>
          </w:tcPr>
          <w:p>
            <w:pPr>
              <w:spacing w:before="0" w:after="0" w:line="252" w:lineRule="auto"/>
            </w:pPr>
            <w:r>
              <w:rPr>
                <w:rFonts w:ascii="Arial" w:hAnsi="Arial" w:eastAsia="Arial"/>
                <w:b w:val="0"/>
                <w:color w:val="1C232B"/>
                <w:sz w:val="18"/>
              </w:rPr>
              <w:t>Reduces manual work while preserving auditability and control.</w:t>
            </w:r>
          </w:p>
        </w:tc>
      </w:tr>
      <w:tr>
        <w:tc>
          <w:tcPr>
            <w:tcW w:type="dxa" w:w="2300"/>
            <w:vAlign w:val="center"/>
          </w:tcPr>
          <w:p>
            <w:pPr>
              <w:spacing w:before="0" w:after="0" w:line="252" w:lineRule="auto"/>
            </w:pPr>
            <w:r>
              <w:rPr>
                <w:rFonts w:ascii="Arial" w:hAnsi="Arial" w:eastAsia="Arial"/>
                <w:b/>
                <w:color w:val="1C232B"/>
                <w:sz w:val="18"/>
              </w:rPr>
              <w:t>Standards &amp; documentation</w:t>
            </w:r>
          </w:p>
        </w:tc>
        <w:tc>
          <w:tcPr>
            <w:tcW w:type="dxa" w:w="3530"/>
            <w:vAlign w:val="center"/>
          </w:tcPr>
          <w:p>
            <w:pPr>
              <w:spacing w:before="0" w:after="0" w:line="252" w:lineRule="auto"/>
            </w:pPr>
            <w:r>
              <w:rPr>
                <w:rFonts w:ascii="Arial" w:hAnsi="Arial" w:eastAsia="Arial"/>
                <w:b w:val="0"/>
                <w:color w:val="1C232B"/>
                <w:sz w:val="18"/>
              </w:rPr>
              <w:t>Runbooks, SOPs, recovery plans, certificate procedures, knowledge bases, incident summaries, and executive briefs.</w:t>
            </w:r>
          </w:p>
        </w:tc>
        <w:tc>
          <w:tcPr>
            <w:tcW w:type="dxa" w:w="3530"/>
            <w:vAlign w:val="center"/>
          </w:tcPr>
          <w:p>
            <w:pPr>
              <w:spacing w:before="0" w:after="0" w:line="252" w:lineRule="auto"/>
            </w:pPr>
            <w:r>
              <w:rPr>
                <w:rFonts w:ascii="Arial" w:hAnsi="Arial" w:eastAsia="Arial"/>
                <w:b w:val="0"/>
                <w:color w:val="1C232B"/>
                <w:sz w:val="18"/>
              </w:rPr>
              <w:t>Creates scalable operating practices and consistent handoffs.</w:t>
            </w:r>
          </w:p>
        </w:tc>
      </w:tr>
      <w:tr>
        <w:tc>
          <w:tcPr>
            <w:tcW w:type="dxa" w:w="2300"/>
            <w:vAlign w:val="center"/>
          </w:tcPr>
          <w:p>
            <w:pPr>
              <w:spacing w:before="0" w:after="0" w:line="252" w:lineRule="auto"/>
            </w:pPr>
            <w:r>
              <w:rPr>
                <w:rFonts w:ascii="Arial" w:hAnsi="Arial" w:eastAsia="Arial"/>
                <w:b/>
                <w:color w:val="1C232B"/>
                <w:sz w:val="18"/>
              </w:rPr>
              <w:t>Security, compliance &amp; continuity</w:t>
            </w:r>
          </w:p>
        </w:tc>
        <w:tc>
          <w:tcPr>
            <w:tcW w:type="dxa" w:w="3530"/>
            <w:vAlign w:val="center"/>
          </w:tcPr>
          <w:p>
            <w:pPr>
              <w:spacing w:before="0" w:after="0" w:line="252" w:lineRule="auto"/>
            </w:pPr>
            <w:r>
              <w:rPr>
                <w:rFonts w:ascii="Arial" w:hAnsi="Arial" w:eastAsia="Arial"/>
                <w:b w:val="0"/>
                <w:color w:val="1C232B"/>
                <w:sz w:val="18"/>
              </w:rPr>
              <w:t>CJIS/GCIC, FERPA, CIPA, COPPA, PCI DSS, least privilege, segmentation, risk assessment, disaster recovery, and audit readiness.</w:t>
            </w:r>
          </w:p>
        </w:tc>
        <w:tc>
          <w:tcPr>
            <w:tcW w:type="dxa" w:w="3530"/>
            <w:vAlign w:val="center"/>
          </w:tcPr>
          <w:p>
            <w:pPr>
              <w:spacing w:before="0" w:after="0" w:line="252" w:lineRule="auto"/>
            </w:pPr>
            <w:r>
              <w:rPr>
                <w:rFonts w:ascii="Arial" w:hAnsi="Arial" w:eastAsia="Arial"/>
                <w:b w:val="0"/>
                <w:color w:val="1C232B"/>
                <w:sz w:val="18"/>
              </w:rPr>
              <w:t>Integrates resilience and compliance into infrastructure operations.</w:t>
            </w:r>
          </w:p>
        </w:tc>
      </w:tr>
      <w:tr>
        <w:tc>
          <w:tcPr>
            <w:tcW w:type="dxa" w:w="2300"/>
            <w:vAlign w:val="center"/>
          </w:tcPr>
          <w:p>
            <w:pPr>
              <w:spacing w:before="0" w:after="0" w:line="252" w:lineRule="auto"/>
            </w:pPr>
            <w:r>
              <w:rPr>
                <w:rFonts w:ascii="Arial" w:hAnsi="Arial" w:eastAsia="Arial"/>
                <w:b/>
                <w:color w:val="1C232B"/>
                <w:sz w:val="18"/>
              </w:rPr>
              <w:t>Stakeholder leadership</w:t>
            </w:r>
          </w:p>
        </w:tc>
        <w:tc>
          <w:tcPr>
            <w:tcW w:type="dxa" w:w="3530"/>
            <w:vAlign w:val="center"/>
          </w:tcPr>
          <w:p>
            <w:pPr>
              <w:spacing w:before="0" w:after="0" w:line="252" w:lineRule="auto"/>
            </w:pPr>
            <w:r>
              <w:rPr>
                <w:rFonts w:ascii="Arial" w:hAnsi="Arial" w:eastAsia="Arial"/>
                <w:b w:val="0"/>
                <w:color w:val="1C232B"/>
                <w:sz w:val="18"/>
              </w:rPr>
              <w:t>Coordination with executives, network and systems teams, support, application owners, vendors, auditors, and public-safety stakeholders.</w:t>
            </w:r>
          </w:p>
        </w:tc>
        <w:tc>
          <w:tcPr>
            <w:tcW w:type="dxa" w:w="3530"/>
            <w:vAlign w:val="center"/>
          </w:tcPr>
          <w:p>
            <w:pPr>
              <w:spacing w:before="0" w:after="0" w:line="252" w:lineRule="auto"/>
            </w:pPr>
            <w:r>
              <w:rPr>
                <w:rFonts w:ascii="Arial" w:hAnsi="Arial" w:eastAsia="Arial"/>
                <w:b w:val="0"/>
                <w:color w:val="1C232B"/>
                <w:sz w:val="18"/>
              </w:rPr>
              <w:t>Aligns priorities across organizational and technical boundaries.</w:t>
            </w:r>
          </w:p>
        </w:tc>
      </w:tr>
    </w:tbl>
    <w:p>
      <w:pPr>
        <w:pStyle w:val="Heading1"/>
        <w:keepNext/>
      </w:pPr>
      <w:r>
        <w:rPr>
          <w:rFonts w:ascii="Arial" w:hAnsi="Arial" w:eastAsia="Arial"/>
          <w:b/>
          <w:color w:val="2E74B5"/>
        </w:rPr>
        <w:t>ENTERPRISE OPERATING ENVIRONMENT</w:t>
      </w:r>
    </w:p>
    <w:p>
      <w:pPr>
        <w:pStyle w:val="ListBullet"/>
        <w:widowControl w:val="1"/>
      </w:pPr>
      <w:r>
        <w:rPr>
          <w:rFonts w:ascii="Arial" w:hAnsi="Arial" w:eastAsia="Arial"/>
          <w:color w:val="1C232B"/>
        </w:rPr>
        <w:t>Scale: 35,000+ users, 62 sites, and approximately 60,000 endpoints in a highly distributed K-12 environment.</w:t>
      </w:r>
    </w:p>
    <w:p>
      <w:pPr>
        <w:pStyle w:val="ListBullet"/>
        <w:widowControl w:val="1"/>
      </w:pPr>
      <w:r>
        <w:rPr>
          <w:rFonts w:ascii="Arial" w:hAnsi="Arial" w:eastAsia="Arial"/>
          <w:color w:val="1C232B"/>
        </w:rPr>
        <w:t>Network: Palo Alto PA-5220 high-availability firewalls, Aruba 8400 core and 6300 access switching, VLAN segmentation, Cisco, fiber/copper infrastructure, and SolarWinds NPM/NTA.</w:t>
      </w:r>
    </w:p>
    <w:p>
      <w:pPr>
        <w:pStyle w:val="ListBullet"/>
        <w:widowControl w:val="1"/>
      </w:pPr>
      <w:r>
        <w:rPr>
          <w:rFonts w:ascii="Arial" w:hAnsi="Arial" w:eastAsia="Arial"/>
          <w:color w:val="1C232B"/>
        </w:rPr>
        <w:t>Platforms: Active Directory, Microsoft Entra ID, Microsoft 365, Windows Server, DNS/DHCP, Exchange, SQL Server, VMware ESXi, Hyper-V, Microsoft Intune, Defender XDR, Sentinel, Purview, and PaperCut.</w:t>
      </w:r>
    </w:p>
    <w:p>
      <w:pPr>
        <w:pStyle w:val="ListBullet"/>
        <w:widowControl w:val="1"/>
      </w:pPr>
      <w:r>
        <w:rPr>
          <w:rFonts w:ascii="Arial" w:hAnsi="Arial" w:eastAsia="Arial"/>
          <w:color w:val="1C232B"/>
        </w:rPr>
        <w:t>Operational disciplines: incident response, root-cause analysis, change management, access governance, vulnerability management, monitoring, disaster recovery, audit evidence, SOPs, and executive communications.</w:t>
      </w:r>
    </w:p>
    <w:p>
      <w:r>
        <w:br w:type="page"/>
      </w:r>
    </w:p>
    <w:p>
      <w:pPr>
        <w:pStyle w:val="Heading1"/>
        <w:keepNext/>
      </w:pPr>
      <w:r>
        <w:rPr>
          <w:rFonts w:ascii="Arial" w:hAnsi="Arial" w:eastAsia="Arial"/>
          <w:b/>
          <w:color w:val="2E74B5"/>
        </w:rPr>
        <w:t>CASE STUDY 1 | SECURE NETWORK SEGMENTATION FOR GCIC</w:t>
      </w:r>
    </w:p>
    <w:p>
      <w:pPr>
        <w:widowControl w:val="1"/>
      </w:pPr>
      <w:r>
        <w:rPr>
          <w:rFonts w:ascii="Arial" w:hAnsi="Arial" w:eastAsia="Arial"/>
          <w:b/>
          <w:color w:val="1C232B"/>
        </w:rPr>
        <w:t>Context:</w:t>
      </w:r>
      <w:r>
        <w:rPr>
          <w:rFonts w:ascii="Arial" w:hAnsi="Arial" w:eastAsia="Arial"/>
          <w:color w:val="1C232B"/>
        </w:rPr>
        <w:t xml:space="preserve"> Richmond County School System Public Safety required compliant, supportable access to Georgia Crime Information Center workstations without exposing sensitive systems to general enterprise traffic.</w:t>
      </w:r>
    </w:p>
    <w:p>
      <w:pPr>
        <w:widowControl w:val="1"/>
      </w:pPr>
      <w:r>
        <w:rPr>
          <w:rFonts w:ascii="Arial" w:hAnsi="Arial" w:eastAsia="Arial"/>
          <w:b/>
          <w:color w:val="1C232B"/>
        </w:rPr>
        <w:t>Leadership role:</w:t>
      </w:r>
      <w:r>
        <w:rPr>
          <w:rFonts w:ascii="Arial" w:hAnsi="Arial" w:eastAsia="Arial"/>
          <w:color w:val="1C232B"/>
        </w:rPr>
        <w:t xml:space="preserve"> Lead / Local Agency Security Officer responsible for translating security and operational requirements into a segmented technical design and audit-ready operating model.</w:t>
      </w:r>
    </w:p>
    <w:p>
      <w:pPr>
        <w:pStyle w:val="Heading2"/>
        <w:keepNext/>
      </w:pPr>
      <w:r>
        <w:rPr>
          <w:rFonts w:ascii="Arial" w:hAnsi="Arial" w:eastAsia="Arial"/>
          <w:b/>
          <w:color w:val="2E74B5"/>
        </w:rPr>
        <w:t>Actions</w:t>
      </w:r>
    </w:p>
    <w:p>
      <w:pPr>
        <w:pStyle w:val="ListBullet"/>
        <w:widowControl w:val="1"/>
      </w:pPr>
      <w:r>
        <w:rPr>
          <w:rFonts w:ascii="Arial" w:hAnsi="Arial" w:eastAsia="Arial"/>
          <w:color w:val="1C232B"/>
        </w:rPr>
        <w:t>Defined traffic boundaries, management paths, administrative roles, logging expectations, and secure-printing requirements.</w:t>
      </w:r>
    </w:p>
    <w:p>
      <w:pPr>
        <w:pStyle w:val="ListBullet"/>
        <w:widowControl w:val="1"/>
      </w:pPr>
      <w:r>
        <w:rPr>
          <w:rFonts w:ascii="Arial" w:hAnsi="Arial" w:eastAsia="Arial"/>
          <w:color w:val="1C232B"/>
        </w:rPr>
        <w:t>Implemented controls using Palo Alto firewalls, VLAN segmentation, VMware, Active Directory, Windows 11, mRemoteNG, and PaperCut secure release.</w:t>
      </w:r>
    </w:p>
    <w:p>
      <w:pPr>
        <w:pStyle w:val="ListBullet"/>
        <w:widowControl w:val="1"/>
      </w:pPr>
      <w:r>
        <w:rPr>
          <w:rFonts w:ascii="Arial" w:hAnsi="Arial" w:eastAsia="Arial"/>
          <w:color w:val="1C232B"/>
        </w:rPr>
        <w:t>Coordinated technical teams and public-safety stakeholders, documented the operating model, and prepared the environment for inspection.</w:t>
      </w:r>
    </w:p>
    <w:p>
      <w:pPr>
        <w:pStyle w:val="ListBullet"/>
        <w:widowControl w:val="1"/>
      </w:pPr>
      <w:r>
        <w:rPr>
          <w:rFonts w:ascii="Arial" w:hAnsi="Arial" w:eastAsia="Arial"/>
          <w:color w:val="1C232B"/>
        </w:rPr>
        <w:t>Balanced strict access controls with practical support, printing, update, and recovery needs.</w:t>
      </w:r>
    </w:p>
    <w:p>
      <w:pPr>
        <w:pStyle w:val="Heading2"/>
        <w:keepNext/>
      </w:pPr>
      <w:r>
        <w:rPr>
          <w:rFonts w:ascii="Arial" w:hAnsi="Arial" w:eastAsia="Arial"/>
          <w:b/>
          <w:color w:val="2E74B5"/>
        </w:rPr>
        <w:t>Operational outcomes</w:t>
      </w:r>
    </w:p>
    <w:p>
      <w:pPr>
        <w:pStyle w:val="ListBullet"/>
        <w:widowControl w:val="1"/>
      </w:pPr>
      <w:r>
        <w:rPr>
          <w:rFonts w:ascii="Arial" w:hAnsi="Arial" w:eastAsia="Arial"/>
          <w:color w:val="1C232B"/>
        </w:rPr>
        <w:t>Established a defensible trust boundary for law-enforcement workloads.</w:t>
      </w:r>
    </w:p>
    <w:p>
      <w:pPr>
        <w:pStyle w:val="ListBullet"/>
        <w:widowControl w:val="1"/>
      </w:pPr>
      <w:r>
        <w:rPr>
          <w:rFonts w:ascii="Arial" w:hAnsi="Arial" w:eastAsia="Arial"/>
          <w:color w:val="1C232B"/>
        </w:rPr>
        <w:t>Reduced unnecessary connectivity and administrative exposure.</w:t>
      </w:r>
    </w:p>
    <w:p>
      <w:pPr>
        <w:pStyle w:val="ListBullet"/>
        <w:widowControl w:val="1"/>
      </w:pPr>
      <w:r>
        <w:rPr>
          <w:rFonts w:ascii="Arial" w:hAnsi="Arial" w:eastAsia="Arial"/>
          <w:color w:val="1C232B"/>
        </w:rPr>
        <w:t>The environment passed GBI inspection and audit.</w:t>
      </w:r>
    </w:p>
    <w:p>
      <w:pPr>
        <w:pStyle w:val="Heading2"/>
        <w:keepNext/>
      </w:pPr>
      <w:r>
        <w:rPr>
          <w:rFonts w:ascii="Arial" w:hAnsi="Arial" w:eastAsia="Arial"/>
          <w:b/>
          <w:color w:val="2E74B5"/>
        </w:rPr>
        <w:t>ENS relevance</w:t>
      </w:r>
    </w:p>
    <w:p>
      <w:pPr>
        <w:widowControl w:val="1"/>
      </w:pPr>
      <w:r>
        <w:rPr>
          <w:rFonts w:ascii="Arial" w:hAnsi="Arial" w:eastAsia="Arial"/>
          <w:color w:val="1C232B"/>
        </w:rPr>
        <w:t>Demonstrates physical and logical infrastructure security, cross-functional delivery, compliance integration, standards development, and operational ownership.</w:t>
      </w:r>
    </w:p>
    <w:p>
      <w:pPr>
        <w:pStyle w:val="Heading2"/>
        <w:keepNext/>
      </w:pPr>
      <w:r>
        <w:rPr>
          <w:rFonts w:ascii="Arial" w:hAnsi="Arial" w:eastAsia="Arial"/>
          <w:b/>
          <w:color w:val="2E74B5"/>
        </w:rPr>
        <w:t>Sanitized documentation excerpt</w:t>
      </w:r>
    </w:p>
    <w:p>
      <w:pPr>
        <w:pStyle w:val="Callout"/>
      </w:pPr>
      <w:r>
        <w:rPr>
          <w:rFonts w:ascii="Arial" w:hAnsi="Arial" w:eastAsia="Arial"/>
          <w:i/>
          <w:color w:val="0B2545"/>
          <w:sz w:val="22"/>
        </w:rPr>
        <w:t>"GCIC workstation traffic is restricted to authorized services and management paths; printing uses secure release, and administrative access follows defined role boundaries."</w:t>
      </w:r>
    </w:p>
    <w:p>
      <w:r>
        <w:br w:type="page"/>
      </w:r>
    </w:p>
    <w:p>
      <w:pPr>
        <w:pStyle w:val="Heading1"/>
        <w:keepNext/>
      </w:pPr>
      <w:r>
        <w:rPr>
          <w:rFonts w:ascii="Arial" w:hAnsi="Arial" w:eastAsia="Arial"/>
          <w:b/>
          <w:color w:val="2E74B5"/>
        </w:rPr>
        <w:t>CASE STUDY 2 | SECURE IDENTITY AUTOMATION ACROSS TRUST BOUNDARIES</w:t>
      </w:r>
    </w:p>
    <w:p>
      <w:pPr>
        <w:widowControl w:val="1"/>
      </w:pPr>
      <w:r>
        <w:rPr>
          <w:rFonts w:ascii="Arial" w:hAnsi="Arial" w:eastAsia="Arial"/>
          <w:b/>
          <w:color w:val="1C232B"/>
        </w:rPr>
        <w:t>Context:</w:t>
      </w:r>
      <w:r>
        <w:rPr>
          <w:rFonts w:ascii="Arial" w:hAnsi="Arial" w:eastAsia="Arial"/>
          <w:color w:val="1C232B"/>
        </w:rPr>
        <w:t xml:space="preserve"> BusinessPlus required a reliable daily process to synchronize Microsoft Entra object identifiers into a non-domain SQL environment without granting broad database access or exposing credentials.</w:t>
      </w:r>
    </w:p>
    <w:p>
      <w:pPr>
        <w:widowControl w:val="1"/>
      </w:pPr>
      <w:r>
        <w:rPr>
          <w:rFonts w:ascii="Arial" w:hAnsi="Arial" w:eastAsia="Arial"/>
          <w:b/>
          <w:color w:val="1C232B"/>
        </w:rPr>
        <w:t>Leadership role:</w:t>
      </w:r>
      <w:r>
        <w:rPr>
          <w:rFonts w:ascii="Arial" w:hAnsi="Arial" w:eastAsia="Arial"/>
          <w:color w:val="1C232B"/>
        </w:rPr>
        <w:t xml:space="preserve"> Designed the control model, authentication approach, deployment package, validation plan, operational runbook, rollback process, and recovery sequence.</w:t>
      </w:r>
    </w:p>
    <w:p>
      <w:pPr>
        <w:pStyle w:val="Heading2"/>
        <w:keepNext/>
      </w:pPr>
      <w:r>
        <w:rPr>
          <w:rFonts w:ascii="Arial" w:hAnsi="Arial" w:eastAsia="Arial"/>
          <w:b/>
          <w:color w:val="2E74B5"/>
        </w:rPr>
        <w:t>Actions</w:t>
      </w:r>
    </w:p>
    <w:p>
      <w:pPr>
        <w:pStyle w:val="ListBullet"/>
        <w:widowControl w:val="1"/>
      </w:pPr>
      <w:r>
        <w:rPr>
          <w:rFonts w:ascii="Arial" w:hAnsi="Arial" w:eastAsia="Arial"/>
          <w:color w:val="1C232B"/>
        </w:rPr>
        <w:t>Used certificate-based Microsoft Graph application authentication and separate certificate-protected SQL credential encryption.</w:t>
      </w:r>
    </w:p>
    <w:p>
      <w:pPr>
        <w:pStyle w:val="ListBullet"/>
        <w:widowControl w:val="1"/>
      </w:pPr>
      <w:r>
        <w:rPr>
          <w:rFonts w:ascii="Arial" w:hAnsi="Arial" w:eastAsia="Arial"/>
          <w:color w:val="1C232B"/>
        </w:rPr>
        <w:t>Limited database access to a constrained stored procedure rather than direct table permissions.</w:t>
      </w:r>
    </w:p>
    <w:p>
      <w:pPr>
        <w:pStyle w:val="ListBullet"/>
        <w:widowControl w:val="1"/>
      </w:pPr>
      <w:r>
        <w:rPr>
          <w:rFonts w:ascii="Arial" w:hAnsi="Arial" w:eastAsia="Arial"/>
          <w:color w:val="1C232B"/>
        </w:rPr>
        <w:t>Designed WhatIf, two-user pilot, idempotency, retry, logging, and acceptance controls.</w:t>
      </w:r>
    </w:p>
    <w:p>
      <w:pPr>
        <w:pStyle w:val="ListBullet"/>
        <w:widowControl w:val="1"/>
      </w:pPr>
      <w:r>
        <w:rPr>
          <w:rFonts w:ascii="Arial" w:hAnsi="Arial" w:eastAsia="Arial"/>
          <w:color w:val="1C232B"/>
        </w:rPr>
        <w:t>Created installation, commissioning, troubleshooting, certificate-renewal, and disaster-recovery documentation.</w:t>
      </w:r>
    </w:p>
    <w:p>
      <w:pPr>
        <w:pStyle w:val="Heading2"/>
        <w:keepNext/>
      </w:pPr>
      <w:r>
        <w:rPr>
          <w:rFonts w:ascii="Arial" w:hAnsi="Arial" w:eastAsia="Arial"/>
          <w:b/>
          <w:color w:val="2E74B5"/>
        </w:rPr>
        <w:t>Operational outcomes</w:t>
      </w:r>
    </w:p>
    <w:p>
      <w:pPr>
        <w:pStyle w:val="ListBullet"/>
        <w:widowControl w:val="1"/>
      </w:pPr>
      <w:r>
        <w:rPr>
          <w:rFonts w:ascii="Arial" w:hAnsi="Arial" w:eastAsia="Arial"/>
          <w:color w:val="1C232B"/>
        </w:rPr>
        <w:t>Created an observable, repeatable, and supportable automation workflow.</w:t>
      </w:r>
    </w:p>
    <w:p>
      <w:pPr>
        <w:pStyle w:val="ListBullet"/>
        <w:widowControl w:val="1"/>
      </w:pPr>
      <w:r>
        <w:rPr>
          <w:rFonts w:ascii="Arial" w:hAnsi="Arial" w:eastAsia="Arial"/>
          <w:color w:val="1C232B"/>
        </w:rPr>
        <w:t>Established explicit failure boundaries that stop unsafe overwrites and preserve investigation evidence.</w:t>
      </w:r>
    </w:p>
    <w:p>
      <w:pPr>
        <w:pStyle w:val="ListBullet"/>
        <w:widowControl w:val="1"/>
      </w:pPr>
      <w:r>
        <w:rPr>
          <w:rFonts w:ascii="Arial" w:hAnsi="Arial" w:eastAsia="Arial"/>
          <w:color w:val="1C232B"/>
        </w:rPr>
        <w:t>Reduced reliance on manual identity mapping while protecting credentials and database integrity.</w:t>
      </w:r>
    </w:p>
    <w:p>
      <w:pPr>
        <w:pStyle w:val="Heading2"/>
        <w:keepNext/>
      </w:pPr>
      <w:r>
        <w:rPr>
          <w:rFonts w:ascii="Arial" w:hAnsi="Arial" w:eastAsia="Arial"/>
          <w:b/>
          <w:color w:val="2E74B5"/>
        </w:rPr>
        <w:t>ENS relevance</w:t>
      </w:r>
    </w:p>
    <w:p>
      <w:pPr>
        <w:widowControl w:val="1"/>
      </w:pPr>
      <w:r>
        <w:rPr>
          <w:rFonts w:ascii="Arial" w:hAnsi="Arial" w:eastAsia="Arial"/>
          <w:color w:val="1C232B"/>
        </w:rPr>
        <w:t>Demonstrates infrastructure architecture, automation requirements, operational guardrails, documentation, risk management, and partnership across application, identity, server, and database teams.</w:t>
      </w:r>
    </w:p>
    <w:p>
      <w:pPr>
        <w:pStyle w:val="Heading2"/>
        <w:keepNext/>
      </w:pPr>
      <w:r>
        <w:rPr>
          <w:rFonts w:ascii="Arial" w:hAnsi="Arial" w:eastAsia="Arial"/>
          <w:b/>
          <w:color w:val="2E74B5"/>
        </w:rPr>
        <w:t>Sanitized documentation excerpt</w:t>
      </w:r>
    </w:p>
    <w:p>
      <w:pPr>
        <w:pStyle w:val="Callout"/>
      </w:pPr>
      <w:r>
        <w:rPr>
          <w:rFonts w:ascii="Arial" w:hAnsi="Arial" w:eastAsia="Arial"/>
          <w:i/>
          <w:color w:val="0B2545"/>
          <w:sz w:val="22"/>
        </w:rPr>
        <w:t>"Do not enable database writes until certificate access, Graph app-only authentication, SQL TLS validation, stored-procedure access, a two-user WhatIf, and a two-user pilot have all passed."</w:t>
      </w:r>
    </w:p>
    <w:p>
      <w:r>
        <w:br w:type="page"/>
      </w:r>
    </w:p>
    <w:p>
      <w:pPr>
        <w:pStyle w:val="Heading1"/>
        <w:keepNext/>
      </w:pPr>
      <w:r>
        <w:rPr>
          <w:rFonts w:ascii="Arial" w:hAnsi="Arial" w:eastAsia="Arial"/>
          <w:b/>
          <w:color w:val="2E74B5"/>
        </w:rPr>
        <w:t>CASE STUDY 3 | INCIDENT ESCALATION AND CORRECTIVE ACTION</w:t>
      </w:r>
    </w:p>
    <w:p>
      <w:pPr>
        <w:widowControl w:val="1"/>
      </w:pPr>
      <w:r>
        <w:rPr>
          <w:rFonts w:ascii="Arial" w:hAnsi="Arial" w:eastAsia="Arial"/>
          <w:b/>
          <w:color w:val="1C232B"/>
        </w:rPr>
        <w:t>Context:</w:t>
      </w:r>
      <w:r>
        <w:rPr>
          <w:rFonts w:ascii="Arial" w:hAnsi="Arial" w:eastAsia="Arial"/>
          <w:color w:val="1C232B"/>
        </w:rPr>
        <w:t xml:space="preserve"> Windows 11 desktop settings repeatedly reverted after technicians corrected them, creating an apparent endpoint issue across multiple managed devices.</w:t>
      </w:r>
    </w:p>
    <w:p>
      <w:pPr>
        <w:widowControl w:val="1"/>
      </w:pPr>
      <w:r>
        <w:rPr>
          <w:rFonts w:ascii="Arial" w:hAnsi="Arial" w:eastAsia="Arial"/>
          <w:b/>
          <w:color w:val="1C232B"/>
        </w:rPr>
        <w:t>Leadership role:</w:t>
      </w:r>
      <w:r>
        <w:rPr>
          <w:rFonts w:ascii="Arial" w:hAnsi="Arial" w:eastAsia="Arial"/>
          <w:color w:val="1C232B"/>
        </w:rPr>
        <w:t xml:space="preserve"> Correlated client evidence with central policy configuration, identified the actual source, coordinated remediation, and documented the expected propagation timeline.</w:t>
      </w:r>
    </w:p>
    <w:p>
      <w:pPr>
        <w:pStyle w:val="Heading2"/>
        <w:keepNext/>
      </w:pPr>
      <w:r>
        <w:rPr>
          <w:rFonts w:ascii="Arial" w:hAnsi="Arial" w:eastAsia="Arial"/>
          <w:b/>
          <w:color w:val="2E74B5"/>
        </w:rPr>
        <w:t>Actions</w:t>
      </w:r>
    </w:p>
    <w:p>
      <w:pPr>
        <w:pStyle w:val="ListBullet"/>
        <w:widowControl w:val="1"/>
      </w:pPr>
      <w:r>
        <w:rPr>
          <w:rFonts w:ascii="Arial" w:hAnsi="Arial" w:eastAsia="Arial"/>
          <w:color w:val="1C232B"/>
        </w:rPr>
        <w:t>Compared registry state, device timelines, Intune remediation transcripts, detection logic, and policy behavior across affected systems.</w:t>
      </w:r>
    </w:p>
    <w:p>
      <w:pPr>
        <w:pStyle w:val="ListBullet"/>
        <w:widowControl w:val="1"/>
      </w:pPr>
      <w:r>
        <w:rPr>
          <w:rFonts w:ascii="Arial" w:hAnsi="Arial" w:eastAsia="Arial"/>
          <w:color w:val="1C232B"/>
        </w:rPr>
        <w:t>Confirmed that the Windows 11 Taskbar Alignment remediation policy was actively reapplying the configuration.</w:t>
      </w:r>
    </w:p>
    <w:p>
      <w:pPr>
        <w:pStyle w:val="ListBullet"/>
        <w:widowControl w:val="1"/>
      </w:pPr>
      <w:r>
        <w:rPr>
          <w:rFonts w:ascii="Arial" w:hAnsi="Arial" w:eastAsia="Arial"/>
          <w:color w:val="1C232B"/>
        </w:rPr>
        <w:t>Preserved supporting logs and device evidence, identified the detection and remediation scripts, and distinguished policy behavior from user or hardware causes.</w:t>
      </w:r>
    </w:p>
    <w:p>
      <w:pPr>
        <w:pStyle w:val="ListBullet"/>
        <w:widowControl w:val="1"/>
      </w:pPr>
      <w:r>
        <w:rPr>
          <w:rFonts w:ascii="Arial" w:hAnsi="Arial" w:eastAsia="Arial"/>
          <w:color w:val="1C232B"/>
        </w:rPr>
        <w:t>Disabled the policy on July 20, 2026 at 4:10 p.m. ET and communicated that impact would decline as devices completed subsequent Intune check-ins.</w:t>
      </w:r>
    </w:p>
    <w:p>
      <w:pPr>
        <w:pStyle w:val="Heading2"/>
        <w:keepNext/>
      </w:pPr>
      <w:r>
        <w:rPr>
          <w:rFonts w:ascii="Arial" w:hAnsi="Arial" w:eastAsia="Arial"/>
          <w:b/>
          <w:color w:val="2E74B5"/>
        </w:rPr>
        <w:t>Operational outcomes</w:t>
      </w:r>
    </w:p>
    <w:p>
      <w:pPr>
        <w:pStyle w:val="ListBullet"/>
        <w:widowControl w:val="1"/>
      </w:pPr>
      <w:r>
        <w:rPr>
          <w:rFonts w:ascii="Arial" w:hAnsi="Arial" w:eastAsia="Arial"/>
          <w:color w:val="1C232B"/>
        </w:rPr>
        <w:t>Stopped the central source of the recurring configuration change.</w:t>
      </w:r>
    </w:p>
    <w:p>
      <w:pPr>
        <w:pStyle w:val="ListBullet"/>
        <w:widowControl w:val="1"/>
      </w:pPr>
      <w:r>
        <w:rPr>
          <w:rFonts w:ascii="Arial" w:hAnsi="Arial" w:eastAsia="Arial"/>
          <w:color w:val="1C232B"/>
        </w:rPr>
        <w:t>Prevented unnecessary device-level repair activity.</w:t>
      </w:r>
    </w:p>
    <w:p>
      <w:pPr>
        <w:pStyle w:val="ListBullet"/>
        <w:widowControl w:val="1"/>
      </w:pPr>
      <w:r>
        <w:rPr>
          <w:rFonts w:ascii="Arial" w:hAnsi="Arial" w:eastAsia="Arial"/>
          <w:color w:val="1C232B"/>
        </w:rPr>
        <w:t>Created an evidence-based record suitable for operations, leadership, and follow-up review.</w:t>
      </w:r>
    </w:p>
    <w:p>
      <w:pPr>
        <w:pStyle w:val="Heading2"/>
        <w:keepNext/>
      </w:pPr>
      <w:r>
        <w:rPr>
          <w:rFonts w:ascii="Arial" w:hAnsi="Arial" w:eastAsia="Arial"/>
          <w:b/>
          <w:color w:val="2E74B5"/>
        </w:rPr>
        <w:t>ENS relevance</w:t>
      </w:r>
    </w:p>
    <w:p>
      <w:pPr>
        <w:widowControl w:val="1"/>
      </w:pPr>
      <w:r>
        <w:rPr>
          <w:rFonts w:ascii="Arial" w:hAnsi="Arial" w:eastAsia="Arial"/>
          <w:color w:val="1C232B"/>
        </w:rPr>
        <w:t>Demonstrates major-incident reasoning, root-cause analysis, corrective action, cross-team communication, evidence quality, and understanding of distributed change propagation.</w:t>
      </w:r>
    </w:p>
    <w:p>
      <w:pPr>
        <w:pStyle w:val="Heading2"/>
        <w:keepNext/>
      </w:pPr>
      <w:r>
        <w:rPr>
          <w:rFonts w:ascii="Arial" w:hAnsi="Arial" w:eastAsia="Arial"/>
          <w:b/>
          <w:color w:val="2E74B5"/>
        </w:rPr>
        <w:t>Sanitized documentation excerpt</w:t>
      </w:r>
    </w:p>
    <w:p>
      <w:pPr>
        <w:pStyle w:val="Callout"/>
      </w:pPr>
      <w:r>
        <w:rPr>
          <w:rFonts w:ascii="Arial" w:hAnsi="Arial" w:eastAsia="Arial"/>
          <w:i/>
          <w:color w:val="0B2545"/>
          <w:sz w:val="22"/>
        </w:rPr>
        <w:t>"Correlate central policy configuration with client-side transcripts, event logs, registry evidence, and device timelines. Document the change time, affected population, recovery behavior, and expected client check-in delay."</w:t>
      </w:r>
    </w:p>
    <w:p>
      <w:r>
        <w:br w:type="page"/>
      </w:r>
    </w:p>
    <w:p>
      <w:pPr>
        <w:pStyle w:val="Heading1"/>
        <w:keepNext/>
      </w:pPr>
      <w:r>
        <w:rPr>
          <w:rFonts w:ascii="Arial" w:hAnsi="Arial" w:eastAsia="Arial"/>
          <w:b/>
          <w:color w:val="2E74B5"/>
        </w:rPr>
        <w:t>CASE STUDY 4 | ENTERPRISE MODERNIZATION &amp; DIGITAL TRANSFORMATION</w:t>
      </w:r>
    </w:p>
    <w:p>
      <w:pPr>
        <w:widowControl w:val="1"/>
      </w:pPr>
      <w:r>
        <w:rPr>
          <w:rFonts w:ascii="Arial" w:hAnsi="Arial" w:eastAsia="Arial"/>
          <w:color w:val="1C232B"/>
        </w:rPr>
        <w:t>My modernization work focuses on replacing fragmented or manual processes with integrated controls that improve security, visibility, supportability, and operational consistency.</w:t>
      </w:r>
    </w:p>
    <w:p>
      <w:pPr>
        <w:pStyle w:val="Heading2"/>
        <w:keepNext/>
      </w:pPr>
      <w:r>
        <w:rPr>
          <w:rFonts w:ascii="Arial" w:hAnsi="Arial" w:eastAsia="Arial"/>
          <w:b/>
          <w:color w:val="2E74B5"/>
        </w:rPr>
        <w:t>Microsoft Defender migration</w:t>
      </w:r>
    </w:p>
    <w:p>
      <w:pPr>
        <w:widowControl w:val="1"/>
      </w:pPr>
      <w:r>
        <w:rPr>
          <w:rFonts w:ascii="Arial" w:hAnsi="Arial" w:eastAsia="Arial"/>
          <w:color w:val="1C232B"/>
        </w:rPr>
        <w:t>Helped transition enterprise endpoint protection from Symantec to Microsoft Defender, expanding centralized security visibility and aligning endpoint response with Microsoft identity and cloud controls.</w:t>
      </w:r>
    </w:p>
    <w:p>
      <w:pPr>
        <w:pStyle w:val="Heading2"/>
        <w:keepNext/>
      </w:pPr>
      <w:r>
        <w:rPr>
          <w:rFonts w:ascii="Arial" w:hAnsi="Arial" w:eastAsia="Arial"/>
          <w:b/>
          <w:color w:val="2E74B5"/>
        </w:rPr>
        <w:t>Microsoft Intune deployment</w:t>
      </w:r>
    </w:p>
    <w:p>
      <w:pPr>
        <w:widowControl w:val="1"/>
      </w:pPr>
      <w:r>
        <w:rPr>
          <w:rFonts w:ascii="Arial" w:hAnsi="Arial" w:eastAsia="Arial"/>
          <w:color w:val="1C232B"/>
        </w:rPr>
        <w:t>Implemented modern management practices across a large mixed device estate, including one-to-one and cellular deployments, configuration policies, compliance controls, remediation engineering, and evidence-based diagnostics.</w:t>
      </w:r>
    </w:p>
    <w:p>
      <w:pPr>
        <w:pStyle w:val="Heading2"/>
        <w:keepNext/>
      </w:pPr>
      <w:r>
        <w:rPr>
          <w:rFonts w:ascii="Arial" w:hAnsi="Arial" w:eastAsia="Arial"/>
          <w:b/>
          <w:color w:val="2E74B5"/>
        </w:rPr>
        <w:t>Network redesign</w:t>
      </w:r>
    </w:p>
    <w:p>
      <w:pPr>
        <w:widowControl w:val="1"/>
      </w:pPr>
      <w:r>
        <w:rPr>
          <w:rFonts w:ascii="Arial" w:hAnsi="Arial" w:eastAsia="Arial"/>
          <w:color w:val="1C232B"/>
        </w:rPr>
        <w:t>Contributed to multi-site network modernization using Palo Alto high availability, Aruba core/access switching, segmentation, and clearly defined trusted, untrusted, IoT, data, and telecommunications boundaries.</w:t>
      </w:r>
    </w:p>
    <w:p>
      <w:pPr>
        <w:pStyle w:val="Heading2"/>
        <w:keepNext/>
      </w:pPr>
      <w:r>
        <w:rPr>
          <w:rFonts w:ascii="Arial" w:hAnsi="Arial" w:eastAsia="Arial"/>
          <w:b/>
          <w:color w:val="2E74B5"/>
        </w:rPr>
        <w:t>Secure printing</w:t>
      </w:r>
    </w:p>
    <w:p>
      <w:pPr>
        <w:widowControl w:val="1"/>
      </w:pPr>
      <w:r>
        <w:rPr>
          <w:rFonts w:ascii="Arial" w:hAnsi="Arial" w:eastAsia="Arial"/>
          <w:color w:val="1C232B"/>
        </w:rPr>
        <w:t>Supported countywide PaperCut secure printing and Follow-Me workflows, balancing service availability, driver compatibility, deployment sequencing, and controlled release.</w:t>
      </w:r>
    </w:p>
    <w:p>
      <w:pPr>
        <w:pStyle w:val="Heading2"/>
        <w:keepNext/>
      </w:pPr>
      <w:r>
        <w:rPr>
          <w:rFonts w:ascii="Arial" w:hAnsi="Arial" w:eastAsia="Arial"/>
          <w:b/>
          <w:color w:val="2E74B5"/>
        </w:rPr>
        <w:t>Identity and access modernization</w:t>
      </w:r>
    </w:p>
    <w:p>
      <w:pPr>
        <w:widowControl w:val="1"/>
      </w:pPr>
      <w:r>
        <w:rPr>
          <w:rFonts w:ascii="Arial" w:hAnsi="Arial" w:eastAsia="Arial"/>
          <w:color w:val="1C232B"/>
        </w:rPr>
        <w:t>Implemented ClassLink LaunchPad, OneSync staff/student automation, MFA, passkey/FIDO2 planning, Conditional Access, and tiered administrative controls.</w:t>
      </w:r>
    </w:p>
    <w:p>
      <w:pPr>
        <w:pStyle w:val="Heading2"/>
        <w:keepNext/>
      </w:pPr>
      <w:r>
        <w:rPr>
          <w:rFonts w:ascii="Arial" w:hAnsi="Arial" w:eastAsia="Arial"/>
          <w:b/>
          <w:color w:val="2E74B5"/>
        </w:rPr>
        <w:t>Monitoring and alerting</w:t>
      </w:r>
    </w:p>
    <w:p>
      <w:pPr>
        <w:widowControl w:val="1"/>
      </w:pPr>
      <w:r>
        <w:rPr>
          <w:rFonts w:ascii="Arial" w:hAnsi="Arial" w:eastAsia="Arial"/>
          <w:color w:val="1C232B"/>
        </w:rPr>
        <w:t>Modernized SolarWinds monitoring and reporting, including Microsoft Graph-based alert delivery and operational reporting across network and Windows infrastructure.</w:t>
      </w:r>
    </w:p>
    <w:p>
      <w:pPr>
        <w:pStyle w:val="Heading1"/>
        <w:keepNext/>
      </w:pPr>
      <w:r>
        <w:rPr>
          <w:rFonts w:ascii="Arial" w:hAnsi="Arial" w:eastAsia="Arial"/>
          <w:b/>
          <w:color w:val="2E74B5"/>
        </w:rPr>
        <w:t>PROGRAM LEADERSHIP PATTERN</w:t>
      </w:r>
    </w:p>
    <w:p>
      <w:pPr>
        <w:pStyle w:val="ListBullet"/>
        <w:widowControl w:val="1"/>
      </w:pPr>
      <w:r>
        <w:rPr>
          <w:rFonts w:ascii="Arial" w:hAnsi="Arial" w:eastAsia="Arial"/>
          <w:color w:val="1C232B"/>
        </w:rPr>
        <w:t>Define the business and operational problem before selecting a technical response.</w:t>
      </w:r>
    </w:p>
    <w:p>
      <w:pPr>
        <w:pStyle w:val="ListBullet"/>
        <w:widowControl w:val="1"/>
      </w:pPr>
      <w:r>
        <w:rPr>
          <w:rFonts w:ascii="Arial" w:hAnsi="Arial" w:eastAsia="Arial"/>
          <w:color w:val="1C232B"/>
        </w:rPr>
        <w:t>Identify dependencies across identity, network, endpoints, servers, applications, vendors, and support teams.</w:t>
      </w:r>
    </w:p>
    <w:p>
      <w:pPr>
        <w:pStyle w:val="ListBullet"/>
        <w:widowControl w:val="1"/>
      </w:pPr>
      <w:r>
        <w:rPr>
          <w:rFonts w:ascii="Arial" w:hAnsi="Arial" w:eastAsia="Arial"/>
          <w:color w:val="1C232B"/>
        </w:rPr>
        <w:t>Establish pilots, validation criteria, rollback triggers, monitoring, and evidence-retention expectations.</w:t>
      </w:r>
    </w:p>
    <w:p>
      <w:pPr>
        <w:pStyle w:val="ListBullet"/>
        <w:widowControl w:val="1"/>
      </w:pPr>
      <w:r>
        <w:rPr>
          <w:rFonts w:ascii="Arial" w:hAnsi="Arial" w:eastAsia="Arial"/>
          <w:color w:val="1C232B"/>
        </w:rPr>
        <w:t>Translate technical risk into executive decisions, implementation timelines, and clear ownership.</w:t>
      </w:r>
    </w:p>
    <w:p>
      <w:pPr>
        <w:pStyle w:val="ListBullet"/>
        <w:widowControl w:val="1"/>
      </w:pPr>
      <w:r>
        <w:rPr>
          <w:rFonts w:ascii="Arial" w:hAnsi="Arial" w:eastAsia="Arial"/>
          <w:color w:val="1C232B"/>
        </w:rPr>
        <w:t>Close the project with support documentation, training, acceptance records, and follow-up metrics.</w:t>
      </w:r>
    </w:p>
    <w:p>
      <w:r>
        <w:br w:type="page"/>
      </w:r>
    </w:p>
    <w:p>
      <w:pPr>
        <w:pStyle w:val="Heading1"/>
        <w:keepNext/>
      </w:pPr>
      <w:r>
        <w:rPr>
          <w:rFonts w:ascii="Arial" w:hAnsi="Arial" w:eastAsia="Arial"/>
          <w:b/>
          <w:color w:val="2E74B5"/>
        </w:rPr>
        <w:t>DOCUMENTATION AS AN OPERATIONAL CONTROL</w:t>
      </w:r>
    </w:p>
    <w:p>
      <w:pPr>
        <w:widowControl w:val="1"/>
      </w:pPr>
      <w:r>
        <w:rPr>
          <w:rFonts w:ascii="Arial" w:hAnsi="Arial" w:eastAsia="Arial"/>
          <w:color w:val="1C232B"/>
        </w:rPr>
        <w:t>I write for operators who need exact recovery steps, executives who need decisions and timelines, support teams who need safe procedures, and investigators who need an evidence-based record. The excerpts below are sanitized to remove production identifiers, credentials, hostnames, personal data, and internal-only details.</w:t>
      </w:r>
    </w:p>
    <w:p>
      <w:pPr>
        <w:pStyle w:val="Heading2"/>
        <w:keepNext/>
      </w:pPr>
      <w:r>
        <w:rPr>
          <w:rFonts w:ascii="Arial" w:hAnsi="Arial" w:eastAsia="Arial"/>
          <w:b/>
          <w:color w:val="2E74B5"/>
        </w:rPr>
        <w:t>Operations runbook | Recovery priorities</w:t>
      </w:r>
    </w:p>
    <w:p>
      <w:pPr>
        <w:pStyle w:val="Callout"/>
      </w:pPr>
      <w:r>
        <w:rPr>
          <w:rFonts w:ascii="Arial" w:hAnsi="Arial" w:eastAsia="Arial"/>
          <w:i/>
          <w:color w:val="0B2545"/>
          <w:sz w:val="21"/>
        </w:rPr>
        <w:t>"Contain unsafe activity. Preserve the newest CSV and transcript evidence. Restore identity and certificate trust. Restore controlled code and configuration. Validate in WhatIf and limited pilot modes. Enable the scheduled task only after acceptance checks pass."</w:t>
      </w:r>
    </w:p>
    <w:p>
      <w:pPr>
        <w:pStyle w:val="Heading2"/>
        <w:keepNext/>
      </w:pPr>
      <w:r>
        <w:rPr>
          <w:rFonts w:ascii="Arial" w:hAnsi="Arial" w:eastAsia="Arial"/>
          <w:b/>
          <w:color w:val="2E74B5"/>
        </w:rPr>
        <w:t>Executive brief | Authentication retirement</w:t>
      </w:r>
    </w:p>
    <w:p>
      <w:pPr>
        <w:pStyle w:val="Callout"/>
      </w:pPr>
      <w:r>
        <w:rPr>
          <w:rFonts w:ascii="Arial" w:hAnsi="Arial" w:eastAsia="Arial"/>
          <w:i/>
          <w:color w:val="0B2545"/>
          <w:sz w:val="21"/>
        </w:rPr>
        <w:t>"Inventory affected accounts; segment users by operational need; pilot phishing-resistant methods; roll out by department or school; track registration weekly; document exceptions; and complete final readiness validation before enforcement."</w:t>
      </w:r>
    </w:p>
    <w:p>
      <w:pPr>
        <w:pStyle w:val="Heading2"/>
        <w:keepNext/>
      </w:pPr>
      <w:r>
        <w:rPr>
          <w:rFonts w:ascii="Arial" w:hAnsi="Arial" w:eastAsia="Arial"/>
          <w:b/>
          <w:color w:val="2E74B5"/>
        </w:rPr>
        <w:t>Technical investigation | Policy-driven endpoint behavior</w:t>
      </w:r>
    </w:p>
    <w:p>
      <w:pPr>
        <w:pStyle w:val="Callout"/>
      </w:pPr>
      <w:r>
        <w:rPr>
          <w:rFonts w:ascii="Arial" w:hAnsi="Arial" w:eastAsia="Arial"/>
          <w:i/>
          <w:color w:val="0B2545"/>
          <w:sz w:val="21"/>
        </w:rPr>
        <w:t>"Finding: the remediation policy was actively reapplying a registry setting. Evidence from multiple devices showed the behavior originated from the policy's detection and remediation scripts. Action: disable the central policy and monitor subsequent device check-ins."</w:t>
      </w:r>
    </w:p>
    <w:p>
      <w:pPr>
        <w:pStyle w:val="Heading2"/>
        <w:keepNext/>
      </w:pPr>
      <w:r>
        <w:rPr>
          <w:rFonts w:ascii="Arial" w:hAnsi="Arial" w:eastAsia="Arial"/>
          <w:b/>
          <w:color w:val="2E74B5"/>
        </w:rPr>
        <w:t>Program proposal | Security awareness</w:t>
      </w:r>
    </w:p>
    <w:p>
      <w:pPr>
        <w:pStyle w:val="Callout"/>
      </w:pPr>
      <w:r>
        <w:rPr>
          <w:rFonts w:ascii="Arial" w:hAnsi="Arial" w:eastAsia="Arial"/>
          <w:i/>
          <w:color w:val="0B2545"/>
          <w:sz w:val="21"/>
        </w:rPr>
        <w:t>"Train staff to use the Phish Alert Button. Announce and conduct a practice phishing exercise. Begin monthly simulated phishing campaigns. Assign short quarterly training modules. Review metrics monthly and provide leadership with quarterly trend summaries."</w:t>
      </w:r>
    </w:p>
    <w:p>
      <w:pPr>
        <w:pStyle w:val="Heading2"/>
        <w:keepNext/>
      </w:pPr>
      <w:r>
        <w:rPr>
          <w:rFonts w:ascii="Arial" w:hAnsi="Arial" w:eastAsia="Arial"/>
          <w:b/>
          <w:color w:val="2E74B5"/>
        </w:rPr>
        <w:t>Knowledge base | Troubleshooting method</w:t>
      </w:r>
    </w:p>
    <w:p>
      <w:pPr>
        <w:pStyle w:val="Callout"/>
      </w:pPr>
      <w:r>
        <w:rPr>
          <w:rFonts w:ascii="Arial" w:hAnsi="Arial" w:eastAsia="Arial"/>
          <w:i/>
          <w:color w:val="0B2545"/>
          <w:sz w:val="21"/>
        </w:rPr>
        <w:t>"Start with symptom and scope, verify the user and device state, collect the minimum useful evidence, apply the safest supported fix, validate the result, and record escalation criteria."</w:t>
      </w:r>
    </w:p>
    <w:p>
      <w:pPr>
        <w:pStyle w:val="Heading1"/>
        <w:keepNext/>
      </w:pPr>
      <w:r>
        <w:rPr>
          <w:rFonts w:ascii="Arial" w:hAnsi="Arial" w:eastAsia="Arial"/>
          <w:b/>
          <w:color w:val="2E74B5"/>
        </w:rPr>
        <w:t>DOCUMENT TYPES DELIVERED</w:t>
      </w:r>
    </w:p>
    <w:p>
      <w:pPr>
        <w:pStyle w:val="ListBullet"/>
        <w:widowControl w:val="1"/>
      </w:pPr>
      <w:r>
        <w:rPr>
          <w:rFonts w:ascii="Arial" w:hAnsi="Arial" w:eastAsia="Arial"/>
          <w:color w:val="1C232B"/>
        </w:rPr>
        <w:t>Infrastructure and automation runbooks, installation guides, commissioning records, and disaster-recovery procedures.</w:t>
      </w:r>
    </w:p>
    <w:p>
      <w:pPr>
        <w:pStyle w:val="ListBullet"/>
        <w:widowControl w:val="1"/>
      </w:pPr>
      <w:r>
        <w:rPr>
          <w:rFonts w:ascii="Arial" w:hAnsi="Arial" w:eastAsia="Arial"/>
          <w:color w:val="1C232B"/>
        </w:rPr>
        <w:t>Incident summaries, root-cause analyses, evidence timelines, remediation packages, and troubleshooting matrices.</w:t>
      </w:r>
    </w:p>
    <w:p>
      <w:pPr>
        <w:pStyle w:val="ListBullet"/>
        <w:widowControl w:val="1"/>
      </w:pPr>
      <w:r>
        <w:rPr>
          <w:rFonts w:ascii="Arial" w:hAnsi="Arial" w:eastAsia="Arial"/>
          <w:color w:val="1C232B"/>
        </w:rPr>
        <w:t>Executive proposals, risk briefs, implementation timelines, user communications, and program metrics.</w:t>
      </w:r>
    </w:p>
    <w:p>
      <w:pPr>
        <w:pStyle w:val="ListBullet"/>
        <w:widowControl w:val="1"/>
      </w:pPr>
      <w:r>
        <w:rPr>
          <w:rFonts w:ascii="Arial" w:hAnsi="Arial" w:eastAsia="Arial"/>
          <w:color w:val="1C232B"/>
        </w:rPr>
        <w:t>Knowledge-base articles for authentication, passkeys, Microsoft Authenticator, Mitel/ShoreTel, endpoint issues, and service support.</w:t>
      </w:r>
    </w:p>
    <w:p>
      <w:pPr>
        <w:pStyle w:val="ListBullet"/>
        <w:widowControl w:val="1"/>
      </w:pPr>
      <w:r>
        <w:rPr>
          <w:rFonts w:ascii="Arial" w:hAnsi="Arial" w:eastAsia="Arial"/>
          <w:color w:val="1C232B"/>
        </w:rPr>
        <w:t>PowerShell audit and automation scripts, Microsoft 365 investigation queries, monitoring reports, and operational acceptance checks.</w:t>
      </w:r>
    </w:p>
    <w:p>
      <w:r>
        <w:br w:type="page"/>
      </w:r>
    </w:p>
    <w:p>
      <w:pPr>
        <w:pStyle w:val="Heading1"/>
        <w:keepNext/>
      </w:pPr>
      <w:r>
        <w:rPr>
          <w:rFonts w:ascii="Arial" w:hAnsi="Arial" w:eastAsia="Arial"/>
          <w:b/>
          <w:color w:val="2E74B5"/>
        </w:rPr>
        <w:t>AI-ENABLED OPERATIONS PRACTICE</w:t>
      </w:r>
    </w:p>
    <w:p>
      <w:pPr>
        <w:widowControl w:val="1"/>
      </w:pPr>
      <w:r>
        <w:rPr>
          <w:rFonts w:ascii="Arial" w:hAnsi="Arial" w:eastAsia="Arial"/>
          <w:color w:val="1C232B"/>
        </w:rPr>
        <w:t>I use AI as an engineering accelerator—not as an unreviewed authority. The goal is to reduce time spent structuring research, drafting repeatable documentation, comparing evidence, and identifying automation opportunities while preserving human accountability.</w:t>
      </w:r>
    </w:p>
    <w:p>
      <w:pPr>
        <w:pStyle w:val="ListBullet"/>
        <w:widowControl w:val="1"/>
      </w:pPr>
      <w:r>
        <w:rPr>
          <w:rFonts w:ascii="Arial" w:hAnsi="Arial" w:eastAsia="Arial"/>
          <w:color w:val="1C232B"/>
        </w:rPr>
        <w:t>Prompt and context engineering: structure complex infrastructure, security, and operational questions with explicit scope, evidence, constraints, and desired output.</w:t>
      </w:r>
    </w:p>
    <w:p>
      <w:pPr>
        <w:pStyle w:val="ListBullet"/>
        <w:widowControl w:val="1"/>
      </w:pPr>
      <w:r>
        <w:rPr>
          <w:rFonts w:ascii="Arial" w:hAnsi="Arial" w:eastAsia="Arial"/>
          <w:color w:val="1C232B"/>
        </w:rPr>
        <w:t>Human-in-the-loop validation: verify technical claims against logs, configuration, vendor documentation, test results, and operational experience before implementation.</w:t>
      </w:r>
    </w:p>
    <w:p>
      <w:pPr>
        <w:pStyle w:val="ListBullet"/>
        <w:widowControl w:val="1"/>
      </w:pPr>
      <w:r>
        <w:rPr>
          <w:rFonts w:ascii="Arial" w:hAnsi="Arial" w:eastAsia="Arial"/>
          <w:color w:val="1C232B"/>
        </w:rPr>
        <w:t>Responsible use: remove sensitive production data, review outputs for accuracy and bias, and keep change approval and execution with accountable personnel.</w:t>
      </w:r>
    </w:p>
    <w:p>
      <w:pPr>
        <w:pStyle w:val="ListBullet"/>
        <w:widowControl w:val="1"/>
      </w:pPr>
      <w:r>
        <w:rPr>
          <w:rFonts w:ascii="Arial" w:hAnsi="Arial" w:eastAsia="Arial"/>
          <w:color w:val="1C232B"/>
        </w:rPr>
        <w:t>Workflow redesign: identify repeatable analysis, documentation, reporting, and triage activities that can be accelerated through AI-assisted methods or conventional automation.</w:t>
      </w:r>
    </w:p>
    <w:p>
      <w:pPr>
        <w:pStyle w:val="ListBullet"/>
        <w:widowControl w:val="1"/>
      </w:pPr>
      <w:r>
        <w:rPr>
          <w:rFonts w:ascii="Arial" w:hAnsi="Arial" w:eastAsia="Arial"/>
          <w:color w:val="1C232B"/>
        </w:rPr>
        <w:t>Continuous learning: track emerging AI capabilities and evaluate where they can improve operational quality, speed, and reliability without weakening controls.</w:t>
      </w:r>
    </w:p>
    <w:p>
      <w:pPr>
        <w:pStyle w:val="Heading1"/>
        <w:keepNext/>
      </w:pPr>
      <w:r>
        <w:rPr>
          <w:rFonts w:ascii="Arial" w:hAnsi="Arial" w:eastAsia="Arial"/>
          <w:b/>
          <w:color w:val="2E74B5"/>
        </w:rPr>
        <w:t>SECURITY, COMPLIANCE &amp; BUSINESS CONTINUITY</w:t>
      </w:r>
    </w:p>
    <w:p>
      <w:pPr>
        <w:pStyle w:val="ListBullet"/>
        <w:widowControl w:val="1"/>
      </w:pPr>
      <w:r>
        <w:rPr>
          <w:rFonts w:ascii="Arial" w:hAnsi="Arial" w:eastAsia="Arial"/>
          <w:color w:val="1C232B"/>
        </w:rPr>
        <w:t>CJIS/GCIC: segmented access, restricted administrative paths, audit readiness, secure printing, and GBI inspection support.</w:t>
      </w:r>
    </w:p>
    <w:p>
      <w:pPr>
        <w:pStyle w:val="ListBullet"/>
        <w:widowControl w:val="1"/>
      </w:pPr>
      <w:r>
        <w:rPr>
          <w:rFonts w:ascii="Arial" w:hAnsi="Arial" w:eastAsia="Arial"/>
          <w:color w:val="1C232B"/>
        </w:rPr>
        <w:t>Education and privacy: FERPA, CIPA, COPPA, identity governance, data protection, access controls, and defensible documentation.</w:t>
      </w:r>
    </w:p>
    <w:p>
      <w:pPr>
        <w:pStyle w:val="ListBullet"/>
        <w:widowControl w:val="1"/>
      </w:pPr>
      <w:r>
        <w:rPr>
          <w:rFonts w:ascii="Arial" w:hAnsi="Arial" w:eastAsia="Arial"/>
          <w:color w:val="1C232B"/>
        </w:rPr>
        <w:t>Enterprise security: least privilege, privileged-access tiers, MFA, passkeys/FIDO2, Conditional Access, endpoint protection, network segmentation, logging, and vulnerability remediation.</w:t>
      </w:r>
    </w:p>
    <w:p>
      <w:pPr>
        <w:pStyle w:val="ListBullet"/>
        <w:widowControl w:val="1"/>
      </w:pPr>
      <w:r>
        <w:rPr>
          <w:rFonts w:ascii="Arial" w:hAnsi="Arial" w:eastAsia="Arial"/>
          <w:color w:val="1C232B"/>
        </w:rPr>
        <w:t>Continuity: disaster-recovery procedures, winter-weather planning, certificate lifecycle management, rollback controls, configuration backups, monitoring, and recovery validation.</w:t>
      </w:r>
    </w:p>
    <w:p>
      <w:pPr>
        <w:pStyle w:val="ListBullet"/>
        <w:widowControl w:val="1"/>
      </w:pPr>
      <w:r>
        <w:rPr>
          <w:rFonts w:ascii="Arial" w:hAnsi="Arial" w:eastAsia="Arial"/>
          <w:color w:val="1C232B"/>
        </w:rPr>
        <w:t>Change assurance: pilots, acceptance criteria, evidence retention, corrective action, owner assignment, and executive communication.</w:t>
      </w:r>
    </w:p>
    <w:p>
      <w:pPr>
        <w:pStyle w:val="Heading1"/>
        <w:keepNext/>
      </w:pPr>
      <w:r>
        <w:rPr>
          <w:rFonts w:ascii="Arial" w:hAnsi="Arial" w:eastAsia="Arial"/>
          <w:b/>
          <w:color w:val="2E74B5"/>
        </w:rPr>
        <w:t>EDUCATION &amp; CREDENTIALS</w:t>
      </w:r>
    </w:p>
    <w:p>
      <w:pPr>
        <w:widowControl w:val="1"/>
      </w:pPr>
      <w:r>
        <w:rPr>
          <w:rFonts w:ascii="Arial" w:hAnsi="Arial" w:eastAsia="Arial"/>
          <w:color w:val="1C232B"/>
        </w:rPr>
        <w:t>Bachelor of Science, Cybersecurity and Information Assurance - Western Governors University (in progress; expected July 2027)</w:t>
      </w:r>
    </w:p>
    <w:p>
      <w:pPr>
        <w:widowControl w:val="1"/>
      </w:pPr>
      <w:r>
        <w:rPr>
          <w:rFonts w:ascii="Arial" w:hAnsi="Arial" w:eastAsia="Arial"/>
          <w:color w:val="1C232B"/>
        </w:rPr>
        <w:t>Associate of Applied Science, Electronics Technology (Telecommunications Specialty) - Augusta Technical College</w:t>
      </w:r>
    </w:p>
    <w:p>
      <w:pPr>
        <w:widowControl w:val="1"/>
      </w:pPr>
      <w:r>
        <w:rPr>
          <w:rFonts w:ascii="Arial" w:hAnsi="Arial" w:eastAsia="Arial"/>
          <w:color w:val="1C232B"/>
        </w:rPr>
        <w:t>CompTIA Security+ | Network+ | A+ | IT Operations Specialist | Secure Infrastructure Specialist</w:t>
      </w:r>
    </w:p>
    <w:p>
      <w:pPr>
        <w:widowControl w:val="1"/>
      </w:pPr>
      <w:r>
        <w:rPr>
          <w:rFonts w:ascii="Arial" w:hAnsi="Arial" w:eastAsia="Arial"/>
          <w:color w:val="1C232B"/>
        </w:rPr>
        <w:t>Additional technical training: Palo Alto firewall implementation; HP self-maintainer; Dell computer and server repair</w:t>
      </w:r>
    </w:p>
    <w:p>
      <w:pPr>
        <w:pStyle w:val="Heading1"/>
        <w:keepNext/>
      </w:pPr>
      <w:r>
        <w:rPr>
          <w:rFonts w:ascii="Arial" w:hAnsi="Arial" w:eastAsia="Arial"/>
          <w:b/>
          <w:color w:val="2E74B5"/>
        </w:rPr>
        <w:t>CONTACT</w:t>
      </w:r>
    </w:p>
    <w:p>
      <w:pPr>
        <w:widowControl w:val="1"/>
      </w:pPr>
      <w:r>
        <w:rPr>
          <w:rFonts w:ascii="Arial" w:hAnsi="Arial" w:eastAsia="Arial"/>
          <w:color w:val="1C232B"/>
        </w:rPr>
        <w:t>Thomas Strand | Hephzibah, Georgia | (706) 526-7846 | ttcstrand@gmail.com</w:t>
      </w:r>
    </w:p>
    <w:p>
      <w:pPr>
        <w:pStyle w:val="Callout"/>
      </w:pPr>
      <w:r>
        <w:rPr>
          <w:rFonts w:ascii="Arial" w:hAnsi="Arial" w:eastAsia="Arial"/>
          <w:b/>
          <w:i/>
          <w:color w:val="0B2545"/>
          <w:sz w:val="21"/>
        </w:rPr>
        <w:t>Target role: Network Engineer, ENS Strategic Lead - Edge and Network Services, Meta, Aiken, South Carolina</w:t>
      </w:r>
    </w:p>
    <w:sectPr w:rsidR="00FC693F" w:rsidRPr="0006063C" w:rsidSect="00034616">
      <w:headerReference w:type="default" r:id="rId9"/>
      <w:footerReference w:type="default" r:id="rId10"/>
      <w:pgSz w:w="12240" w:h="15840"/>
      <w:pgMar w:top="1123" w:right="1267" w:bottom="1123" w:left="1267"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Arial"/>
        <w:color w:val="59626C"/>
        <w:sz w:val="17"/>
      </w:rPr>
      <w:t xml:space="preserve">Sanitized Portfolio | July 2026  |  </w:t>
    </w:r>
    <w:r>
      <w:rPr>
        <w:rFonts w:ascii="Arial" w:hAnsi="Arial" w:eastAsia="Arial"/>
        <w:color w:val="59626C"/>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Pr>
    <w:r>
      <w:rPr>
        <w:rFonts w:ascii="Arial" w:hAnsi="Arial" w:eastAsia="Arial"/>
        <w:b/>
        <w:color w:val="59626C"/>
        <w:sz w:val="17"/>
      </w:rPr>
      <w:t>THOMAS STRAND | META ENS STRATEGIC LEAD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9" w:lineRule="auto"/>
    </w:pPr>
    <w:rPr>
      <w:rFonts w:ascii="Arial" w:hAnsi="Arial"/>
      <w:color w:val="1C23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59" w:lineRule="auto"/>
      <w:ind w:left="605" w:hanging="302"/>
      <w:contextualSpacing/>
    </w:pPr>
    <w:rPr>
      <w:rFonts w:ascii="Arial" w:hAnsi="Arial"/>
      <w:sz w:val="21"/>
    </w:rPr>
  </w:style>
  <w:style w:type="paragraph" w:styleId="ListBullet2">
    <w:name w:val="List Bullet 2"/>
    <w:basedOn w:val="Normal"/>
    <w:uiPriority w:val="99"/>
    <w:unhideWhenUsed/>
    <w:rsid w:val="00326F90"/>
    <w:pPr>
      <w:numPr>
        <w:numId w:val="2"/>
      </w:numPr>
      <w:spacing w:before="0" w:after="80" w:line="259" w:lineRule="auto"/>
      <w:ind w:left="605" w:hanging="302"/>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Role">
    <w:name w:val="Resume Role"/>
    <w:pPr>
      <w:keepNext/>
      <w:spacing w:before="140" w:after="20"/>
    </w:pPr>
    <w:rPr>
      <w:rFonts w:ascii="Arial" w:hAnsi="Arial"/>
      <w:b/>
      <w:color w:val="0B2545"/>
      <w:sz w:val="22"/>
    </w:rPr>
  </w:style>
  <w:style w:type="paragraph" w:customStyle="1" w:styleId="ResumeMeta">
    <w:name w:val="Resume Meta"/>
    <w:pPr>
      <w:keepNext/>
      <w:spacing w:before="0" w:after="60"/>
    </w:pPr>
    <w:rPr>
      <w:rFonts w:ascii="Arial" w:hAnsi="Arial"/>
      <w:i/>
      <w:color w:val="59626C"/>
      <w:sz w:val="20"/>
    </w:rPr>
  </w:style>
  <w:style w:type="paragraph" w:customStyle="1" w:styleId="Callout">
    <w:name w:val="Callout"/>
    <w:pPr>
      <w:spacing w:before="100" w:after="160" w:line="259" w:lineRule="auto"/>
      <w:ind w:left="288" w:right="288"/>
    </w:pPr>
    <w:rPr>
      <w:rFonts w:ascii="Arial" w:hAnsi="Arial"/>
      <w:i/>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