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5"/>
        <w:gridCol w:w="6587"/>
      </w:tblGrid>
      <w:tr w:rsidR="002C701C" w:rsidRPr="00062AC0" w14:paraId="6AC41200" w14:textId="77777777" w:rsidTr="002C701C">
        <w:tc>
          <w:tcPr>
            <w:tcW w:w="2485" w:type="dxa"/>
            <w:shd w:val="clear" w:color="auto" w:fill="E6E6E6"/>
          </w:tcPr>
          <w:p w14:paraId="21E75401" w14:textId="77777777" w:rsidR="002C701C" w:rsidRPr="00062AC0" w:rsidRDefault="002C701C" w:rsidP="00CD7E52">
            <w:pPr>
              <w:spacing w:before="60" w:after="60"/>
              <w:rPr>
                <w:rFonts w:ascii="Arial" w:eastAsia="Times New Roman" w:hAnsi="Arial" w:cs="Arial"/>
                <w:kern w:val="16"/>
                <w:sz w:val="6"/>
                <w:szCs w:val="6"/>
                <w:lang w:val="en-GB" w:eastAsia="de-DE"/>
              </w:rPr>
            </w:pPr>
            <w:r w:rsidRPr="00062AC0">
              <w:rPr>
                <w:rFonts w:ascii="Arial" w:eastAsia="Times New Roman" w:hAnsi="Arial" w:cs="Arial"/>
                <w:kern w:val="16"/>
                <w:sz w:val="20"/>
                <w:szCs w:val="20"/>
                <w:lang w:val="en-GB" w:eastAsia="de-DE"/>
              </w:rPr>
              <w:t xml:space="preserve">Title of course </w:t>
            </w:r>
          </w:p>
        </w:tc>
        <w:tc>
          <w:tcPr>
            <w:tcW w:w="6587" w:type="dxa"/>
            <w:shd w:val="clear" w:color="auto" w:fill="E6E6E6"/>
          </w:tcPr>
          <w:p w14:paraId="428E5E4A" w14:textId="229EF731" w:rsidR="002C701C" w:rsidRPr="00F02507" w:rsidRDefault="002C701C" w:rsidP="00CD7E52">
            <w:pPr>
              <w:keepNext/>
              <w:spacing w:before="60" w:after="60"/>
              <w:outlineLvl w:val="0"/>
              <w:rPr>
                <w:rFonts w:ascii="Arial" w:eastAsia="Times New Roman" w:hAnsi="Arial" w:cs="Arial"/>
                <w:b/>
                <w:bCs/>
                <w:kern w:val="32"/>
                <w:sz w:val="20"/>
                <w:szCs w:val="32"/>
                <w:lang w:val="en-GB" w:eastAsia="de-DE"/>
              </w:rPr>
            </w:pPr>
            <w:bookmarkStart w:id="0" w:name="_Toc509992488"/>
            <w:bookmarkStart w:id="1" w:name="_Toc52952282"/>
            <w:r w:rsidRPr="00062AC0">
              <w:rPr>
                <w:rFonts w:ascii="Arial" w:eastAsia="Times New Roman" w:hAnsi="Arial" w:cs="Arial"/>
                <w:b/>
                <w:bCs/>
                <w:kern w:val="32"/>
                <w:sz w:val="20"/>
                <w:szCs w:val="32"/>
                <w:lang w:val="en-GB" w:eastAsia="de-DE"/>
              </w:rPr>
              <w:t xml:space="preserve">M3.B Investment </w:t>
            </w:r>
            <w:r w:rsidR="00A90B6C">
              <w:rPr>
                <w:rFonts w:ascii="Arial" w:eastAsia="Times New Roman" w:hAnsi="Arial" w:cs="Arial"/>
                <w:b/>
                <w:bCs/>
                <w:kern w:val="32"/>
                <w:sz w:val="20"/>
                <w:szCs w:val="32"/>
                <w:lang w:val="en-GB" w:eastAsia="de-DE"/>
              </w:rPr>
              <w:t>A</w:t>
            </w:r>
            <w:r w:rsidRPr="00062AC0">
              <w:rPr>
                <w:rFonts w:ascii="Arial" w:eastAsia="Times New Roman" w:hAnsi="Arial" w:cs="Arial"/>
                <w:b/>
                <w:bCs/>
                <w:kern w:val="32"/>
                <w:sz w:val="20"/>
                <w:szCs w:val="32"/>
                <w:lang w:val="en-GB" w:eastAsia="de-DE"/>
              </w:rPr>
              <w:t>ppraisal</w:t>
            </w:r>
            <w:bookmarkEnd w:id="0"/>
            <w:bookmarkEnd w:id="1"/>
          </w:p>
        </w:tc>
      </w:tr>
      <w:tr w:rsidR="002C701C" w:rsidRPr="00062AC0" w14:paraId="34757897" w14:textId="77777777" w:rsidTr="002C701C">
        <w:tc>
          <w:tcPr>
            <w:tcW w:w="2485" w:type="dxa"/>
          </w:tcPr>
          <w:p w14:paraId="7EF37106" w14:textId="77777777" w:rsidR="002C701C" w:rsidRPr="00F02507"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Responsible instructor</w:t>
            </w:r>
          </w:p>
        </w:tc>
        <w:tc>
          <w:tcPr>
            <w:tcW w:w="6587" w:type="dxa"/>
            <w:shd w:val="clear" w:color="auto" w:fill="auto"/>
          </w:tcPr>
          <w:p w14:paraId="5C43EA04" w14:textId="77777777" w:rsidR="002C701C" w:rsidRPr="00062AC0" w:rsidRDefault="002C701C" w:rsidP="00CD7E52">
            <w:pPr>
              <w:spacing w:before="60" w:after="60"/>
              <w:rPr>
                <w:rFonts w:ascii="Arial" w:eastAsia="Times New Roman" w:hAnsi="Arial" w:cs="Arial"/>
                <w:kern w:val="16"/>
                <w:sz w:val="6"/>
                <w:szCs w:val="6"/>
                <w:lang w:val="en-GB" w:eastAsia="de-DE"/>
              </w:rPr>
            </w:pPr>
            <w:r w:rsidRPr="00062AC0">
              <w:rPr>
                <w:rFonts w:ascii="Arial" w:eastAsia="Times New Roman" w:hAnsi="Arial" w:cs="Arial"/>
                <w:kern w:val="16"/>
                <w:sz w:val="20"/>
                <w:szCs w:val="20"/>
                <w:lang w:val="en-GB" w:eastAsia="de-DE"/>
              </w:rPr>
              <w:t>Prof Dr Peter Schuster</w:t>
            </w:r>
          </w:p>
        </w:tc>
      </w:tr>
      <w:tr w:rsidR="002C701C" w:rsidRPr="00162DE8" w14:paraId="0B18FDD8" w14:textId="77777777" w:rsidTr="002C701C">
        <w:tc>
          <w:tcPr>
            <w:tcW w:w="2485" w:type="dxa"/>
          </w:tcPr>
          <w:p w14:paraId="19A00A3B"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Learning objectives</w:t>
            </w:r>
          </w:p>
          <w:p w14:paraId="2BB536F4"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p>
        </w:tc>
        <w:tc>
          <w:tcPr>
            <w:tcW w:w="6587" w:type="dxa"/>
          </w:tcPr>
          <w:p w14:paraId="6209E6FC"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Understand investment planning and investment decision-making</w:t>
            </w:r>
          </w:p>
          <w:p w14:paraId="30EF422A"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Identify relevant methods of investment appraisal methods assuming a perfect and an imperfect capital market</w:t>
            </w:r>
          </w:p>
          <w:p w14:paraId="65CA1F52"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Compare the different investment appraisal methods particularly in regard to their underlying assumptions</w:t>
            </w:r>
          </w:p>
          <w:p w14:paraId="1620735E"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Illustrate the application of multiple criteria methods for investment decision-making</w:t>
            </w:r>
          </w:p>
          <w:p w14:paraId="75F6AA2C"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Describe simultaneous decision-making models linking investment and finance decisions</w:t>
            </w:r>
          </w:p>
          <w:p w14:paraId="12EB4FB3"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Implement complex investment appraisal methods to real-world examples relating to simple or complex tax regulations of companies</w:t>
            </w:r>
          </w:p>
          <w:p w14:paraId="685D474A"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Determine the optimum economic life, in different scenarios, by applying advanced investment appraisal methods</w:t>
            </w:r>
          </w:p>
          <w:p w14:paraId="5D84C3BD"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Demonstrate the use of investment appraisal methods at the example of investment replacement time decisions</w:t>
            </w:r>
          </w:p>
          <w:p w14:paraId="49560C0A"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Determine optimum investment timing strategies by applying investment appraisal methods</w:t>
            </w:r>
          </w:p>
          <w:p w14:paraId="0518C86F"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Solve complex decision problems of single projects under uncertainty</w:t>
            </w:r>
          </w:p>
          <w:p w14:paraId="22CDF3E9"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Solve complex decision problems of investment programmes under uncertainty</w:t>
            </w:r>
          </w:p>
          <w:p w14:paraId="52130437"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Examine and understand the corporate investment decision process and the limitations due to assumptions of various methods</w:t>
            </w:r>
          </w:p>
          <w:p w14:paraId="3E959244" w14:textId="77777777" w:rsidR="002C701C" w:rsidRPr="00F02507"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Critically evaluate the suitability of methods currently in practical company use and develop an understanding of how decisions can be improved and how the decision can be adapted to imperfect capital market situations</w:t>
            </w:r>
          </w:p>
        </w:tc>
      </w:tr>
      <w:tr w:rsidR="002C701C" w:rsidRPr="00162DE8" w14:paraId="2D3034DF" w14:textId="77777777" w:rsidTr="002C701C">
        <w:tc>
          <w:tcPr>
            <w:tcW w:w="2485" w:type="dxa"/>
          </w:tcPr>
          <w:p w14:paraId="58CEF15A"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Course contents</w:t>
            </w:r>
          </w:p>
          <w:p w14:paraId="160DF824"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p>
        </w:tc>
        <w:tc>
          <w:tcPr>
            <w:tcW w:w="6587" w:type="dxa"/>
          </w:tcPr>
          <w:p w14:paraId="30F54CE1"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t xml:space="preserve">1. The </w:t>
            </w:r>
            <w:r>
              <w:rPr>
                <w:rFonts w:ascii="Arial" w:eastAsia="Times New Roman" w:hAnsi="Arial" w:cs="Arial"/>
                <w:bCs/>
                <w:kern w:val="16"/>
                <w:sz w:val="20"/>
                <w:szCs w:val="20"/>
                <w:lang w:val="en-GB" w:eastAsia="de-DE"/>
              </w:rPr>
              <w:t>c</w:t>
            </w:r>
            <w:r w:rsidRPr="00C506D3">
              <w:rPr>
                <w:rFonts w:ascii="Arial" w:eastAsia="Times New Roman" w:hAnsi="Arial" w:cs="Arial"/>
                <w:bCs/>
                <w:kern w:val="16"/>
                <w:sz w:val="20"/>
                <w:szCs w:val="20"/>
                <w:lang w:val="en-GB" w:eastAsia="de-DE"/>
              </w:rPr>
              <w:t xml:space="preserve">apital </w:t>
            </w:r>
            <w:r>
              <w:rPr>
                <w:rFonts w:ascii="Arial" w:eastAsia="Times New Roman" w:hAnsi="Arial" w:cs="Arial"/>
                <w:bCs/>
                <w:kern w:val="16"/>
                <w:sz w:val="20"/>
                <w:szCs w:val="20"/>
                <w:lang w:val="en-GB" w:eastAsia="de-DE"/>
              </w:rPr>
              <w:t>b</w:t>
            </w:r>
            <w:r w:rsidRPr="00C506D3">
              <w:rPr>
                <w:rFonts w:ascii="Arial" w:eastAsia="Times New Roman" w:hAnsi="Arial" w:cs="Arial"/>
                <w:bCs/>
                <w:kern w:val="16"/>
                <w:sz w:val="20"/>
                <w:szCs w:val="20"/>
                <w:lang w:val="en-GB" w:eastAsia="de-DE"/>
              </w:rPr>
              <w:t xml:space="preserve">udgeting and </w:t>
            </w:r>
            <w:r>
              <w:rPr>
                <w:rFonts w:ascii="Arial" w:eastAsia="Times New Roman" w:hAnsi="Arial" w:cs="Arial"/>
                <w:bCs/>
                <w:kern w:val="16"/>
                <w:sz w:val="20"/>
                <w:szCs w:val="20"/>
                <w:lang w:val="en-GB" w:eastAsia="de-DE"/>
              </w:rPr>
              <w:t>i</w:t>
            </w:r>
            <w:r w:rsidRPr="00C506D3">
              <w:rPr>
                <w:rFonts w:ascii="Arial" w:eastAsia="Times New Roman" w:hAnsi="Arial" w:cs="Arial"/>
                <w:bCs/>
                <w:kern w:val="16"/>
                <w:sz w:val="20"/>
                <w:szCs w:val="20"/>
                <w:lang w:val="en-GB" w:eastAsia="de-DE"/>
              </w:rPr>
              <w:t xml:space="preserve">nvestment </w:t>
            </w:r>
            <w:r>
              <w:rPr>
                <w:rFonts w:ascii="Arial" w:eastAsia="Times New Roman" w:hAnsi="Arial" w:cs="Arial"/>
                <w:bCs/>
                <w:kern w:val="16"/>
                <w:sz w:val="20"/>
                <w:szCs w:val="20"/>
                <w:lang w:val="en-GB" w:eastAsia="de-DE"/>
              </w:rPr>
              <w:t>d</w:t>
            </w:r>
            <w:r w:rsidRPr="00C506D3">
              <w:rPr>
                <w:rFonts w:ascii="Arial" w:eastAsia="Times New Roman" w:hAnsi="Arial" w:cs="Arial"/>
                <w:bCs/>
                <w:kern w:val="16"/>
                <w:sz w:val="20"/>
                <w:szCs w:val="20"/>
                <w:lang w:val="en-GB" w:eastAsia="de-DE"/>
              </w:rPr>
              <w:t>ecisions: Introduction</w:t>
            </w:r>
          </w:p>
          <w:p w14:paraId="4D93185F"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t xml:space="preserve">2. Basic and </w:t>
            </w:r>
            <w:r>
              <w:rPr>
                <w:rFonts w:ascii="Arial" w:eastAsia="Times New Roman" w:hAnsi="Arial" w:cs="Arial"/>
                <w:bCs/>
                <w:kern w:val="16"/>
                <w:sz w:val="20"/>
                <w:szCs w:val="20"/>
                <w:lang w:val="en-GB" w:eastAsia="de-DE"/>
              </w:rPr>
              <w:t>a</w:t>
            </w:r>
            <w:r w:rsidRPr="00C506D3">
              <w:rPr>
                <w:rFonts w:ascii="Arial" w:eastAsia="Times New Roman" w:hAnsi="Arial" w:cs="Arial"/>
                <w:bCs/>
                <w:kern w:val="16"/>
                <w:sz w:val="20"/>
                <w:szCs w:val="20"/>
                <w:lang w:val="en-GB" w:eastAsia="de-DE"/>
              </w:rPr>
              <w:t xml:space="preserve">dvanced </w:t>
            </w:r>
            <w:r>
              <w:rPr>
                <w:rFonts w:ascii="Arial" w:eastAsia="Times New Roman" w:hAnsi="Arial" w:cs="Arial"/>
                <w:bCs/>
                <w:kern w:val="16"/>
                <w:sz w:val="20"/>
                <w:szCs w:val="20"/>
                <w:lang w:val="en-GB" w:eastAsia="de-DE"/>
              </w:rPr>
              <w:t>m</w:t>
            </w:r>
            <w:r w:rsidRPr="00C506D3">
              <w:rPr>
                <w:rFonts w:ascii="Arial" w:eastAsia="Times New Roman" w:hAnsi="Arial" w:cs="Arial"/>
                <w:bCs/>
                <w:kern w:val="16"/>
                <w:sz w:val="20"/>
                <w:szCs w:val="20"/>
                <w:lang w:val="en-GB" w:eastAsia="de-DE"/>
              </w:rPr>
              <w:t xml:space="preserve">ethods of </w:t>
            </w:r>
            <w:r>
              <w:rPr>
                <w:rFonts w:ascii="Arial" w:eastAsia="Times New Roman" w:hAnsi="Arial" w:cs="Arial"/>
                <w:bCs/>
                <w:kern w:val="16"/>
                <w:sz w:val="20"/>
                <w:szCs w:val="20"/>
                <w:lang w:val="en-GB" w:eastAsia="de-DE"/>
              </w:rPr>
              <w:t>i</w:t>
            </w:r>
            <w:r w:rsidRPr="00C506D3">
              <w:rPr>
                <w:rFonts w:ascii="Arial" w:eastAsia="Times New Roman" w:hAnsi="Arial" w:cs="Arial"/>
                <w:bCs/>
                <w:kern w:val="16"/>
                <w:sz w:val="20"/>
                <w:szCs w:val="20"/>
                <w:lang w:val="en-GB" w:eastAsia="de-DE"/>
              </w:rPr>
              <w:t xml:space="preserve">nvestment </w:t>
            </w:r>
            <w:r>
              <w:rPr>
                <w:rFonts w:ascii="Arial" w:eastAsia="Times New Roman" w:hAnsi="Arial" w:cs="Arial"/>
                <w:bCs/>
                <w:kern w:val="16"/>
                <w:sz w:val="20"/>
                <w:szCs w:val="20"/>
                <w:lang w:val="en-GB" w:eastAsia="de-DE"/>
              </w:rPr>
              <w:t>a</w:t>
            </w:r>
            <w:r w:rsidRPr="00C506D3">
              <w:rPr>
                <w:rFonts w:ascii="Arial" w:eastAsia="Times New Roman" w:hAnsi="Arial" w:cs="Arial"/>
                <w:bCs/>
                <w:kern w:val="16"/>
                <w:sz w:val="20"/>
                <w:szCs w:val="20"/>
                <w:lang w:val="en-GB" w:eastAsia="de-DE"/>
              </w:rPr>
              <w:t>ppraisal</w:t>
            </w:r>
          </w:p>
          <w:p w14:paraId="1F1ADD0A"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 xml:space="preserve">2.1. Discounted cash flow methods </w:t>
            </w:r>
          </w:p>
          <w:p w14:paraId="649E8B04" w14:textId="77777777"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2.1.1. Net present</w:t>
            </w:r>
            <w:r w:rsidRPr="00C506D3">
              <w:rPr>
                <w:rFonts w:ascii="Cambria Math" w:eastAsia="Times New Roman" w:hAnsi="Cambria Math" w:cs="Cambria Math"/>
                <w:kern w:val="16"/>
                <w:sz w:val="20"/>
                <w:szCs w:val="20"/>
                <w:lang w:val="en-GB" w:eastAsia="de-DE"/>
              </w:rPr>
              <w:t>‐</w:t>
            </w:r>
            <w:r w:rsidRPr="00C506D3">
              <w:rPr>
                <w:rFonts w:ascii="Arial" w:eastAsia="Times New Roman" w:hAnsi="Arial" w:cs="Arial"/>
                <w:kern w:val="16"/>
                <w:sz w:val="20"/>
                <w:szCs w:val="20"/>
                <w:lang w:val="en-GB" w:eastAsia="de-DE"/>
              </w:rPr>
              <w:t>value method</w:t>
            </w:r>
          </w:p>
          <w:p w14:paraId="3148161C" w14:textId="77777777"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2.1.2. Annuity method</w:t>
            </w:r>
          </w:p>
          <w:p w14:paraId="3584FB1A" w14:textId="77777777"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2.1.3. Internal rate</w:t>
            </w:r>
            <w:r w:rsidRPr="00C506D3">
              <w:rPr>
                <w:rFonts w:ascii="Cambria Math" w:eastAsia="Times New Roman" w:hAnsi="Cambria Math" w:cs="Cambria Math"/>
                <w:kern w:val="16"/>
                <w:sz w:val="20"/>
                <w:szCs w:val="20"/>
                <w:lang w:val="en-GB" w:eastAsia="de-DE"/>
              </w:rPr>
              <w:t>‐</w:t>
            </w:r>
            <w:r w:rsidRPr="00C506D3">
              <w:rPr>
                <w:rFonts w:ascii="Arial" w:eastAsia="Times New Roman" w:hAnsi="Arial" w:cs="Arial"/>
                <w:kern w:val="16"/>
                <w:sz w:val="20"/>
                <w:szCs w:val="20"/>
                <w:lang w:val="en-GB" w:eastAsia="de-DE"/>
              </w:rPr>
              <w:t>of</w:t>
            </w:r>
            <w:r w:rsidRPr="00C506D3">
              <w:rPr>
                <w:rFonts w:ascii="Cambria Math" w:eastAsia="Times New Roman" w:hAnsi="Cambria Math" w:cs="Cambria Math"/>
                <w:kern w:val="16"/>
                <w:sz w:val="20"/>
                <w:szCs w:val="20"/>
                <w:lang w:val="en-GB" w:eastAsia="de-DE"/>
              </w:rPr>
              <w:t>‐</w:t>
            </w:r>
            <w:r w:rsidRPr="00C506D3">
              <w:rPr>
                <w:rFonts w:ascii="Arial" w:eastAsia="Times New Roman" w:hAnsi="Arial" w:cs="Arial"/>
                <w:kern w:val="16"/>
                <w:sz w:val="20"/>
                <w:szCs w:val="20"/>
                <w:lang w:val="en-GB" w:eastAsia="de-DE"/>
              </w:rPr>
              <w:t>return method</w:t>
            </w:r>
          </w:p>
          <w:p w14:paraId="49A1E07F" w14:textId="77777777"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2.1.4. Dynamic payback period method</w:t>
            </w:r>
          </w:p>
          <w:p w14:paraId="622E4FFC"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 xml:space="preserve">2.2. Compounded cash flow methods </w:t>
            </w:r>
          </w:p>
          <w:p w14:paraId="25BF6D4F" w14:textId="77777777" w:rsidR="002C701C" w:rsidRPr="00C506D3" w:rsidRDefault="002C701C" w:rsidP="00AD2DB6">
            <w:pPr>
              <w:spacing w:before="60" w:after="60"/>
              <w:ind w:left="566"/>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2.2.1. Compound value method</w:t>
            </w:r>
          </w:p>
          <w:p w14:paraId="3BD145B8" w14:textId="77777777"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2.2.2. Critical debt interest rate method</w:t>
            </w:r>
          </w:p>
          <w:p w14:paraId="666C6B66" w14:textId="70AD2532" w:rsidR="002C701C" w:rsidRPr="00C506D3" w:rsidRDefault="002C701C" w:rsidP="00CD7E52">
            <w:pPr>
              <w:spacing w:before="60" w:after="60"/>
              <w:ind w:left="624"/>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2.2.</w:t>
            </w:r>
            <w:r>
              <w:rPr>
                <w:rFonts w:ascii="Arial" w:eastAsia="Times New Roman" w:hAnsi="Arial" w:cs="Arial"/>
                <w:kern w:val="16"/>
                <w:sz w:val="20"/>
                <w:szCs w:val="20"/>
                <w:lang w:val="en-GB" w:eastAsia="de-DE"/>
              </w:rPr>
              <w:t>3</w:t>
            </w:r>
            <w:r w:rsidRPr="00C506D3">
              <w:rPr>
                <w:rFonts w:ascii="Arial" w:eastAsia="Times New Roman" w:hAnsi="Arial" w:cs="Arial"/>
                <w:kern w:val="16"/>
                <w:sz w:val="20"/>
                <w:szCs w:val="20"/>
                <w:lang w:val="en-GB" w:eastAsia="de-DE"/>
              </w:rPr>
              <w:t>. Visualisation of financial implications (VoFI) method</w:t>
            </w:r>
          </w:p>
          <w:p w14:paraId="686113CD"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t xml:space="preserve">3. Applications of </w:t>
            </w:r>
            <w:r>
              <w:rPr>
                <w:rFonts w:ascii="Arial" w:eastAsia="Times New Roman" w:hAnsi="Arial" w:cs="Arial"/>
                <w:bCs/>
                <w:kern w:val="16"/>
                <w:sz w:val="20"/>
                <w:szCs w:val="20"/>
                <w:lang w:val="en-GB" w:eastAsia="de-DE"/>
              </w:rPr>
              <w:t>i</w:t>
            </w:r>
            <w:r w:rsidRPr="00C506D3">
              <w:rPr>
                <w:rFonts w:ascii="Arial" w:eastAsia="Times New Roman" w:hAnsi="Arial" w:cs="Arial"/>
                <w:bCs/>
                <w:kern w:val="16"/>
                <w:sz w:val="20"/>
                <w:szCs w:val="20"/>
                <w:lang w:val="en-GB" w:eastAsia="de-DE"/>
              </w:rPr>
              <w:t xml:space="preserve">nvestment </w:t>
            </w:r>
            <w:r>
              <w:rPr>
                <w:rFonts w:ascii="Arial" w:eastAsia="Times New Roman" w:hAnsi="Arial" w:cs="Arial"/>
                <w:bCs/>
                <w:kern w:val="16"/>
                <w:sz w:val="20"/>
                <w:szCs w:val="20"/>
                <w:lang w:val="en-GB" w:eastAsia="de-DE"/>
              </w:rPr>
              <w:t>a</w:t>
            </w:r>
            <w:r w:rsidRPr="00C506D3">
              <w:rPr>
                <w:rFonts w:ascii="Arial" w:eastAsia="Times New Roman" w:hAnsi="Arial" w:cs="Arial"/>
                <w:bCs/>
                <w:kern w:val="16"/>
                <w:sz w:val="20"/>
                <w:szCs w:val="20"/>
                <w:lang w:val="en-GB" w:eastAsia="de-DE"/>
              </w:rPr>
              <w:t>ppraisal</w:t>
            </w:r>
          </w:p>
          <w:p w14:paraId="6F4180F4"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3.1. Income taxes and investment decisions</w:t>
            </w:r>
          </w:p>
          <w:p w14:paraId="3EFCF68B"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3.2. The assessment of foreign direct investments</w:t>
            </w:r>
          </w:p>
          <w:p w14:paraId="098B0D8A"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3.3. Economic life and replacement time decisions</w:t>
            </w:r>
          </w:p>
          <w:p w14:paraId="36930ED9"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t>4. Multi</w:t>
            </w:r>
            <w:r w:rsidRPr="00C506D3">
              <w:rPr>
                <w:rFonts w:ascii="Cambria Math" w:eastAsia="Times New Roman" w:hAnsi="Cambria Math" w:cs="Cambria Math"/>
                <w:bCs/>
                <w:kern w:val="16"/>
                <w:sz w:val="20"/>
                <w:szCs w:val="20"/>
                <w:lang w:val="en-GB" w:eastAsia="de-DE"/>
              </w:rPr>
              <w:t>‐</w:t>
            </w:r>
            <w:r>
              <w:rPr>
                <w:rFonts w:ascii="Arial" w:eastAsia="Times New Roman" w:hAnsi="Arial" w:cs="Arial"/>
                <w:bCs/>
                <w:kern w:val="16"/>
                <w:sz w:val="20"/>
                <w:szCs w:val="20"/>
                <w:lang w:val="en-GB" w:eastAsia="de-DE"/>
              </w:rPr>
              <w:t>c</w:t>
            </w:r>
            <w:r w:rsidRPr="00C506D3">
              <w:rPr>
                <w:rFonts w:ascii="Arial" w:eastAsia="Times New Roman" w:hAnsi="Arial" w:cs="Arial"/>
                <w:bCs/>
                <w:kern w:val="16"/>
                <w:sz w:val="20"/>
                <w:szCs w:val="20"/>
                <w:lang w:val="en-GB" w:eastAsia="de-DE"/>
              </w:rPr>
              <w:t xml:space="preserve">riteria </w:t>
            </w:r>
            <w:r>
              <w:rPr>
                <w:rFonts w:ascii="Arial" w:eastAsia="Times New Roman" w:hAnsi="Arial" w:cs="Arial"/>
                <w:bCs/>
                <w:kern w:val="16"/>
                <w:sz w:val="20"/>
                <w:szCs w:val="20"/>
                <w:lang w:val="en-GB" w:eastAsia="de-DE"/>
              </w:rPr>
              <w:t>m</w:t>
            </w:r>
            <w:r w:rsidRPr="00C506D3">
              <w:rPr>
                <w:rFonts w:ascii="Arial" w:eastAsia="Times New Roman" w:hAnsi="Arial" w:cs="Arial"/>
                <w:bCs/>
                <w:kern w:val="16"/>
                <w:sz w:val="20"/>
                <w:szCs w:val="20"/>
                <w:lang w:val="en-GB" w:eastAsia="de-DE"/>
              </w:rPr>
              <w:t xml:space="preserve">ethods and </w:t>
            </w:r>
            <w:r>
              <w:rPr>
                <w:rFonts w:ascii="Arial" w:eastAsia="Times New Roman" w:hAnsi="Arial" w:cs="Arial"/>
                <w:bCs/>
                <w:kern w:val="16"/>
                <w:sz w:val="20"/>
                <w:szCs w:val="20"/>
                <w:lang w:val="en-GB" w:eastAsia="de-DE"/>
              </w:rPr>
              <w:t>i</w:t>
            </w:r>
            <w:r w:rsidRPr="00C506D3">
              <w:rPr>
                <w:rFonts w:ascii="Arial" w:eastAsia="Times New Roman" w:hAnsi="Arial" w:cs="Arial"/>
                <w:bCs/>
                <w:kern w:val="16"/>
                <w:sz w:val="20"/>
                <w:szCs w:val="20"/>
                <w:lang w:val="en-GB" w:eastAsia="de-DE"/>
              </w:rPr>
              <w:t xml:space="preserve">nvestment </w:t>
            </w:r>
            <w:r>
              <w:rPr>
                <w:rFonts w:ascii="Arial" w:eastAsia="Times New Roman" w:hAnsi="Arial" w:cs="Arial"/>
                <w:bCs/>
                <w:kern w:val="16"/>
                <w:sz w:val="20"/>
                <w:szCs w:val="20"/>
                <w:lang w:val="en-GB" w:eastAsia="de-DE"/>
              </w:rPr>
              <w:t>a</w:t>
            </w:r>
            <w:r w:rsidRPr="00C506D3">
              <w:rPr>
                <w:rFonts w:ascii="Arial" w:eastAsia="Times New Roman" w:hAnsi="Arial" w:cs="Arial"/>
                <w:bCs/>
                <w:kern w:val="16"/>
                <w:sz w:val="20"/>
                <w:szCs w:val="20"/>
                <w:lang w:val="en-GB" w:eastAsia="de-DE"/>
              </w:rPr>
              <w:t>ppraisal</w:t>
            </w:r>
          </w:p>
          <w:p w14:paraId="42AD58A6"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4.1. Utility value analysis</w:t>
            </w:r>
          </w:p>
          <w:p w14:paraId="0F2EAC87"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4.2. Analytic hierarchy process (AHP)</w:t>
            </w:r>
          </w:p>
          <w:p w14:paraId="0C9D70D1"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4.3. Multi</w:t>
            </w:r>
            <w:r w:rsidRPr="00C506D3">
              <w:rPr>
                <w:rFonts w:ascii="Cambria Math" w:eastAsia="Times New Roman" w:hAnsi="Cambria Math" w:cs="Cambria Math"/>
                <w:kern w:val="16"/>
                <w:sz w:val="20"/>
                <w:szCs w:val="20"/>
                <w:lang w:val="en-GB" w:eastAsia="de-DE"/>
              </w:rPr>
              <w:t>‐</w:t>
            </w:r>
            <w:r w:rsidRPr="00C506D3">
              <w:rPr>
                <w:rFonts w:ascii="Arial" w:eastAsia="Times New Roman" w:hAnsi="Arial" w:cs="Arial"/>
                <w:kern w:val="16"/>
                <w:sz w:val="20"/>
                <w:szCs w:val="20"/>
                <w:lang w:val="en-GB" w:eastAsia="de-DE"/>
              </w:rPr>
              <w:t>attribute utility theory (MAUT)</w:t>
            </w:r>
          </w:p>
          <w:p w14:paraId="0EFDB721"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4.4. PROMETHEE</w:t>
            </w:r>
          </w:p>
          <w:p w14:paraId="36671F1E"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lastRenderedPageBreak/>
              <w:t xml:space="preserve">5. Simultaneous </w:t>
            </w:r>
            <w:r>
              <w:rPr>
                <w:rFonts w:ascii="Arial" w:eastAsia="Times New Roman" w:hAnsi="Arial" w:cs="Arial"/>
                <w:bCs/>
                <w:kern w:val="16"/>
                <w:sz w:val="20"/>
                <w:szCs w:val="20"/>
                <w:lang w:val="en-GB" w:eastAsia="de-DE"/>
              </w:rPr>
              <w:t>d</w:t>
            </w:r>
            <w:r w:rsidRPr="00C506D3">
              <w:rPr>
                <w:rFonts w:ascii="Arial" w:eastAsia="Times New Roman" w:hAnsi="Arial" w:cs="Arial"/>
                <w:bCs/>
                <w:kern w:val="16"/>
                <w:sz w:val="20"/>
                <w:szCs w:val="20"/>
                <w:lang w:val="en-GB" w:eastAsia="de-DE"/>
              </w:rPr>
              <w:t>ecision</w:t>
            </w:r>
            <w:r w:rsidRPr="00C506D3">
              <w:rPr>
                <w:rFonts w:ascii="Cambria Math" w:eastAsia="Times New Roman" w:hAnsi="Cambria Math" w:cs="Cambria Math"/>
                <w:bCs/>
                <w:kern w:val="16"/>
                <w:sz w:val="20"/>
                <w:szCs w:val="20"/>
                <w:lang w:val="en-GB" w:eastAsia="de-DE"/>
              </w:rPr>
              <w:t>‐</w:t>
            </w:r>
            <w:r>
              <w:rPr>
                <w:rFonts w:ascii="Arial" w:eastAsia="Times New Roman" w:hAnsi="Arial" w:cs="Arial"/>
                <w:bCs/>
                <w:kern w:val="16"/>
                <w:sz w:val="20"/>
                <w:szCs w:val="20"/>
                <w:lang w:val="en-GB" w:eastAsia="de-DE"/>
              </w:rPr>
              <w:t>m</w:t>
            </w:r>
            <w:r w:rsidRPr="00C506D3">
              <w:rPr>
                <w:rFonts w:ascii="Arial" w:eastAsia="Times New Roman" w:hAnsi="Arial" w:cs="Arial"/>
                <w:bCs/>
                <w:kern w:val="16"/>
                <w:sz w:val="20"/>
                <w:szCs w:val="20"/>
                <w:lang w:val="en-GB" w:eastAsia="de-DE"/>
              </w:rPr>
              <w:t xml:space="preserve">aking </w:t>
            </w:r>
            <w:r>
              <w:rPr>
                <w:rFonts w:ascii="Arial" w:eastAsia="Times New Roman" w:hAnsi="Arial" w:cs="Arial"/>
                <w:bCs/>
                <w:kern w:val="16"/>
                <w:sz w:val="20"/>
                <w:szCs w:val="20"/>
                <w:lang w:val="en-GB" w:eastAsia="de-DE"/>
              </w:rPr>
              <w:t>m</w:t>
            </w:r>
            <w:r w:rsidRPr="00C506D3">
              <w:rPr>
                <w:rFonts w:ascii="Arial" w:eastAsia="Times New Roman" w:hAnsi="Arial" w:cs="Arial"/>
                <w:bCs/>
                <w:kern w:val="16"/>
                <w:sz w:val="20"/>
                <w:szCs w:val="20"/>
                <w:lang w:val="en-GB" w:eastAsia="de-DE"/>
              </w:rPr>
              <w:t>odels</w:t>
            </w:r>
          </w:p>
          <w:p w14:paraId="2D21893B"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5.1. Simultaneous investment and financing decisions</w:t>
            </w:r>
          </w:p>
          <w:p w14:paraId="7A9A7346"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5.2. Simultaneous investment and production decisions</w:t>
            </w:r>
          </w:p>
          <w:p w14:paraId="12453247" w14:textId="77777777" w:rsidR="002C701C" w:rsidRPr="00C506D3" w:rsidRDefault="002C701C" w:rsidP="00CD7E52">
            <w:pPr>
              <w:spacing w:before="60" w:after="60"/>
              <w:rPr>
                <w:rFonts w:ascii="Arial" w:eastAsia="Times New Roman" w:hAnsi="Arial" w:cs="Arial"/>
                <w:bCs/>
                <w:kern w:val="16"/>
                <w:sz w:val="20"/>
                <w:szCs w:val="20"/>
                <w:lang w:val="en-GB" w:eastAsia="de-DE"/>
              </w:rPr>
            </w:pPr>
            <w:r w:rsidRPr="00C506D3">
              <w:rPr>
                <w:rFonts w:ascii="Arial" w:eastAsia="Times New Roman" w:hAnsi="Arial" w:cs="Arial"/>
                <w:bCs/>
                <w:kern w:val="16"/>
                <w:sz w:val="20"/>
                <w:szCs w:val="20"/>
                <w:lang w:val="en-GB" w:eastAsia="de-DE"/>
              </w:rPr>
              <w:t xml:space="preserve">6. Methods and </w:t>
            </w:r>
            <w:r>
              <w:rPr>
                <w:rFonts w:ascii="Arial" w:eastAsia="Times New Roman" w:hAnsi="Arial" w:cs="Arial"/>
                <w:bCs/>
                <w:kern w:val="16"/>
                <w:sz w:val="20"/>
                <w:szCs w:val="20"/>
                <w:lang w:val="en-GB" w:eastAsia="de-DE"/>
              </w:rPr>
              <w:t>m</w:t>
            </w:r>
            <w:r w:rsidRPr="00C506D3">
              <w:rPr>
                <w:rFonts w:ascii="Arial" w:eastAsia="Times New Roman" w:hAnsi="Arial" w:cs="Arial"/>
                <w:bCs/>
                <w:kern w:val="16"/>
                <w:sz w:val="20"/>
                <w:szCs w:val="20"/>
                <w:lang w:val="en-GB" w:eastAsia="de-DE"/>
              </w:rPr>
              <w:t xml:space="preserve">odels that </w:t>
            </w:r>
            <w:r>
              <w:rPr>
                <w:rFonts w:ascii="Arial" w:eastAsia="Times New Roman" w:hAnsi="Arial" w:cs="Arial"/>
                <w:bCs/>
                <w:kern w:val="16"/>
                <w:sz w:val="20"/>
                <w:szCs w:val="20"/>
                <w:lang w:val="en-GB" w:eastAsia="de-DE"/>
              </w:rPr>
              <w:t>i</w:t>
            </w:r>
            <w:r w:rsidRPr="00C506D3">
              <w:rPr>
                <w:rFonts w:ascii="Arial" w:eastAsia="Times New Roman" w:hAnsi="Arial" w:cs="Arial"/>
                <w:bCs/>
                <w:kern w:val="16"/>
                <w:sz w:val="20"/>
                <w:szCs w:val="20"/>
                <w:lang w:val="en-GB" w:eastAsia="de-DE"/>
              </w:rPr>
              <w:t xml:space="preserve">ncorporate </w:t>
            </w:r>
            <w:r>
              <w:rPr>
                <w:rFonts w:ascii="Arial" w:eastAsia="Times New Roman" w:hAnsi="Arial" w:cs="Arial"/>
                <w:bCs/>
                <w:kern w:val="16"/>
                <w:sz w:val="20"/>
                <w:szCs w:val="20"/>
                <w:lang w:val="en-GB" w:eastAsia="de-DE"/>
              </w:rPr>
              <w:t>u</w:t>
            </w:r>
            <w:r w:rsidRPr="00C506D3">
              <w:rPr>
                <w:rFonts w:ascii="Arial" w:eastAsia="Times New Roman" w:hAnsi="Arial" w:cs="Arial"/>
                <w:bCs/>
                <w:kern w:val="16"/>
                <w:sz w:val="20"/>
                <w:szCs w:val="20"/>
                <w:lang w:val="en-GB" w:eastAsia="de-DE"/>
              </w:rPr>
              <w:t>ncertainty</w:t>
            </w:r>
          </w:p>
          <w:p w14:paraId="03A68C5D" w14:textId="77777777" w:rsidR="002C701C" w:rsidRPr="00C506D3" w:rsidRDefault="002C701C" w:rsidP="00CD7E52">
            <w:pPr>
              <w:spacing w:before="60" w:after="60"/>
              <w:ind w:left="227"/>
              <w:rPr>
                <w:rFonts w:ascii="Arial" w:eastAsia="Times New Roman" w:hAnsi="Arial" w:cs="Arial"/>
                <w:kern w:val="16"/>
                <w:sz w:val="20"/>
                <w:szCs w:val="20"/>
                <w:lang w:val="en-GB" w:eastAsia="de-DE"/>
              </w:rPr>
            </w:pPr>
            <w:r w:rsidRPr="00C506D3">
              <w:rPr>
                <w:rFonts w:ascii="Arial" w:eastAsia="Times New Roman" w:hAnsi="Arial" w:cs="Arial"/>
                <w:kern w:val="16"/>
                <w:sz w:val="20"/>
                <w:szCs w:val="20"/>
                <w:lang w:val="en-GB" w:eastAsia="de-DE"/>
              </w:rPr>
              <w:t>6.1. Models for investment projects under uncertainty</w:t>
            </w:r>
          </w:p>
          <w:p w14:paraId="2763729A" w14:textId="77777777" w:rsidR="002C701C" w:rsidRPr="00C506D3" w:rsidRDefault="002C701C" w:rsidP="00CD7E52">
            <w:pPr>
              <w:spacing w:before="60" w:after="60"/>
              <w:ind w:left="227"/>
              <w:rPr>
                <w:rFonts w:ascii="Arial" w:eastAsia="Times New Roman" w:hAnsi="Arial" w:cs="Arial"/>
                <w:kern w:val="16"/>
                <w:sz w:val="6"/>
                <w:szCs w:val="6"/>
                <w:lang w:val="en-GB" w:eastAsia="de-DE"/>
              </w:rPr>
            </w:pPr>
            <w:r w:rsidRPr="00C506D3">
              <w:rPr>
                <w:rFonts w:ascii="Arial" w:eastAsia="Times New Roman" w:hAnsi="Arial" w:cs="Arial"/>
                <w:kern w:val="16"/>
                <w:sz w:val="20"/>
                <w:szCs w:val="20"/>
                <w:lang w:val="en-GB" w:eastAsia="de-DE"/>
              </w:rPr>
              <w:t>6.2. Models for investment programmes under uncertainty</w:t>
            </w:r>
          </w:p>
        </w:tc>
      </w:tr>
      <w:tr w:rsidR="002C701C" w:rsidRPr="00062AC0" w14:paraId="0A21545C" w14:textId="77777777" w:rsidTr="002C701C">
        <w:tc>
          <w:tcPr>
            <w:tcW w:w="2485" w:type="dxa"/>
          </w:tcPr>
          <w:p w14:paraId="2D6907F5"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lastRenderedPageBreak/>
              <w:t>Teaching methods</w:t>
            </w:r>
          </w:p>
          <w:p w14:paraId="31631DA4"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p>
        </w:tc>
        <w:tc>
          <w:tcPr>
            <w:tcW w:w="6587" w:type="dxa"/>
            <w:shd w:val="clear" w:color="auto" w:fill="auto"/>
          </w:tcPr>
          <w:p w14:paraId="4274FC09"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Lectures</w:t>
            </w:r>
          </w:p>
          <w:p w14:paraId="1CF5CED9"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Exercises</w:t>
            </w:r>
          </w:p>
          <w:p w14:paraId="1D0D0BB0"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Hermeneutic discourses</w:t>
            </w:r>
          </w:p>
          <w:p w14:paraId="188622E6"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Maieutic discourses</w:t>
            </w:r>
          </w:p>
          <w:p w14:paraId="6CF5A1BA" w14:textId="77777777" w:rsidR="002C701C" w:rsidRPr="00062AC0"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Discussion</w:t>
            </w:r>
          </w:p>
          <w:p w14:paraId="264A440C" w14:textId="77777777" w:rsidR="002C701C" w:rsidRPr="00F02507" w:rsidRDefault="002C701C" w:rsidP="00CD7E52">
            <w:pPr>
              <w:numPr>
                <w:ilvl w:val="0"/>
                <w:numId w:val="16"/>
              </w:numPr>
              <w:spacing w:before="60" w:after="60"/>
              <w:ind w:left="227" w:hanging="227"/>
              <w:rPr>
                <w:rFonts w:ascii="Arial" w:eastAsia="Times New Roman" w:hAnsi="Arial" w:cs="Arial"/>
                <w:i/>
                <w:color w:val="000000"/>
                <w:kern w:val="16"/>
                <w:sz w:val="20"/>
                <w:szCs w:val="20"/>
                <w:lang w:val="en-GB" w:eastAsia="de-DE"/>
              </w:rPr>
            </w:pPr>
            <w:r w:rsidRPr="00062AC0">
              <w:rPr>
                <w:rFonts w:ascii="Arial" w:hAnsi="Arial" w:cs="Arial"/>
                <w:color w:val="000000"/>
                <w:kern w:val="16"/>
                <w:sz w:val="20"/>
                <w:szCs w:val="20"/>
                <w:lang w:val="en-GB"/>
              </w:rPr>
              <w:t>Self-study</w:t>
            </w:r>
          </w:p>
        </w:tc>
      </w:tr>
      <w:tr w:rsidR="002C701C" w:rsidRPr="00162DE8" w14:paraId="521466C8" w14:textId="77777777" w:rsidTr="002C701C">
        <w:tc>
          <w:tcPr>
            <w:tcW w:w="2485" w:type="dxa"/>
          </w:tcPr>
          <w:p w14:paraId="3BADF24A"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Prerequisites</w:t>
            </w:r>
          </w:p>
        </w:tc>
        <w:tc>
          <w:tcPr>
            <w:tcW w:w="6587" w:type="dxa"/>
            <w:shd w:val="clear" w:color="auto" w:fill="auto"/>
          </w:tcPr>
          <w:p w14:paraId="1B34C273"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There are no formal requirements.</w:t>
            </w:r>
          </w:p>
        </w:tc>
      </w:tr>
      <w:tr w:rsidR="002C701C" w:rsidRPr="00162DE8" w14:paraId="50B4C463" w14:textId="77777777" w:rsidTr="002C701C">
        <w:tc>
          <w:tcPr>
            <w:tcW w:w="2485" w:type="dxa"/>
          </w:tcPr>
          <w:p w14:paraId="73B7D88D"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Suggested reading</w:t>
            </w:r>
          </w:p>
        </w:tc>
        <w:tc>
          <w:tcPr>
            <w:tcW w:w="6587" w:type="dxa"/>
            <w:shd w:val="clear" w:color="auto" w:fill="auto"/>
          </w:tcPr>
          <w:p w14:paraId="6EFB8784" w14:textId="77777777" w:rsidR="002C701C" w:rsidRPr="006F5A7E"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Götze</w:t>
            </w:r>
            <w:r w:rsidRPr="006F5A7E">
              <w:rPr>
                <w:rFonts w:ascii="Arial" w:hAnsi="Arial" w:cs="Arial"/>
                <w:color w:val="000000"/>
                <w:kern w:val="16"/>
                <w:sz w:val="20"/>
                <w:szCs w:val="20"/>
                <w:lang w:val="en-GB"/>
              </w:rPr>
              <w:t>, U., Northcott, D., Schuster, P.: Investment Appraisal. Methods and Models, 2nd Ed., Springer, 2015</w:t>
            </w:r>
          </w:p>
          <w:p w14:paraId="428ABB2E" w14:textId="77777777" w:rsidR="002C701C" w:rsidRPr="006F5A7E" w:rsidRDefault="002C701C" w:rsidP="00CD7E52">
            <w:pPr>
              <w:numPr>
                <w:ilvl w:val="0"/>
                <w:numId w:val="16"/>
              </w:numPr>
              <w:spacing w:before="60" w:after="60"/>
              <w:ind w:left="227" w:hanging="227"/>
              <w:rPr>
                <w:rFonts w:ascii="Arial" w:hAnsi="Arial" w:cs="Arial"/>
                <w:color w:val="000000"/>
                <w:kern w:val="16"/>
                <w:sz w:val="20"/>
                <w:szCs w:val="20"/>
                <w:lang w:val="en-GB"/>
              </w:rPr>
            </w:pPr>
            <w:r w:rsidRPr="006F5A7E">
              <w:rPr>
                <w:rFonts w:ascii="Arial" w:hAnsi="Arial" w:cs="Arial"/>
                <w:color w:val="000000"/>
                <w:kern w:val="16"/>
                <w:sz w:val="20"/>
                <w:szCs w:val="20"/>
                <w:lang w:val="en-GB"/>
              </w:rPr>
              <w:t>Schuster, P.: Management Accounting &amp; Management Control USB stick (</w:t>
            </w:r>
            <w:r w:rsidRPr="00062AC0">
              <w:rPr>
                <w:rFonts w:ascii="Arial" w:hAnsi="Arial" w:cs="Arial"/>
                <w:color w:val="000000"/>
                <w:kern w:val="16"/>
                <w:sz w:val="20"/>
                <w:szCs w:val="20"/>
                <w:lang w:val="en-GB"/>
              </w:rPr>
              <w:t>latest</w:t>
            </w:r>
            <w:r w:rsidRPr="006F5A7E">
              <w:rPr>
                <w:rFonts w:ascii="Arial" w:hAnsi="Arial" w:cs="Arial"/>
                <w:color w:val="000000"/>
                <w:kern w:val="16"/>
                <w:sz w:val="20"/>
                <w:szCs w:val="20"/>
                <w:lang w:val="en-GB"/>
              </w:rPr>
              <w:t xml:space="preserve"> version)</w:t>
            </w:r>
          </w:p>
          <w:p w14:paraId="5F3BA0A9" w14:textId="77777777" w:rsidR="002C701C" w:rsidRPr="006F5A7E" w:rsidRDefault="002C701C" w:rsidP="00CD7E52">
            <w:pPr>
              <w:numPr>
                <w:ilvl w:val="0"/>
                <w:numId w:val="16"/>
              </w:numPr>
              <w:spacing w:before="60" w:after="60"/>
              <w:ind w:left="227"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Schuster</w:t>
            </w:r>
            <w:r w:rsidRPr="006F5A7E">
              <w:rPr>
                <w:rFonts w:ascii="Arial" w:hAnsi="Arial" w:cs="Arial"/>
                <w:color w:val="000000"/>
                <w:kern w:val="16"/>
                <w:sz w:val="20"/>
                <w:szCs w:val="20"/>
                <w:lang w:val="en-GB"/>
              </w:rPr>
              <w:t>, P.: VoFI: A More Realistic Method for Investment Appraisal, in: Management Accounting Quarterly, Winter 2011, Vol. 12, No. 2, p. 24</w:t>
            </w:r>
            <w:r w:rsidRPr="00211A66">
              <w:rPr>
                <w:rFonts w:ascii="Cambria Math" w:hAnsi="Cambria Math" w:cs="Cambria Math"/>
                <w:color w:val="000000"/>
                <w:kern w:val="16"/>
                <w:sz w:val="20"/>
                <w:szCs w:val="20"/>
                <w:lang w:val="en-GB"/>
              </w:rPr>
              <w:t>‐</w:t>
            </w:r>
            <w:r w:rsidRPr="006F5A7E">
              <w:rPr>
                <w:rFonts w:ascii="Arial" w:hAnsi="Arial" w:cs="Arial"/>
                <w:color w:val="000000"/>
                <w:kern w:val="16"/>
                <w:sz w:val="20"/>
                <w:szCs w:val="20"/>
                <w:lang w:val="en-GB"/>
              </w:rPr>
              <w:t>34</w:t>
            </w:r>
          </w:p>
          <w:p w14:paraId="0D8F6224" w14:textId="77777777" w:rsidR="002C701C" w:rsidRPr="00F02507" w:rsidRDefault="002C701C" w:rsidP="00CD7E52">
            <w:pPr>
              <w:numPr>
                <w:ilvl w:val="0"/>
                <w:numId w:val="16"/>
              </w:numPr>
              <w:spacing w:before="60" w:after="60"/>
              <w:ind w:left="227" w:hanging="227"/>
              <w:rPr>
                <w:rFonts w:ascii="Arial" w:eastAsia="Times New Roman" w:hAnsi="Arial" w:cs="Arial"/>
                <w:color w:val="000000"/>
                <w:kern w:val="16"/>
                <w:sz w:val="20"/>
                <w:szCs w:val="20"/>
                <w:lang w:val="en-GB" w:eastAsia="de-DE"/>
              </w:rPr>
            </w:pPr>
            <w:r w:rsidRPr="00062AC0">
              <w:rPr>
                <w:rFonts w:ascii="Arial" w:hAnsi="Arial" w:cs="Arial"/>
                <w:color w:val="000000"/>
                <w:kern w:val="16"/>
                <w:sz w:val="20"/>
                <w:szCs w:val="20"/>
                <w:lang w:val="en-GB"/>
              </w:rPr>
              <w:t>Further</w:t>
            </w:r>
            <w:r w:rsidRPr="006F5A7E">
              <w:rPr>
                <w:rFonts w:ascii="Arial" w:hAnsi="Arial" w:cs="Arial"/>
                <w:color w:val="000000"/>
                <w:kern w:val="16"/>
                <w:sz w:val="20"/>
                <w:szCs w:val="20"/>
                <w:lang w:val="en-GB"/>
              </w:rPr>
              <w:t xml:space="preserve"> references will be given during the classes.</w:t>
            </w:r>
          </w:p>
        </w:tc>
      </w:tr>
      <w:tr w:rsidR="002C701C" w:rsidRPr="00162DE8" w14:paraId="015BBE47" w14:textId="77777777" w:rsidTr="002C701C">
        <w:tc>
          <w:tcPr>
            <w:tcW w:w="2485" w:type="dxa"/>
          </w:tcPr>
          <w:p w14:paraId="41DEE47A"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 xml:space="preserve">Applicability </w:t>
            </w:r>
          </w:p>
          <w:p w14:paraId="1EF00659"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p>
        </w:tc>
        <w:tc>
          <w:tcPr>
            <w:tcW w:w="6587" w:type="dxa"/>
            <w:shd w:val="clear" w:color="auto" w:fill="auto"/>
          </w:tcPr>
          <w:p w14:paraId="793038A1" w14:textId="57B5F710" w:rsidR="002C701C" w:rsidRPr="00062AC0"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This course is in particular applicable to the following Master programme</w:t>
            </w:r>
            <w:r>
              <w:rPr>
                <w:rFonts w:ascii="Arial" w:eastAsia="Times New Roman" w:hAnsi="Arial" w:cs="Arial"/>
                <w:color w:val="000000"/>
                <w:kern w:val="16"/>
                <w:sz w:val="20"/>
                <w:szCs w:val="20"/>
                <w:lang w:val="en-GB" w:eastAsia="de-DE"/>
              </w:rPr>
              <w:t>s</w:t>
            </w:r>
            <w:r w:rsidRPr="00062AC0">
              <w:rPr>
                <w:rFonts w:ascii="Arial" w:eastAsia="Times New Roman" w:hAnsi="Arial" w:cs="Arial"/>
                <w:color w:val="000000"/>
                <w:kern w:val="16"/>
                <w:sz w:val="20"/>
                <w:szCs w:val="20"/>
                <w:lang w:val="en-GB" w:eastAsia="de-DE"/>
              </w:rPr>
              <w:t>: International Business and Economics (M.A.</w:t>
            </w:r>
            <w:r w:rsidR="00162DE8">
              <w:rPr>
                <w:rFonts w:ascii="Arial" w:eastAsia="Times New Roman" w:hAnsi="Arial" w:cs="Arial"/>
                <w:color w:val="000000"/>
                <w:kern w:val="16"/>
                <w:sz w:val="20"/>
                <w:szCs w:val="20"/>
                <w:lang w:val="en-GB" w:eastAsia="de-DE"/>
              </w:rPr>
              <w:t>; “IBE”</w:t>
            </w:r>
            <w:r w:rsidRPr="00062AC0">
              <w:rPr>
                <w:rFonts w:ascii="Arial" w:eastAsia="Times New Roman" w:hAnsi="Arial" w:cs="Arial"/>
                <w:color w:val="000000"/>
                <w:kern w:val="16"/>
                <w:sz w:val="20"/>
                <w:szCs w:val="20"/>
                <w:lang w:val="en-GB" w:eastAsia="de-DE"/>
              </w:rPr>
              <w:t>), Finance (M.Sc.)</w:t>
            </w:r>
            <w:r w:rsidR="00AD2DB6">
              <w:rPr>
                <w:rFonts w:ascii="Arial" w:eastAsia="Times New Roman" w:hAnsi="Arial" w:cs="Arial"/>
                <w:color w:val="000000"/>
                <w:kern w:val="16"/>
                <w:sz w:val="20"/>
                <w:szCs w:val="20"/>
                <w:lang w:val="en-GB" w:eastAsia="de-DE"/>
              </w:rPr>
              <w:t>.</w:t>
            </w:r>
          </w:p>
          <w:p w14:paraId="49F97073"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This course is also applicable to other business-oriented Master programmes offered by Schmalkalden University of Applied Sciences.</w:t>
            </w:r>
          </w:p>
        </w:tc>
      </w:tr>
      <w:tr w:rsidR="002C701C" w:rsidRPr="00162DE8" w14:paraId="5BCF172D" w14:textId="77777777" w:rsidTr="002C701C">
        <w:tc>
          <w:tcPr>
            <w:tcW w:w="2485" w:type="dxa"/>
          </w:tcPr>
          <w:p w14:paraId="379F5CBF" w14:textId="77777777" w:rsidR="002C701C" w:rsidRPr="00062AC0" w:rsidRDefault="002C701C" w:rsidP="00CD7E52">
            <w:pPr>
              <w:spacing w:before="60" w:after="60"/>
              <w:rPr>
                <w:rFonts w:ascii="Arial" w:eastAsia="Times New Roman" w:hAnsi="Arial" w:cs="Arial"/>
                <w:vanish/>
                <w:color w:val="E36C0A"/>
                <w:kern w:val="16"/>
                <w:sz w:val="20"/>
                <w:szCs w:val="20"/>
                <w:lang w:val="en-GB" w:eastAsia="de-DE"/>
              </w:rPr>
            </w:pPr>
            <w:r w:rsidRPr="00062AC0">
              <w:rPr>
                <w:rFonts w:ascii="Arial" w:eastAsia="Times New Roman" w:hAnsi="Arial" w:cs="Arial"/>
                <w:kern w:val="16"/>
                <w:sz w:val="20"/>
                <w:szCs w:val="20"/>
                <w:lang w:val="en-GB" w:eastAsia="de-DE"/>
              </w:rPr>
              <w:t>Workload</w:t>
            </w:r>
          </w:p>
          <w:p w14:paraId="77B5D2A4"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p>
        </w:tc>
        <w:tc>
          <w:tcPr>
            <w:tcW w:w="6587" w:type="dxa"/>
            <w:shd w:val="clear" w:color="auto" w:fill="auto"/>
          </w:tcPr>
          <w:p w14:paraId="155EDF48" w14:textId="77777777" w:rsidR="002C701C" w:rsidRPr="00062AC0"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Total workload: 240 hours, of them:</w:t>
            </w:r>
          </w:p>
          <w:p w14:paraId="73A890D0" w14:textId="77777777" w:rsidR="002C701C" w:rsidRPr="00211A66" w:rsidRDefault="002C701C" w:rsidP="00CD7E52">
            <w:pPr>
              <w:numPr>
                <w:ilvl w:val="0"/>
                <w:numId w:val="16"/>
              </w:numPr>
              <w:spacing w:before="60" w:after="60"/>
              <w:ind w:left="227" w:hanging="227"/>
              <w:rPr>
                <w:rFonts w:ascii="Arial" w:hAnsi="Arial" w:cs="Arial"/>
                <w:color w:val="000000"/>
                <w:kern w:val="16"/>
                <w:sz w:val="20"/>
                <w:szCs w:val="20"/>
                <w:lang w:val="en-GB"/>
              </w:rPr>
            </w:pPr>
            <w:r w:rsidRPr="00211A66">
              <w:rPr>
                <w:rFonts w:ascii="Arial" w:hAnsi="Arial" w:cs="Arial"/>
                <w:color w:val="000000"/>
                <w:kern w:val="16"/>
                <w:sz w:val="20"/>
                <w:szCs w:val="20"/>
                <w:lang w:val="en-GB"/>
              </w:rPr>
              <w:t>Lecture: 60</w:t>
            </w:r>
          </w:p>
          <w:p w14:paraId="24C87C97" w14:textId="77777777" w:rsidR="002C701C" w:rsidRPr="00211A66" w:rsidRDefault="002C701C" w:rsidP="00CD7E52">
            <w:pPr>
              <w:numPr>
                <w:ilvl w:val="0"/>
                <w:numId w:val="16"/>
              </w:numPr>
              <w:spacing w:before="60" w:after="60"/>
              <w:ind w:left="227" w:hanging="227"/>
              <w:rPr>
                <w:rFonts w:ascii="Arial" w:hAnsi="Arial" w:cs="Arial"/>
                <w:color w:val="000000"/>
                <w:kern w:val="16"/>
                <w:sz w:val="20"/>
                <w:szCs w:val="20"/>
                <w:lang w:val="en-GB"/>
              </w:rPr>
            </w:pPr>
            <w:r w:rsidRPr="00211A66">
              <w:rPr>
                <w:rFonts w:ascii="Arial" w:hAnsi="Arial" w:cs="Arial"/>
                <w:color w:val="000000"/>
                <w:kern w:val="16"/>
                <w:sz w:val="20"/>
                <w:szCs w:val="20"/>
                <w:lang w:val="en-GB"/>
              </w:rPr>
              <w:t>Self-study: 180, of them:</w:t>
            </w:r>
          </w:p>
          <w:p w14:paraId="3A607E9A" w14:textId="77777777" w:rsidR="002C701C" w:rsidRPr="00062AC0" w:rsidRDefault="002C701C" w:rsidP="00CD7E52">
            <w:pPr>
              <w:numPr>
                <w:ilvl w:val="0"/>
                <w:numId w:val="17"/>
              </w:numPr>
              <w:spacing w:before="60" w:after="60"/>
              <w:ind w:left="454"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Course preparation (in particular reading): 45</w:t>
            </w:r>
          </w:p>
          <w:p w14:paraId="22E5BA4E" w14:textId="77777777" w:rsidR="002C701C" w:rsidRPr="00062AC0" w:rsidRDefault="002C701C" w:rsidP="00CD7E52">
            <w:pPr>
              <w:numPr>
                <w:ilvl w:val="0"/>
                <w:numId w:val="17"/>
              </w:numPr>
              <w:spacing w:before="60" w:after="60"/>
              <w:ind w:left="454"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Follow-up: 45</w:t>
            </w:r>
          </w:p>
          <w:p w14:paraId="62290C70" w14:textId="77777777" w:rsidR="002C701C" w:rsidRPr="00F02507" w:rsidRDefault="002C701C" w:rsidP="00CD7E52">
            <w:pPr>
              <w:numPr>
                <w:ilvl w:val="0"/>
                <w:numId w:val="17"/>
              </w:numPr>
              <w:spacing w:before="60" w:after="60"/>
              <w:ind w:left="454" w:hanging="227"/>
              <w:rPr>
                <w:rFonts w:ascii="Arial" w:hAnsi="Arial" w:cs="Arial"/>
                <w:color w:val="000000"/>
                <w:kern w:val="16"/>
                <w:sz w:val="20"/>
                <w:szCs w:val="20"/>
                <w:lang w:val="en-GB"/>
              </w:rPr>
            </w:pPr>
            <w:r w:rsidRPr="00062AC0">
              <w:rPr>
                <w:rFonts w:ascii="Arial" w:hAnsi="Arial" w:cs="Arial"/>
                <w:color w:val="000000"/>
                <w:kern w:val="16"/>
                <w:sz w:val="20"/>
                <w:szCs w:val="20"/>
                <w:lang w:val="en-GB"/>
              </w:rPr>
              <w:t>Readings and exam preparation (including mid-term): 90</w:t>
            </w:r>
          </w:p>
        </w:tc>
      </w:tr>
      <w:tr w:rsidR="002C701C" w:rsidRPr="00162DE8" w14:paraId="3269BEF3" w14:textId="77777777" w:rsidTr="002C701C">
        <w:tc>
          <w:tcPr>
            <w:tcW w:w="2485" w:type="dxa"/>
          </w:tcPr>
          <w:p w14:paraId="32B9082B" w14:textId="77777777" w:rsidR="002C701C" w:rsidRPr="00F02507"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ECTS credit points and weighting factor</w:t>
            </w:r>
          </w:p>
        </w:tc>
        <w:tc>
          <w:tcPr>
            <w:tcW w:w="6587" w:type="dxa"/>
            <w:shd w:val="clear" w:color="auto" w:fill="auto"/>
          </w:tcPr>
          <w:p w14:paraId="7F7B25E5" w14:textId="65762126"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8 ECTS credit points; weighting factor: 8/120</w:t>
            </w:r>
            <w:r w:rsidR="00162DE8">
              <w:rPr>
                <w:rFonts w:ascii="Arial" w:eastAsia="Times New Roman" w:hAnsi="Arial" w:cs="Arial"/>
                <w:color w:val="000000"/>
                <w:kern w:val="16"/>
                <w:sz w:val="20"/>
                <w:szCs w:val="20"/>
                <w:lang w:val="en-GB" w:eastAsia="de-DE"/>
              </w:rPr>
              <w:t xml:space="preserve"> (IBE) or 8/90 (Finance), respectively</w:t>
            </w:r>
          </w:p>
        </w:tc>
      </w:tr>
      <w:tr w:rsidR="002C701C" w:rsidRPr="00062AC0" w14:paraId="1F684363" w14:textId="77777777" w:rsidTr="002C701C">
        <w:tc>
          <w:tcPr>
            <w:tcW w:w="2485" w:type="dxa"/>
          </w:tcPr>
          <w:p w14:paraId="1DCF3464"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 xml:space="preserve">Basis of student evaluation </w:t>
            </w:r>
          </w:p>
        </w:tc>
        <w:tc>
          <w:tcPr>
            <w:tcW w:w="6587" w:type="dxa"/>
            <w:shd w:val="clear" w:color="auto" w:fill="auto"/>
          </w:tcPr>
          <w:p w14:paraId="31199813" w14:textId="77777777" w:rsidR="002C701C" w:rsidRPr="00956434" w:rsidRDefault="002C701C" w:rsidP="00CD7E52">
            <w:pPr>
              <w:numPr>
                <w:ilvl w:val="0"/>
                <w:numId w:val="16"/>
              </w:numPr>
              <w:spacing w:before="60" w:after="60"/>
              <w:ind w:left="227" w:hanging="227"/>
              <w:rPr>
                <w:rFonts w:ascii="Arial" w:hAnsi="Arial" w:cs="Arial"/>
                <w:color w:val="000000"/>
                <w:kern w:val="16"/>
                <w:sz w:val="20"/>
                <w:szCs w:val="20"/>
                <w:lang w:val="en-GB"/>
              </w:rPr>
            </w:pPr>
            <w:r w:rsidRPr="00956434">
              <w:rPr>
                <w:rFonts w:ascii="Arial" w:hAnsi="Arial" w:cs="Arial"/>
                <w:color w:val="000000"/>
                <w:kern w:val="16"/>
                <w:sz w:val="20"/>
                <w:szCs w:val="20"/>
                <w:lang w:val="en-GB"/>
              </w:rPr>
              <w:t>C</w:t>
            </w:r>
            <w:r w:rsidRPr="00062AC0">
              <w:rPr>
                <w:rFonts w:ascii="Arial" w:hAnsi="Arial" w:cs="Arial"/>
                <w:color w:val="000000"/>
                <w:kern w:val="16"/>
                <w:sz w:val="20"/>
                <w:szCs w:val="20"/>
                <w:lang w:val="en-GB"/>
              </w:rPr>
              <w:t>omprehensive</w:t>
            </w:r>
            <w:r w:rsidRPr="00956434">
              <w:rPr>
                <w:rFonts w:ascii="Arial" w:hAnsi="Arial" w:cs="Arial"/>
                <w:color w:val="000000"/>
                <w:kern w:val="16"/>
                <w:sz w:val="20"/>
                <w:szCs w:val="20"/>
                <w:lang w:val="en-GB"/>
              </w:rPr>
              <w:t xml:space="preserve"> written examination, 90 minutes (90%)</w:t>
            </w:r>
          </w:p>
          <w:p w14:paraId="3DEBF023" w14:textId="77777777" w:rsidR="002C701C" w:rsidRPr="00F02507" w:rsidRDefault="002C701C" w:rsidP="00CD7E52">
            <w:pPr>
              <w:numPr>
                <w:ilvl w:val="0"/>
                <w:numId w:val="16"/>
              </w:numPr>
              <w:spacing w:before="60" w:after="60"/>
              <w:ind w:left="227" w:hanging="227"/>
              <w:rPr>
                <w:rFonts w:ascii="Arial" w:eastAsia="Times New Roman" w:hAnsi="Arial" w:cs="Arial"/>
                <w:i/>
                <w:color w:val="000000"/>
                <w:kern w:val="16"/>
                <w:sz w:val="20"/>
                <w:szCs w:val="20"/>
                <w:lang w:val="en-GB" w:eastAsia="de-DE"/>
              </w:rPr>
            </w:pPr>
            <w:r w:rsidRPr="00956434">
              <w:rPr>
                <w:rFonts w:ascii="Arial" w:hAnsi="Arial" w:cs="Arial"/>
                <w:color w:val="000000"/>
                <w:kern w:val="16"/>
                <w:sz w:val="20"/>
                <w:szCs w:val="20"/>
                <w:lang w:val="en-GB"/>
              </w:rPr>
              <w:t>Mid-term exam, 60 minutes (10%)</w:t>
            </w:r>
          </w:p>
        </w:tc>
      </w:tr>
      <w:tr w:rsidR="002C701C" w:rsidRPr="003C1479" w14:paraId="7D5DF861" w14:textId="77777777" w:rsidTr="002C701C">
        <w:tc>
          <w:tcPr>
            <w:tcW w:w="2485" w:type="dxa"/>
          </w:tcPr>
          <w:p w14:paraId="7DEDEA2E"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 xml:space="preserve">Time </w:t>
            </w:r>
          </w:p>
        </w:tc>
        <w:tc>
          <w:tcPr>
            <w:tcW w:w="6587" w:type="dxa"/>
            <w:shd w:val="clear" w:color="auto" w:fill="auto"/>
          </w:tcPr>
          <w:p w14:paraId="2B3DCFE9"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First academic year</w:t>
            </w:r>
          </w:p>
        </w:tc>
      </w:tr>
      <w:tr w:rsidR="002C701C" w:rsidRPr="00062AC0" w14:paraId="25297333" w14:textId="77777777" w:rsidTr="002C701C">
        <w:tc>
          <w:tcPr>
            <w:tcW w:w="2485" w:type="dxa"/>
          </w:tcPr>
          <w:p w14:paraId="190EA02B"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Frequency</w:t>
            </w:r>
          </w:p>
        </w:tc>
        <w:tc>
          <w:tcPr>
            <w:tcW w:w="6587" w:type="dxa"/>
            <w:shd w:val="clear" w:color="auto" w:fill="auto"/>
          </w:tcPr>
          <w:p w14:paraId="61236012"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 xml:space="preserve">Each academic year </w:t>
            </w:r>
          </w:p>
        </w:tc>
      </w:tr>
      <w:tr w:rsidR="002C701C" w:rsidRPr="00062AC0" w14:paraId="78BBA3F1" w14:textId="77777777" w:rsidTr="002C701C">
        <w:tc>
          <w:tcPr>
            <w:tcW w:w="2485" w:type="dxa"/>
          </w:tcPr>
          <w:p w14:paraId="42352B24" w14:textId="77777777" w:rsidR="002C701C" w:rsidRPr="00062AC0" w:rsidRDefault="002C701C" w:rsidP="00CD7E52">
            <w:pPr>
              <w:spacing w:before="60" w:after="60"/>
              <w:rPr>
                <w:rFonts w:ascii="Arial" w:eastAsia="Times New Roman" w:hAnsi="Arial" w:cs="Arial"/>
                <w:color w:val="E36C0A"/>
                <w:kern w:val="16"/>
                <w:sz w:val="20"/>
                <w:szCs w:val="20"/>
                <w:lang w:val="en-GB" w:eastAsia="de-DE"/>
              </w:rPr>
            </w:pPr>
            <w:r w:rsidRPr="00062AC0">
              <w:rPr>
                <w:rFonts w:ascii="Arial" w:eastAsia="Times New Roman" w:hAnsi="Arial" w:cs="Arial"/>
                <w:kern w:val="16"/>
                <w:sz w:val="20"/>
                <w:szCs w:val="20"/>
                <w:lang w:val="en-GB" w:eastAsia="de-DE"/>
              </w:rPr>
              <w:t>Duration</w:t>
            </w:r>
          </w:p>
        </w:tc>
        <w:tc>
          <w:tcPr>
            <w:tcW w:w="6587" w:type="dxa"/>
            <w:shd w:val="clear" w:color="auto" w:fill="auto"/>
          </w:tcPr>
          <w:p w14:paraId="0CC4E616"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One semester</w:t>
            </w:r>
          </w:p>
        </w:tc>
      </w:tr>
      <w:tr w:rsidR="002C701C" w:rsidRPr="00062AC0" w14:paraId="4FB87B84" w14:textId="77777777" w:rsidTr="002C701C">
        <w:tc>
          <w:tcPr>
            <w:tcW w:w="2485" w:type="dxa"/>
          </w:tcPr>
          <w:p w14:paraId="518D5F78"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Course type</w:t>
            </w:r>
          </w:p>
        </w:tc>
        <w:tc>
          <w:tcPr>
            <w:tcW w:w="6587" w:type="dxa"/>
            <w:shd w:val="clear" w:color="auto" w:fill="auto"/>
          </w:tcPr>
          <w:p w14:paraId="37944F71"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Elective course</w:t>
            </w:r>
          </w:p>
        </w:tc>
      </w:tr>
      <w:tr w:rsidR="002C701C" w:rsidRPr="00062AC0" w14:paraId="4200360A" w14:textId="77777777" w:rsidTr="002C701C">
        <w:tc>
          <w:tcPr>
            <w:tcW w:w="2485" w:type="dxa"/>
          </w:tcPr>
          <w:p w14:paraId="73674C25" w14:textId="77777777" w:rsidR="002C701C" w:rsidRPr="00062AC0" w:rsidRDefault="002C701C" w:rsidP="00CD7E52">
            <w:pPr>
              <w:spacing w:before="60" w:after="60"/>
              <w:rPr>
                <w:rFonts w:ascii="Arial" w:eastAsia="Times New Roman" w:hAnsi="Arial" w:cs="Arial"/>
                <w:kern w:val="16"/>
                <w:sz w:val="20"/>
                <w:szCs w:val="20"/>
                <w:lang w:val="en-GB" w:eastAsia="de-DE"/>
              </w:rPr>
            </w:pPr>
            <w:r w:rsidRPr="00062AC0">
              <w:rPr>
                <w:rFonts w:ascii="Arial" w:eastAsia="Times New Roman" w:hAnsi="Arial" w:cs="Arial"/>
                <w:kern w:val="16"/>
                <w:sz w:val="20"/>
                <w:szCs w:val="20"/>
                <w:lang w:val="en-GB" w:eastAsia="de-DE"/>
              </w:rPr>
              <w:t xml:space="preserve">Remarks </w:t>
            </w:r>
          </w:p>
        </w:tc>
        <w:tc>
          <w:tcPr>
            <w:tcW w:w="6587" w:type="dxa"/>
          </w:tcPr>
          <w:p w14:paraId="5CE1156F" w14:textId="77777777" w:rsidR="002C701C" w:rsidRPr="00F02507" w:rsidRDefault="002C701C" w:rsidP="00CD7E52">
            <w:pPr>
              <w:spacing w:before="60" w:after="60"/>
              <w:rPr>
                <w:rFonts w:ascii="Arial" w:eastAsia="Times New Roman" w:hAnsi="Arial" w:cs="Arial"/>
                <w:color w:val="000000"/>
                <w:kern w:val="16"/>
                <w:sz w:val="20"/>
                <w:szCs w:val="20"/>
                <w:lang w:val="en-GB" w:eastAsia="de-DE"/>
              </w:rPr>
            </w:pPr>
            <w:r w:rsidRPr="00062AC0">
              <w:rPr>
                <w:rFonts w:ascii="Arial" w:eastAsia="Times New Roman" w:hAnsi="Arial" w:cs="Arial"/>
                <w:color w:val="000000"/>
                <w:kern w:val="16"/>
                <w:sz w:val="20"/>
                <w:szCs w:val="20"/>
                <w:lang w:val="en-GB" w:eastAsia="de-DE"/>
              </w:rPr>
              <w:t>Teaching language is English.</w:t>
            </w:r>
          </w:p>
        </w:tc>
      </w:tr>
    </w:tbl>
    <w:p w14:paraId="1F6C8998" w14:textId="77777777" w:rsidR="002C701C" w:rsidRPr="00062AC0" w:rsidRDefault="002C701C">
      <w:pPr>
        <w:rPr>
          <w:rFonts w:ascii="Arial" w:hAnsi="Arial" w:cs="Arial"/>
          <w:lang w:val="en-GB"/>
        </w:rPr>
      </w:pPr>
    </w:p>
    <w:sectPr w:rsidR="002C701C" w:rsidRPr="00062AC0" w:rsidSect="00AC6276">
      <w:headerReference w:type="default" r:id="rId8"/>
      <w:footerReference w:type="even" r:id="rId9"/>
      <w:footerReference w:type="default" r:id="rId10"/>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D80F" w14:textId="77777777" w:rsidR="004174AB" w:rsidRDefault="004174AB" w:rsidP="00F90B4B">
      <w:pPr>
        <w:spacing w:after="0"/>
      </w:pPr>
      <w:r>
        <w:separator/>
      </w:r>
    </w:p>
  </w:endnote>
  <w:endnote w:type="continuationSeparator" w:id="0">
    <w:p w14:paraId="78605B80" w14:textId="77777777" w:rsidR="004174AB" w:rsidRDefault="004174AB" w:rsidP="00F90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16504355"/>
      <w:docPartObj>
        <w:docPartGallery w:val="Page Numbers (Bottom of Page)"/>
        <w:docPartUnique/>
      </w:docPartObj>
    </w:sdtPr>
    <w:sdtEndPr>
      <w:rPr>
        <w:rStyle w:val="Seitenzahl"/>
      </w:rPr>
    </w:sdtEndPr>
    <w:sdtContent>
      <w:p w14:paraId="33C584E6" w14:textId="2EB4C415" w:rsidR="007E02C4" w:rsidRDefault="007E02C4" w:rsidP="002C701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2C701C">
          <w:rPr>
            <w:rStyle w:val="Seitenzahl"/>
            <w:noProof/>
          </w:rPr>
          <w:t>2</w:t>
        </w:r>
        <w:r>
          <w:rPr>
            <w:rStyle w:val="Seitenzahl"/>
          </w:rPr>
          <w:fldChar w:fldCharType="end"/>
        </w:r>
      </w:p>
    </w:sdtContent>
  </w:sdt>
  <w:sdt>
    <w:sdtPr>
      <w:rPr>
        <w:rStyle w:val="Seitenzahl"/>
      </w:rPr>
      <w:id w:val="510877986"/>
      <w:docPartObj>
        <w:docPartGallery w:val="Page Numbers (Bottom of Page)"/>
        <w:docPartUnique/>
      </w:docPartObj>
    </w:sdtPr>
    <w:sdtEndPr>
      <w:rPr>
        <w:rStyle w:val="Seitenzahl"/>
      </w:rPr>
    </w:sdtEndPr>
    <w:sdtContent>
      <w:p w14:paraId="2F78235B" w14:textId="2352B1D0" w:rsidR="007E02C4" w:rsidRDefault="007E02C4" w:rsidP="002C701C">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separate"/>
        </w:r>
        <w:r w:rsidR="002C701C">
          <w:rPr>
            <w:rStyle w:val="Seitenzahl"/>
            <w:noProof/>
          </w:rPr>
          <w:t>2</w:t>
        </w:r>
        <w:r>
          <w:rPr>
            <w:rStyle w:val="Seitenzahl"/>
          </w:rPr>
          <w:fldChar w:fldCharType="end"/>
        </w:r>
      </w:p>
    </w:sdtContent>
  </w:sdt>
  <w:p w14:paraId="4AAFF1D9" w14:textId="77777777" w:rsidR="007E02C4" w:rsidRDefault="007E02C4" w:rsidP="007E02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color w:val="808080" w:themeColor="background1" w:themeShade="80"/>
        <w:sz w:val="20"/>
        <w:szCs w:val="20"/>
      </w:rPr>
      <w:id w:val="-811707005"/>
      <w:docPartObj>
        <w:docPartGallery w:val="Page Numbers (Bottom of Page)"/>
        <w:docPartUnique/>
      </w:docPartObj>
    </w:sdtPr>
    <w:sdtEndPr>
      <w:rPr>
        <w:rStyle w:val="Seitenzahl"/>
      </w:rPr>
    </w:sdtEndPr>
    <w:sdtContent>
      <w:p w14:paraId="434770C9" w14:textId="19877AE0" w:rsidR="002C701C" w:rsidRPr="00FD5403" w:rsidRDefault="002C701C" w:rsidP="00387C03">
        <w:pPr>
          <w:pStyle w:val="Fuzeile"/>
          <w:framePr w:wrap="none" w:vAnchor="text" w:hAnchor="margin" w:xAlign="right" w:y="1"/>
          <w:rPr>
            <w:rStyle w:val="Seitenzahl"/>
            <w:rFonts w:ascii="Arial" w:hAnsi="Arial" w:cs="Arial"/>
            <w:color w:val="808080" w:themeColor="background1" w:themeShade="80"/>
            <w:sz w:val="20"/>
            <w:szCs w:val="20"/>
          </w:rPr>
        </w:pPr>
        <w:r w:rsidRPr="00FD5403">
          <w:rPr>
            <w:rStyle w:val="Seitenzahl"/>
            <w:rFonts w:ascii="Arial" w:hAnsi="Arial" w:cs="Arial"/>
            <w:color w:val="808080" w:themeColor="background1" w:themeShade="80"/>
            <w:sz w:val="20"/>
            <w:szCs w:val="20"/>
          </w:rPr>
          <w:fldChar w:fldCharType="begin"/>
        </w:r>
        <w:r w:rsidRPr="00FD5403">
          <w:rPr>
            <w:rStyle w:val="Seitenzahl"/>
            <w:rFonts w:ascii="Arial" w:hAnsi="Arial" w:cs="Arial"/>
            <w:color w:val="808080" w:themeColor="background1" w:themeShade="80"/>
            <w:sz w:val="20"/>
            <w:szCs w:val="20"/>
          </w:rPr>
          <w:instrText xml:space="preserve"> PAGE </w:instrText>
        </w:r>
        <w:r w:rsidRPr="00FD5403">
          <w:rPr>
            <w:rStyle w:val="Seitenzahl"/>
            <w:rFonts w:ascii="Arial" w:hAnsi="Arial" w:cs="Arial"/>
            <w:color w:val="808080" w:themeColor="background1" w:themeShade="80"/>
            <w:sz w:val="20"/>
            <w:szCs w:val="20"/>
          </w:rPr>
          <w:fldChar w:fldCharType="separate"/>
        </w:r>
        <w:r w:rsidRPr="00FD5403">
          <w:rPr>
            <w:rStyle w:val="Seitenzahl"/>
            <w:rFonts w:ascii="Arial" w:hAnsi="Arial" w:cs="Arial"/>
            <w:noProof/>
            <w:color w:val="808080" w:themeColor="background1" w:themeShade="80"/>
            <w:sz w:val="20"/>
            <w:szCs w:val="20"/>
          </w:rPr>
          <w:t>1</w:t>
        </w:r>
        <w:r w:rsidRPr="00FD5403">
          <w:rPr>
            <w:rStyle w:val="Seitenzahl"/>
            <w:rFonts w:ascii="Arial" w:hAnsi="Arial" w:cs="Arial"/>
            <w:color w:val="808080" w:themeColor="background1" w:themeShade="80"/>
            <w:sz w:val="20"/>
            <w:szCs w:val="20"/>
          </w:rPr>
          <w:fldChar w:fldCharType="end"/>
        </w:r>
      </w:p>
    </w:sdtContent>
  </w:sdt>
  <w:p w14:paraId="0DD80079" w14:textId="3BC34BA0" w:rsidR="007E02C4" w:rsidRPr="00FD5403" w:rsidRDefault="007E02C4" w:rsidP="007E02C4">
    <w:pPr>
      <w:pStyle w:val="Fuzeile"/>
      <w:ind w:right="360"/>
      <w:rPr>
        <w:rFonts w:ascii="Arial" w:hAnsi="Arial" w:cs="Arial"/>
        <w:color w:val="808080" w:themeColor="background1" w:themeShade="80"/>
        <w:sz w:val="20"/>
        <w:szCs w:val="20"/>
      </w:rPr>
    </w:pPr>
    <w:r w:rsidRPr="00FD5403">
      <w:rPr>
        <w:rFonts w:ascii="Arial" w:hAnsi="Arial" w:cs="Arial"/>
        <w:color w:val="808080" w:themeColor="background1" w:themeShade="80"/>
        <w:sz w:val="20"/>
        <w:szCs w:val="20"/>
      </w:rPr>
      <w:t xml:space="preserve">Version </w:t>
    </w:r>
    <w:proofErr w:type="spellStart"/>
    <w:r w:rsidRPr="00FD5403">
      <w:rPr>
        <w:rFonts w:ascii="Arial" w:hAnsi="Arial" w:cs="Arial"/>
        <w:color w:val="808080" w:themeColor="background1" w:themeShade="80"/>
        <w:sz w:val="20"/>
        <w:szCs w:val="20"/>
      </w:rPr>
      <w:t>as</w:t>
    </w:r>
    <w:proofErr w:type="spellEnd"/>
    <w:r w:rsidRPr="00FD5403">
      <w:rPr>
        <w:rFonts w:ascii="Arial" w:hAnsi="Arial" w:cs="Arial"/>
        <w:color w:val="808080" w:themeColor="background1" w:themeShade="80"/>
        <w:sz w:val="20"/>
        <w:szCs w:val="20"/>
      </w:rPr>
      <w:t xml:space="preserve"> </w:t>
    </w:r>
    <w:proofErr w:type="spellStart"/>
    <w:r w:rsidRPr="00FD5403">
      <w:rPr>
        <w:rFonts w:ascii="Arial" w:hAnsi="Arial" w:cs="Arial"/>
        <w:color w:val="808080" w:themeColor="background1" w:themeShade="80"/>
        <w:sz w:val="20"/>
        <w:szCs w:val="20"/>
      </w:rPr>
      <w:t>of</w:t>
    </w:r>
    <w:proofErr w:type="spellEnd"/>
    <w:r w:rsidRPr="00FD5403">
      <w:rPr>
        <w:rFonts w:ascii="Arial" w:hAnsi="Arial" w:cs="Arial"/>
        <w:color w:val="808080" w:themeColor="background1" w:themeShade="80"/>
        <w:sz w:val="20"/>
        <w:szCs w:val="20"/>
      </w:rPr>
      <w:t xml:space="preserve"> 19 </w:t>
    </w:r>
    <w:proofErr w:type="spellStart"/>
    <w:r w:rsidRPr="00FD5403">
      <w:rPr>
        <w:rFonts w:ascii="Arial" w:hAnsi="Arial" w:cs="Arial"/>
        <w:color w:val="808080" w:themeColor="background1" w:themeShade="80"/>
        <w:sz w:val="20"/>
        <w:szCs w:val="20"/>
      </w:rPr>
      <w:t>July</w:t>
    </w:r>
    <w:proofErr w:type="spellEnd"/>
    <w:r w:rsidRPr="00FD5403">
      <w:rPr>
        <w:rFonts w:ascii="Arial" w:hAnsi="Arial" w:cs="Arial"/>
        <w:color w:val="808080" w:themeColor="background1" w:themeShade="80"/>
        <w:sz w:val="20"/>
        <w:szCs w:val="20"/>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CD28" w14:textId="77777777" w:rsidR="004174AB" w:rsidRDefault="004174AB" w:rsidP="00F90B4B">
      <w:pPr>
        <w:spacing w:after="0"/>
      </w:pPr>
      <w:r>
        <w:separator/>
      </w:r>
    </w:p>
  </w:footnote>
  <w:footnote w:type="continuationSeparator" w:id="0">
    <w:p w14:paraId="4591188F" w14:textId="77777777" w:rsidR="004174AB" w:rsidRDefault="004174AB" w:rsidP="00F90B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9E6A" w14:textId="37A84710" w:rsidR="00062AC0" w:rsidRDefault="00493170" w:rsidP="002C701C">
    <w:pPr>
      <w:pStyle w:val="Kopfzeile"/>
      <w:tabs>
        <w:tab w:val="clear" w:pos="9360"/>
        <w:tab w:val="right" w:pos="9070"/>
      </w:tabs>
      <w:ind w:right="-2"/>
      <w:jc w:val="right"/>
    </w:pPr>
    <w:r>
      <w:rPr>
        <w:rFonts w:ascii="Arial" w:eastAsia="Times New Roman" w:hAnsi="Arial" w:cs="Times New Roman"/>
        <w:noProof/>
        <w:szCs w:val="24"/>
        <w:lang w:eastAsia="de-DE"/>
      </w:rPr>
      <w:drawing>
        <wp:anchor distT="0" distB="0" distL="114300" distR="114300" simplePos="0" relativeHeight="251658240" behindDoc="0" locked="0" layoutInCell="1" allowOverlap="1" wp14:anchorId="01546B4F" wp14:editId="3B05C701">
          <wp:simplePos x="0" y="0"/>
          <wp:positionH relativeFrom="column">
            <wp:posOffset>3341370</wp:posOffset>
          </wp:positionH>
          <wp:positionV relativeFrom="paragraph">
            <wp:posOffset>-12192</wp:posOffset>
          </wp:positionV>
          <wp:extent cx="2415600" cy="51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M Logo 2015 englisch.eps"/>
                  <pic:cNvPicPr/>
                </pic:nvPicPr>
                <pic:blipFill>
                  <a:blip r:embed="rId1">
                    <a:extLst>
                      <a:ext uri="{28A0092B-C50C-407E-A947-70E740481C1C}">
                        <a14:useLocalDpi xmlns:a14="http://schemas.microsoft.com/office/drawing/2010/main" val="0"/>
                      </a:ext>
                    </a:extLst>
                  </a:blip>
                  <a:stretch>
                    <a:fillRect/>
                  </a:stretch>
                </pic:blipFill>
                <pic:spPr>
                  <a:xfrm>
                    <a:off x="0" y="0"/>
                    <a:ext cx="2415600" cy="51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E7C"/>
    <w:multiLevelType w:val="hybridMultilevel"/>
    <w:tmpl w:val="F8BA8E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95372F2"/>
    <w:multiLevelType w:val="hybridMultilevel"/>
    <w:tmpl w:val="14DED032"/>
    <w:lvl w:ilvl="0" w:tplc="0208257A">
      <w:start w:val="2"/>
      <w:numFmt w:val="bullet"/>
      <w:lvlText w:val="-"/>
      <w:lvlJc w:val="left"/>
      <w:pPr>
        <w:ind w:left="170" w:hanging="170"/>
      </w:pPr>
      <w:rPr>
        <w:rFonts w:ascii="Arial" w:eastAsia="Times New Roman"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6601D8"/>
    <w:multiLevelType w:val="hybridMultilevel"/>
    <w:tmpl w:val="AC34E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D2A47"/>
    <w:multiLevelType w:val="hybridMultilevel"/>
    <w:tmpl w:val="9C94862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D575DE"/>
    <w:multiLevelType w:val="hybridMultilevel"/>
    <w:tmpl w:val="9910A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56BA5"/>
    <w:multiLevelType w:val="hybridMultilevel"/>
    <w:tmpl w:val="D03E79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8E37A8"/>
    <w:multiLevelType w:val="hybridMultilevel"/>
    <w:tmpl w:val="19A08C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7C69FC"/>
    <w:multiLevelType w:val="hybridMultilevel"/>
    <w:tmpl w:val="570E1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007569"/>
    <w:multiLevelType w:val="hybridMultilevel"/>
    <w:tmpl w:val="54D63114"/>
    <w:lvl w:ilvl="0" w:tplc="D722C1E0">
      <w:numFmt w:val="bullet"/>
      <w:pStyle w:val="AufzhlungModul"/>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C9C492F"/>
    <w:multiLevelType w:val="hybridMultilevel"/>
    <w:tmpl w:val="9DF2F20A"/>
    <w:lvl w:ilvl="0" w:tplc="927C2060">
      <w:start w:val="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CBB3CF4"/>
    <w:multiLevelType w:val="hybridMultilevel"/>
    <w:tmpl w:val="3C3C32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7C651E3"/>
    <w:multiLevelType w:val="hybridMultilevel"/>
    <w:tmpl w:val="57583D02"/>
    <w:lvl w:ilvl="0" w:tplc="C2CED2E2">
      <w:start w:val="2"/>
      <w:numFmt w:val="bullet"/>
      <w:lvlText w:val="-"/>
      <w:lvlJc w:val="left"/>
      <w:pPr>
        <w:tabs>
          <w:tab w:val="num" w:pos="227"/>
        </w:tabs>
        <w:ind w:left="227" w:hanging="227"/>
      </w:pPr>
      <w:rPr>
        <w:rFonts w:ascii="Arial" w:eastAsia="Times New Roman"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C3C0109"/>
    <w:multiLevelType w:val="hybridMultilevel"/>
    <w:tmpl w:val="B15488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F2643A6"/>
    <w:multiLevelType w:val="multilevel"/>
    <w:tmpl w:val="14DED032"/>
    <w:lvl w:ilvl="0">
      <w:start w:val="2"/>
      <w:numFmt w:val="bullet"/>
      <w:lvlText w:val="-"/>
      <w:lvlJc w:val="left"/>
      <w:pPr>
        <w:ind w:left="170" w:hanging="170"/>
      </w:pPr>
      <w:rPr>
        <w:rFonts w:ascii="Arial" w:eastAsia="Times New Roman" w:hAnsi="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68C2FB1"/>
    <w:multiLevelType w:val="hybridMultilevel"/>
    <w:tmpl w:val="A8A0AE94"/>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8C27B6E"/>
    <w:multiLevelType w:val="hybridMultilevel"/>
    <w:tmpl w:val="08667E9E"/>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8"/>
  </w:num>
  <w:num w:numId="3">
    <w:abstractNumId w:val="7"/>
  </w:num>
  <w:num w:numId="4">
    <w:abstractNumId w:val="3"/>
  </w:num>
  <w:num w:numId="5">
    <w:abstractNumId w:val="10"/>
  </w:num>
  <w:num w:numId="6">
    <w:abstractNumId w:val="5"/>
  </w:num>
  <w:num w:numId="7">
    <w:abstractNumId w:val="12"/>
  </w:num>
  <w:num w:numId="8">
    <w:abstractNumId w:val="0"/>
  </w:num>
  <w:num w:numId="9">
    <w:abstractNumId w:val="2"/>
  </w:num>
  <w:num w:numId="10">
    <w:abstractNumId w:val="4"/>
  </w:num>
  <w:num w:numId="11">
    <w:abstractNumId w:val="6"/>
  </w:num>
  <w:num w:numId="12">
    <w:abstractNumId w:val="9"/>
  </w:num>
  <w:num w:numId="13">
    <w:abstractNumId w:val="1"/>
  </w:num>
  <w:num w:numId="14">
    <w:abstractNumId w:val="13"/>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54"/>
    <w:rsid w:val="00062AC0"/>
    <w:rsid w:val="0006637F"/>
    <w:rsid w:val="000A214A"/>
    <w:rsid w:val="000E70BD"/>
    <w:rsid w:val="00130753"/>
    <w:rsid w:val="00133055"/>
    <w:rsid w:val="00162DE8"/>
    <w:rsid w:val="001C2674"/>
    <w:rsid w:val="001C4E0F"/>
    <w:rsid w:val="001E3E26"/>
    <w:rsid w:val="00211A66"/>
    <w:rsid w:val="002418E8"/>
    <w:rsid w:val="002A2795"/>
    <w:rsid w:val="002C701C"/>
    <w:rsid w:val="002E78FD"/>
    <w:rsid w:val="002F3A93"/>
    <w:rsid w:val="00353B7A"/>
    <w:rsid w:val="003B6AC8"/>
    <w:rsid w:val="003C1479"/>
    <w:rsid w:val="003D3F1F"/>
    <w:rsid w:val="004174AB"/>
    <w:rsid w:val="00434910"/>
    <w:rsid w:val="004408F3"/>
    <w:rsid w:val="00493170"/>
    <w:rsid w:val="005B720D"/>
    <w:rsid w:val="005E7E31"/>
    <w:rsid w:val="00694DAE"/>
    <w:rsid w:val="006D5D04"/>
    <w:rsid w:val="006F5A7E"/>
    <w:rsid w:val="0072302A"/>
    <w:rsid w:val="00746AF7"/>
    <w:rsid w:val="007B6B0F"/>
    <w:rsid w:val="007E02C4"/>
    <w:rsid w:val="007F51DA"/>
    <w:rsid w:val="008406A2"/>
    <w:rsid w:val="00870016"/>
    <w:rsid w:val="00916B8D"/>
    <w:rsid w:val="009462A0"/>
    <w:rsid w:val="00956434"/>
    <w:rsid w:val="009F3A3F"/>
    <w:rsid w:val="009F597A"/>
    <w:rsid w:val="00A13A54"/>
    <w:rsid w:val="00A90B6C"/>
    <w:rsid w:val="00AC6276"/>
    <w:rsid w:val="00AD2DB6"/>
    <w:rsid w:val="00AD4942"/>
    <w:rsid w:val="00AE676E"/>
    <w:rsid w:val="00B06BB8"/>
    <w:rsid w:val="00BE33F9"/>
    <w:rsid w:val="00C047C9"/>
    <w:rsid w:val="00C506D3"/>
    <w:rsid w:val="00C84D82"/>
    <w:rsid w:val="00CD7E52"/>
    <w:rsid w:val="00D35BA9"/>
    <w:rsid w:val="00D43F09"/>
    <w:rsid w:val="00DA0CA7"/>
    <w:rsid w:val="00DB2FC3"/>
    <w:rsid w:val="00E0591C"/>
    <w:rsid w:val="00E20ACD"/>
    <w:rsid w:val="00F02507"/>
    <w:rsid w:val="00F76C30"/>
    <w:rsid w:val="00F90B4B"/>
    <w:rsid w:val="00FA58BA"/>
    <w:rsid w:val="00FD5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E5C20"/>
  <w15:chartTrackingRefBased/>
  <w15:docId w15:val="{06C01E55-9288-41BA-A9AA-B7CFBA44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Modul">
    <w:name w:val="Aufzählung Modul"/>
    <w:basedOn w:val="Standard"/>
    <w:qFormat/>
    <w:rsid w:val="001C4E0F"/>
    <w:pPr>
      <w:numPr>
        <w:numId w:val="2"/>
      </w:numPr>
      <w:spacing w:after="0"/>
    </w:pPr>
    <w:rPr>
      <w:rFonts w:ascii="Arial" w:eastAsia="Times New Roman" w:hAnsi="Arial" w:cs="Arial"/>
      <w:color w:val="000000"/>
      <w:kern w:val="16"/>
      <w:sz w:val="20"/>
      <w:szCs w:val="20"/>
      <w:lang w:eastAsia="de-DE"/>
    </w:rPr>
  </w:style>
  <w:style w:type="paragraph" w:styleId="Funotentext">
    <w:name w:val="footnote text"/>
    <w:basedOn w:val="Standard"/>
    <w:link w:val="FunotentextZchn"/>
    <w:uiPriority w:val="99"/>
    <w:semiHidden/>
    <w:unhideWhenUsed/>
    <w:rsid w:val="00F90B4B"/>
    <w:pPr>
      <w:spacing w:after="0"/>
    </w:pPr>
    <w:rPr>
      <w:sz w:val="20"/>
      <w:szCs w:val="20"/>
    </w:rPr>
  </w:style>
  <w:style w:type="character" w:customStyle="1" w:styleId="FunotentextZchn">
    <w:name w:val="Fußnotentext Zchn"/>
    <w:basedOn w:val="Absatz-Standardschriftart"/>
    <w:link w:val="Funotentext"/>
    <w:uiPriority w:val="99"/>
    <w:semiHidden/>
    <w:rsid w:val="00F90B4B"/>
    <w:rPr>
      <w:sz w:val="20"/>
      <w:szCs w:val="20"/>
    </w:rPr>
  </w:style>
  <w:style w:type="character" w:styleId="Funotenzeichen">
    <w:name w:val="footnote reference"/>
    <w:basedOn w:val="Absatz-Standardschriftart"/>
    <w:uiPriority w:val="99"/>
    <w:semiHidden/>
    <w:unhideWhenUsed/>
    <w:rsid w:val="00F90B4B"/>
    <w:rPr>
      <w:vertAlign w:val="superscript"/>
    </w:rPr>
  </w:style>
  <w:style w:type="paragraph" w:styleId="Endnotentext">
    <w:name w:val="endnote text"/>
    <w:basedOn w:val="Standard"/>
    <w:link w:val="EndnotentextZchn"/>
    <w:uiPriority w:val="99"/>
    <w:semiHidden/>
    <w:unhideWhenUsed/>
    <w:rsid w:val="009462A0"/>
    <w:pPr>
      <w:spacing w:after="0"/>
    </w:pPr>
    <w:rPr>
      <w:sz w:val="20"/>
      <w:szCs w:val="20"/>
    </w:rPr>
  </w:style>
  <w:style w:type="character" w:customStyle="1" w:styleId="EndnotentextZchn">
    <w:name w:val="Endnotentext Zchn"/>
    <w:basedOn w:val="Absatz-Standardschriftart"/>
    <w:link w:val="Endnotentext"/>
    <w:uiPriority w:val="99"/>
    <w:semiHidden/>
    <w:rsid w:val="009462A0"/>
    <w:rPr>
      <w:sz w:val="20"/>
      <w:szCs w:val="20"/>
    </w:rPr>
  </w:style>
  <w:style w:type="character" w:styleId="Endnotenzeichen">
    <w:name w:val="endnote reference"/>
    <w:basedOn w:val="Absatz-Standardschriftart"/>
    <w:uiPriority w:val="99"/>
    <w:semiHidden/>
    <w:unhideWhenUsed/>
    <w:rsid w:val="009462A0"/>
    <w:rPr>
      <w:vertAlign w:val="superscript"/>
    </w:rPr>
  </w:style>
  <w:style w:type="paragraph" w:styleId="Listenabsatz">
    <w:name w:val="List Paragraph"/>
    <w:basedOn w:val="Standard"/>
    <w:uiPriority w:val="34"/>
    <w:qFormat/>
    <w:rsid w:val="00F76C30"/>
    <w:pPr>
      <w:ind w:left="720"/>
      <w:contextualSpacing/>
    </w:pPr>
  </w:style>
  <w:style w:type="paragraph" w:styleId="Kopfzeile">
    <w:name w:val="header"/>
    <w:basedOn w:val="Standard"/>
    <w:link w:val="KopfzeileZchn"/>
    <w:uiPriority w:val="99"/>
    <w:unhideWhenUsed/>
    <w:rsid w:val="00AE676E"/>
    <w:pPr>
      <w:tabs>
        <w:tab w:val="center" w:pos="4680"/>
        <w:tab w:val="right" w:pos="9360"/>
      </w:tabs>
      <w:spacing w:after="0"/>
    </w:pPr>
  </w:style>
  <w:style w:type="character" w:customStyle="1" w:styleId="KopfzeileZchn">
    <w:name w:val="Kopfzeile Zchn"/>
    <w:basedOn w:val="Absatz-Standardschriftart"/>
    <w:link w:val="Kopfzeile"/>
    <w:uiPriority w:val="99"/>
    <w:rsid w:val="00AE676E"/>
  </w:style>
  <w:style w:type="paragraph" w:styleId="Fuzeile">
    <w:name w:val="footer"/>
    <w:basedOn w:val="Standard"/>
    <w:link w:val="FuzeileZchn"/>
    <w:uiPriority w:val="99"/>
    <w:unhideWhenUsed/>
    <w:rsid w:val="00AE676E"/>
    <w:pPr>
      <w:tabs>
        <w:tab w:val="center" w:pos="4680"/>
        <w:tab w:val="right" w:pos="9360"/>
      </w:tabs>
      <w:spacing w:after="0"/>
    </w:pPr>
  </w:style>
  <w:style w:type="character" w:customStyle="1" w:styleId="FuzeileZchn">
    <w:name w:val="Fußzeile Zchn"/>
    <w:basedOn w:val="Absatz-Standardschriftart"/>
    <w:link w:val="Fuzeile"/>
    <w:uiPriority w:val="99"/>
    <w:rsid w:val="00AE676E"/>
  </w:style>
  <w:style w:type="character" w:styleId="Seitenzahl">
    <w:name w:val="page number"/>
    <w:basedOn w:val="Absatz-Standardschriftart"/>
    <w:uiPriority w:val="99"/>
    <w:semiHidden/>
    <w:unhideWhenUsed/>
    <w:rsid w:val="007E02C4"/>
  </w:style>
  <w:style w:type="paragraph" w:styleId="Sprechblasentext">
    <w:name w:val="Balloon Text"/>
    <w:basedOn w:val="Standard"/>
    <w:link w:val="SprechblasentextZchn"/>
    <w:uiPriority w:val="99"/>
    <w:semiHidden/>
    <w:unhideWhenUsed/>
    <w:rsid w:val="002C701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C70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A924-DC7D-D746-BF44-C3A6F554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3505</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MHE</cp:lastModifiedBy>
  <cp:revision>13</cp:revision>
  <cp:lastPrinted>2021-07-20T12:43:00Z</cp:lastPrinted>
  <dcterms:created xsi:type="dcterms:W3CDTF">2021-07-19T15:00:00Z</dcterms:created>
  <dcterms:modified xsi:type="dcterms:W3CDTF">2021-08-30T18:08:00Z</dcterms:modified>
</cp:coreProperties>
</file>