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 catalogue ingestion specification</w:t>
      </w:r>
    </w:p>
    <w:p>
      <w:r>
        <w:t>12 October 2026 · UMAS v3 · JOYN / JOYN_AT / JOYN_CH</w:t>
      </w:r>
    </w:p>
    <w:p>
      <w:bookmarkStart w:id="1" w:name="sOpen"/>
      <w:pPr>
        <w:pStyle w:val="Heading1"/>
      </w:pPr>
      <w:r>
        <w:t>Open points</w:t>
      </w:r>
      <w:bookmarkEnd w:id="1"/>
    </w:p>
    <w:p>
      <w:pPr>
        <w:pStyle w:val="ListBullet"/>
      </w:pPr>
      <w:r/>
      <w:r>
        <w:rPr>
          <w:b/>
        </w:rPr>
        <w:t>Brand search — §6.3.</w:t>
      </w:r>
      <w:r>
        <w:t xml:space="preserve"> Product must confirm the end-user search requirement. If retained, confirm API access, readable German labels and capacity at ingestion load; otherwise omit name enrichment.</w:t>
      </w:r>
    </w:p>
    <w:p>
      <w:pPr>
        <w:pStyle w:val="ListBullet"/>
      </w:pPr>
      <w:r/>
      <w:r>
        <w:rPr>
          <w:b/>
        </w:rPr>
        <w:t>Series publication date — §7.1.</w:t>
      </w:r>
      <w:r>
        <w:t xml:space="preserve"> Catalogue/backend must provide the field name, scope and delivery timeline. ARES will index the supplied value.</w:t>
      </w:r>
    </w:p>
    <w:p>
      <w:pPr>
        <w:pStyle w:val="ListBullet"/>
      </w:pPr>
      <w:r/>
      <w:r>
        <w:rPr>
          <w:b/>
        </w:rPr>
        <w:t>Counters — §9.1.</w:t>
      </w:r>
      <w:r>
        <w:t xml:space="preserve"> Confirm the proposed 36-field roster, AVOD/SVOD labels for free/plus, the same windows for views, and explicit nulls for unavailable values.</w:t>
      </w:r>
    </w:p>
    <w:p>
      <w:pPr>
        <w:pStyle w:val="ListBullet"/>
      </w:pPr>
      <w:r/>
      <w:r>
        <w:rPr>
          <w:b/>
        </w:rPr>
        <w:t>Fingerprint — §8.1.</w:t>
      </w:r>
      <w:r>
        <w:t xml:space="preserve"> Finalise source keys, boosts, token format and search analysis; both contributing Loaders must use compatible rules.</w:t>
      </w:r>
    </w:p>
    <w:p>
      <w:pPr>
        <w:pStyle w:val="ListBullet"/>
      </w:pPr>
      <w:r/>
      <w:r>
        <w:rPr>
          <w:b/>
        </w:rPr>
        <w:t>Schedule encoding and errors — §5.</w:t>
      </w:r>
      <w:r>
        <w:t xml:space="preserve"> Finalise tuple escaping/order and the rejection policy for invalid bounds. The availability source and exclusion of raw windows are decided.</w:t>
      </w:r>
    </w:p>
    <w:p>
      <w:pPr>
        <w:pStyle w:val="ListBullet"/>
      </w:pPr>
      <w:r/>
      <w:r>
        <w:rPr>
          <w:b/>
        </w:rPr>
        <w:t>Rating exceptions — §6.2.</w:t>
      </w:r>
      <w:r>
        <w:t xml:space="preserve"> Confirm handling when neither FSK nor FSF is usable, conflicting records, and application of the DE/AT policy to JOYN_CH.</w:t>
      </w:r>
    </w:p>
    <w:p>
      <w:pPr>
        <w:pStyle w:val="ListBullet"/>
      </w:pPr>
      <w:r/>
      <w:r>
        <w:rPr>
          <w:b/>
        </w:rPr>
        <w:t>UI and stream filters — §7.2.</w:t>
      </w:r>
      <w:r>
        <w:t xml:space="preserve"> Confirm Middleware title selection and whether the unselected stream-based lane fields are required by DACH.</w:t>
      </w:r>
    </w:p>
    <w:p>
      <w:pPr>
        <w:pStyle w:val="ListBullet"/>
      </w:pPr>
      <w:r/>
      <w:r>
        <w:rPr>
          <w:b/>
        </w:rPr>
        <w:t>Configuration and qualification — §10.</w:t>
      </w:r>
      <w:r>
        <w:t xml:space="preserve"> Reconcile the workbook with derived fields; assign environment identifiers and qualify the deployed Loader, scheduler, Merge, reject and gRPC paths.</w:t>
      </w:r>
    </w:p>
    <w:p>
      <w:bookmarkStart w:id="2" w:name="s1"/>
      <w:pPr>
        <w:pStyle w:val="Heading1"/>
      </w:pPr>
      <w:r>
        <w:t>1 Scope and field ownership</w:t>
      </w:r>
      <w:bookmarkEnd w:id="2"/>
    </w:p>
    <w:p>
      <w:r>
        <w:t xml:space="preserve">Three independent feeds converge on one content index using the same stable UMAS </w:t>
      </w:r>
      <w:r>
        <w:rPr>
          <w:rFonts w:ascii="Liberation Mono" w:hAnsi="Liberation Mono"/>
          <w:color w:val="183047"/>
          <w:sz w:val="17"/>
        </w:rPr>
        <w:t>id</w:t>
      </w:r>
      <w:r>
        <w:t xml:space="preserve">. The supported distribution tenants are </w:t>
      </w:r>
      <w:r>
        <w:rPr>
          <w:b/>
        </w:rPr>
        <w:t>JOYN, JOYN_AT and JOYN_CH</w:t>
      </w:r>
      <w:r>
        <w:t>. The architecture supports N feeds; this contract describes three. No source may overwrite another source's business fields.</w:t>
      </w:r>
    </w:p>
    <w:tbl>
      <w:tblPr>
        <w:tblW w:type="auto" w:w="0"/>
        <w:tblLayout w:type="fixed"/>
        <w:tblLook w:firstColumn="1" w:firstRow="1" w:lastColumn="0" w:lastRow="0" w:noHBand="0" w:noVBand="1" w:val="04A0"/>
      </w:tblPr>
      <w:tblGrid>
        <w:gridCol w:w="3157"/>
        <w:gridCol w:w="2565"/>
        <w:gridCol w:w="4144"/>
      </w:tblGrid>
      <w:tr>
        <w:trPr>
          <w:cantSplit/>
          <w:tblHeader/>
        </w:trPr>
        <w:tc>
          <w:tcPr>
            <w:tcW w:type="dxa" w:w="3157"/>
            <w:shd w:fill="183047"/>
            <w:tcMar>
              <w:top w:w="85" w:type="dxa"/>
              <w:left w:w="85" w:type="dxa"/>
              <w:bottom w:w="85" w:type="dxa"/>
              <w:right w:w="85" w:type="dxa"/>
            </w:tcMar>
          </w:tcPr>
          <w:p>
            <w:pPr>
              <w:spacing w:before="60" w:after="80" w:line="245" w:lineRule="auto"/>
            </w:pPr>
            <w:r>
              <w:rPr>
                <w:b/>
                <w:color w:val="FFFFFF"/>
                <w:sz w:val="18"/>
              </w:rPr>
              <w:t>Feed</w:t>
            </w:r>
          </w:p>
        </w:tc>
        <w:tc>
          <w:tcPr>
            <w:tcW w:type="dxa" w:w="2565"/>
            <w:shd w:fill="183047"/>
            <w:tcMar>
              <w:top w:w="85" w:type="dxa"/>
              <w:left w:w="85" w:type="dxa"/>
              <w:bottom w:w="85" w:type="dxa"/>
              <w:right w:w="85" w:type="dxa"/>
            </w:tcMar>
          </w:tcPr>
          <w:p>
            <w:pPr>
              <w:spacing w:before="60" w:after="80" w:line="245" w:lineRule="auto"/>
            </w:pPr>
            <w:r>
              <w:rPr>
                <w:b/>
                <w:color w:val="FFFFFF"/>
                <w:sz w:val="18"/>
              </w:rPr>
              <w:t>Action</w:t>
            </w:r>
          </w:p>
        </w:tc>
        <w:tc>
          <w:tcPr>
            <w:tcW w:type="dxa" w:w="4144"/>
            <w:shd w:fill="183047"/>
            <w:tcMar>
              <w:top w:w="85" w:type="dxa"/>
              <w:left w:w="85" w:type="dxa"/>
              <w:bottom w:w="85" w:type="dxa"/>
              <w:right w:w="85" w:type="dxa"/>
            </w:tcMar>
          </w:tcPr>
          <w:p>
            <w:pPr>
              <w:spacing w:before="60" w:after="80" w:line="245" w:lineRule="auto"/>
            </w:pPr>
            <w:r>
              <w:rPr>
                <w:b/>
                <w:color w:val="FFFFFF"/>
                <w:sz w:val="18"/>
              </w:rPr>
              <w:t>Owned fields</w:t>
            </w:r>
          </w:p>
        </w:tc>
      </w:tr>
      <w:tr>
        <w:trPr>
          <w:cantSplit/>
        </w:trPr>
        <w:tc>
          <w:tcPr>
            <w:tcW w:type="dxa" w:w="3157"/>
            <w:shd w:fill="F1F5F8"/>
            <w:tcMar>
              <w:top w:w="85" w:type="dxa"/>
              <w:left w:w="85" w:type="dxa"/>
              <w:bottom w:w="85" w:type="dxa"/>
              <w:right w:w="85" w:type="dxa"/>
            </w:tcMar>
          </w:tcPr>
          <w:p>
            <w:pPr>
              <w:spacing w:before="60" w:after="80" w:line="245" w:lineRule="auto"/>
            </w:pPr>
            <w:r>
              <w:rPr>
                <w:sz w:val="18"/>
              </w:rPr>
              <w:t>Super Loader</w:t>
            </w:r>
          </w:p>
        </w:tc>
        <w:tc>
          <w:tcPr>
            <w:tcW w:type="dxa" w:w="2565"/>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uw</w:t>
            </w:r>
            <w:r>
              <w:rPr>
                <w:sz w:val="18"/>
              </w:rPr>
            </w:r>
          </w:p>
        </w:tc>
        <w:tc>
          <w:tcPr>
            <w:tcW w:type="dxa" w:w="4144"/>
            <w:shd w:fill="F1F5F8"/>
            <w:tcMar>
              <w:top w:w="85" w:type="dxa"/>
              <w:left w:w="85" w:type="dxa"/>
              <w:bottom w:w="85" w:type="dxa"/>
              <w:right w:w="85" w:type="dxa"/>
            </w:tcMar>
          </w:tcPr>
          <w:p>
            <w:pPr>
              <w:spacing w:before="60" w:after="80" w:line="245" w:lineRule="auto"/>
            </w:pPr>
            <w:r>
              <w:rPr>
                <w:sz w:val="18"/>
              </w:rPr>
              <w:t xml:space="preserve">Selected UMAS metadata, dates, availability aggregates and </w:t>
            </w:r>
            <w:r>
              <w:rPr>
                <w:rFonts w:ascii="Liberation Mono" w:hAnsi="Liberation Mono"/>
                <w:color w:val="183047"/>
                <w:sz w:val="16"/>
              </w:rPr>
              <w:t>fingerprint_super</w:t>
            </w:r>
            <w:r>
              <w:rPr>
                <w:sz w:val="18"/>
              </w:rPr>
            </w:r>
          </w:p>
        </w:tc>
      </w:tr>
      <w:tr>
        <w:trPr>
          <w:cantSplit/>
        </w:trPr>
        <w:tc>
          <w:tcPr>
            <w:tcW w:type="dxa" w:w="3157"/>
            <w:shd w:fill="FAFBFC"/>
            <w:tcMar>
              <w:top w:w="85" w:type="dxa"/>
              <w:left w:w="85" w:type="dxa"/>
              <w:bottom w:w="85" w:type="dxa"/>
              <w:right w:w="85" w:type="dxa"/>
            </w:tcMar>
          </w:tcPr>
          <w:p>
            <w:pPr>
              <w:spacing w:before="60" w:after="80" w:line="245" w:lineRule="auto"/>
            </w:pPr>
            <w:r>
              <w:rPr>
                <w:sz w:val="18"/>
              </w:rPr>
              <w:t>Metadata Enricher Loader</w:t>
            </w:r>
          </w:p>
        </w:tc>
        <w:tc>
          <w:tcPr>
            <w:tcW w:type="dxa" w:w="2565"/>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u</w:t>
            </w:r>
            <w:r>
              <w:rPr>
                <w:sz w:val="18"/>
              </w:rPr>
            </w:r>
          </w:p>
        </w:tc>
        <w:tc>
          <w:tcPr>
            <w:tcW w:type="dxa" w:w="4144"/>
            <w:shd w:fill="FAFBFC"/>
            <w:tcMar>
              <w:top w:w="85" w:type="dxa"/>
              <w:left w:w="85" w:type="dxa"/>
              <w:bottom w:w="85" w:type="dxa"/>
              <w:right w:w="85" w:type="dxa"/>
            </w:tcMar>
          </w:tcPr>
          <w:p>
            <w:pPr>
              <w:spacing w:before="60" w:after="80" w:line="245" w:lineRule="auto"/>
            </w:pPr>
            <w:r>
              <w:rPr>
                <w:sz w:val="18"/>
              </w:rPr>
              <w:t xml:space="preserve">Enrichment metadata and </w:t>
            </w:r>
            <w:r>
              <w:rPr>
                <w:rFonts w:ascii="Liberation Mono" w:hAnsi="Liberation Mono"/>
                <w:color w:val="183047"/>
                <w:sz w:val="16"/>
              </w:rPr>
              <w:t>fingerprint_metadata</w:t>
            </w:r>
            <w:r>
              <w:rPr>
                <w:sz w:val="18"/>
              </w:rPr>
              <w:t>; detailed provider contract out of scope</w:t>
            </w:r>
          </w:p>
        </w:tc>
      </w:tr>
      <w:tr>
        <w:trPr>
          <w:cantSplit/>
        </w:trPr>
        <w:tc>
          <w:tcPr>
            <w:tcW w:type="dxa" w:w="3157"/>
            <w:shd w:fill="F1F5F8"/>
            <w:tcMar>
              <w:top w:w="85" w:type="dxa"/>
              <w:left w:w="85" w:type="dxa"/>
              <w:bottom w:w="85" w:type="dxa"/>
              <w:right w:w="85" w:type="dxa"/>
            </w:tcMar>
          </w:tcPr>
          <w:p>
            <w:pPr>
              <w:spacing w:before="60" w:after="80" w:line="245" w:lineRule="auto"/>
            </w:pPr>
            <w:r>
              <w:rPr>
                <w:sz w:val="18"/>
              </w:rPr>
              <w:t>Counters Loader</w:t>
            </w:r>
          </w:p>
        </w:tc>
        <w:tc>
          <w:tcPr>
            <w:tcW w:type="dxa" w:w="2565"/>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u</w:t>
            </w:r>
            <w:r>
              <w:rPr>
                <w:sz w:val="18"/>
              </w:rPr>
            </w:r>
          </w:p>
        </w:tc>
        <w:tc>
          <w:tcPr>
            <w:tcW w:type="dxa" w:w="4144"/>
            <w:shd w:fill="F1F5F8"/>
            <w:tcMar>
              <w:top w:w="85" w:type="dxa"/>
              <w:left w:w="85" w:type="dxa"/>
              <w:bottom w:w="85" w:type="dxa"/>
              <w:right w:w="85" w:type="dxa"/>
            </w:tcMar>
          </w:tcPr>
          <w:p>
            <w:pPr>
              <w:spacing w:before="60" w:after="80" w:line="245" w:lineRule="auto"/>
            </w:pPr>
            <w:r>
              <w:rPr>
                <w:sz w:val="18"/>
              </w:rPr>
              <w:t xml:space="preserve">Precomputed </w:t>
            </w:r>
            <w:r>
              <w:rPr>
                <w:rFonts w:ascii="Liberation Mono" w:hAnsi="Liberation Mono"/>
                <w:color w:val="183047"/>
                <w:sz w:val="16"/>
              </w:rPr>
              <w:t>views_*</w:t>
            </w:r>
            <w:r>
              <w:rPr>
                <w:sz w:val="18"/>
              </w:rPr>
              <w:t xml:space="preserve"> and </w:t>
            </w:r>
            <w:r>
              <w:rPr>
                <w:rFonts w:ascii="Liberation Mono" w:hAnsi="Liberation Mono"/>
                <w:color w:val="183047"/>
                <w:sz w:val="16"/>
              </w:rPr>
              <w:t>unique_viewers_*</w:t>
            </w:r>
            <w:r>
              <w:rPr>
                <w:sz w:val="18"/>
              </w:rPr>
              <w:t xml:space="preserve"> fields only</w:t>
            </w:r>
          </w:p>
        </w:tc>
      </w:tr>
    </w:tbl>
    <w:p>
      <w:pPr>
        <w:spacing w:after="0" w:before="0" w:line="60" w:lineRule="exact"/>
      </w:pPr>
      <w:r>
        <w:rPr>
          <w:sz w:val="6"/>
        </w:rPr>
      </w:r>
    </w:p>
    <w:p>
      <w:r>
        <w:t xml:space="preserve">Ordinary submissions contain the complete document owned by their source. For counters, this means ID plus the complete counter snapshot; it does not mean resending UMAS metadata. The only producer exception is action </w:t>
      </w:r>
      <w:r>
        <w:rPr>
          <w:rFonts w:ascii="Liberation Mono" w:hAnsi="Liberation Mono"/>
          <w:color w:val="183047"/>
          <w:sz w:val="17"/>
        </w:rPr>
        <w:t>d</w:t>
      </w:r>
      <w:r>
        <w:t>, whose payload contains the content ID only.</w:t>
      </w:r>
    </w:p>
    <w:p>
      <w:r>
        <w:t xml:space="preserve">An upsert merges supplied fields; omitted fields remain stored. Explicit resets are therefore required: </w:t>
      </w:r>
      <w:r>
        <w:rPr>
          <w:rFonts w:ascii="Liberation Mono" w:hAnsi="Liberation Mono"/>
          <w:color w:val="183047"/>
          <w:sz w:val="17"/>
        </w:rPr>
        <w:t>null</w:t>
      </w:r>
      <w:r>
        <w:t xml:space="preserve"> for absent scalar dates, </w:t>
      </w:r>
      <w:r>
        <w:rPr>
          <w:rFonts w:ascii="Liberation Mono" w:hAnsi="Liberation Mono"/>
          <w:color w:val="183047"/>
          <w:sz w:val="17"/>
        </w:rPr>
        <w:t>[]</w:t>
      </w:r>
      <w:r>
        <w:t xml:space="preserve"> for absent lists and </w:t>
      </w:r>
      <w:r>
        <w:rPr>
          <w:rFonts w:ascii="Liberation Mono" w:hAnsi="Liberation Mono"/>
          <w:color w:val="183047"/>
          <w:sz w:val="17"/>
        </w:rPr>
        <w:t>""</w:t>
      </w:r>
      <w:r>
        <w:t xml:space="preserve"> for a cleared fingerprint contribution. Whole-document replacement would erase data from other feeds.</w:t>
      </w:r>
    </w:p>
    <w:p>
      <w:pPr>
        <w:sectPr>
          <w:footerReference w:type="default" r:id="rId9"/>
          <w:pgSz w:w="11906" w:h="16838"/>
          <w:pgMar w:top="850" w:right="1020" w:bottom="850" w:left="1020" w:header="720" w:footer="397" w:gutter="0"/>
          <w:cols w:space="720"/>
          <w:docGrid w:linePitch="360"/>
        </w:sectPr>
      </w:pPr>
    </w:p>
    <w:p>
      <w:bookmarkStart w:id="3" w:name="s2"/>
      <w:pPr>
        <w:pStyle w:val="Heading1"/>
      </w:pPr>
      <w:r>
        <w:t>2 Ingestion flow</w:t>
      </w:r>
      <w:bookmarkEnd w:id="3"/>
    </w:p>
    <w:p>
      <w:r>
        <w:t>One index, one content ID, three independently owned sets of metadata. UMAS ingestion is continuous; Metadata and Analytics must not delay it.</w:t>
      </w:r>
    </w:p>
    <w:p>
      <w:pPr>
        <w:spacing w:after="0"/>
      </w:pPr>
      <w:r>
        <w:drawing>
          <wp:inline xmlns:a="http://schemas.openxmlformats.org/drawingml/2006/main" xmlns:pic="http://schemas.openxmlformats.org/drawingml/2006/picture">
            <wp:extent cx="9612000" cy="5947425"/>
            <wp:docPr id="1" name="Picture 1" descr="Three source-owned ingestion lanes converge on one content index, with external Metadata reject notification through AWS SQS."/>
            <wp:cNvGraphicFramePr>
              <a:graphicFrameLocks noChangeAspect="1"/>
            </wp:cNvGraphicFramePr>
            <a:graphic>
              <a:graphicData uri="http://schemas.openxmlformats.org/drawingml/2006/picture">
                <pic:pic>
                  <pic:nvPicPr>
                    <pic:cNvPr id="0" name="ingestion-three-lanes.png"/>
                    <pic:cNvPicPr/>
                  </pic:nvPicPr>
                  <pic:blipFill>
                    <a:blip r:embed="rId10"/>
                    <a:stretch>
                      <a:fillRect/>
                    </a:stretch>
                  </pic:blipFill>
                  <pic:spPr>
                    <a:xfrm>
                      <a:off x="0" y="0"/>
                      <a:ext cx="9612000" cy="5947425"/>
                    </a:xfrm>
                    <a:prstGeom prst="rect"/>
                  </pic:spPr>
                </pic:pic>
              </a:graphicData>
            </a:graphic>
          </wp:inline>
        </w:drawing>
      </w:r>
    </w:p>
    <w:p>
      <w:pPr>
        <w:sectPr>
          <w:pgSz w:w="16838" w:h="11906" w:orient="landscape"/>
          <w:pgMar w:top="737" w:right="850" w:bottom="680" w:left="850" w:header="720" w:footer="397" w:gutter="0"/>
          <w:cols w:space="720"/>
          <w:docGrid w:linePitch="360"/>
        </w:sectPr>
      </w:pPr>
    </w:p>
    <w:p>
      <w:bookmarkStart w:id="4" w:name="s3"/>
      <w:pPr>
        <w:pStyle w:val="Heading1"/>
      </w:pPr>
      <w:r>
        <w:t>3 Realtime transport and write actions</w:t>
      </w:r>
      <w:bookmarkEnd w:id="4"/>
    </w:p>
    <w:p>
      <w:bookmarkStart w:id="5" w:name="s3_1"/>
      <w:pPr>
        <w:pStyle w:val="Heading2"/>
      </w:pPr>
      <w:r>
        <w:t>3.1 gRPC contract</w:t>
      </w:r>
      <w:bookmarkEnd w:id="5"/>
    </w:p>
    <w:p>
      <w:r>
        <w:t xml:space="preserve">The Kafka Consumer continuously consumes catalogue events and forwards full UMAS documents to </w:t>
      </w:r>
      <w:r>
        <w:rPr>
          <w:rFonts w:ascii="Liberation Mono" w:hAnsi="Liberation Mono"/>
          <w:color w:val="183047"/>
          <w:sz w:val="17"/>
        </w:rPr>
        <w:t>ares-ingress</w:t>
      </w:r>
      <w:r>
        <w:t xml:space="preserve">. Ordinary content updates must not wait for periodic exports. Use the existing bidirectional </w:t>
      </w:r>
      <w:r>
        <w:rPr>
          <w:rFonts w:ascii="Liberation Mono" w:hAnsi="Liberation Mono"/>
          <w:color w:val="183047"/>
          <w:sz w:val="17"/>
        </w:rPr>
        <w:t>AresIngress.stream</w:t>
      </w:r>
      <w:r>
        <w:t xml:space="preserve"> RPC with a persistent connection and bounded in-flight messages.</w:t>
      </w:r>
    </w:p>
    <w:tbl>
      <w:tblPr>
        <w:tblW w:type="auto" w:w="0"/>
        <w:tblLayout w:type="fixed"/>
        <w:tblLook w:firstColumn="1" w:firstRow="1" w:lastColumn="0" w:lastRow="0" w:noHBand="0" w:noVBand="1" w:val="04A0"/>
      </w:tblPr>
      <w:tblGrid>
        <w:gridCol w:w="3058"/>
        <w:gridCol w:w="6808"/>
      </w:tblGrid>
      <w:tr>
        <w:trPr>
          <w:cantSplit/>
          <w:tblHeader/>
        </w:trPr>
        <w:tc>
          <w:tcPr>
            <w:tcW w:type="dxa" w:w="3058"/>
            <w:shd w:fill="183047"/>
            <w:tcMar>
              <w:top w:w="85" w:type="dxa"/>
              <w:left w:w="85" w:type="dxa"/>
              <w:bottom w:w="85" w:type="dxa"/>
              <w:right w:w="85" w:type="dxa"/>
            </w:tcMar>
          </w:tcPr>
          <w:p>
            <w:pPr>
              <w:spacing w:before="60" w:after="80" w:line="245" w:lineRule="auto"/>
            </w:pPr>
            <w:r>
              <w:rPr>
                <w:b/>
                <w:color w:val="FFFFFF"/>
                <w:sz w:val="18"/>
              </w:rPr>
              <w:t>Request field</w:t>
            </w:r>
          </w:p>
        </w:tc>
        <w:tc>
          <w:tcPr>
            <w:tcW w:type="dxa" w:w="6808"/>
            <w:shd w:fill="183047"/>
            <w:tcMar>
              <w:top w:w="85" w:type="dxa"/>
              <w:left w:w="85" w:type="dxa"/>
              <w:bottom w:w="85" w:type="dxa"/>
              <w:right w:w="85" w:type="dxa"/>
            </w:tcMar>
          </w:tcPr>
          <w:p>
            <w:pPr>
              <w:spacing w:before="60" w:after="80" w:line="245" w:lineRule="auto"/>
            </w:pPr>
            <w:r>
              <w:rPr>
                <w:b/>
                <w:color w:val="FFFFFF"/>
                <w:sz w:val="18"/>
              </w:rPr>
              <w:t>Meaning</w:t>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transactionId</w:t>
            </w:r>
            <w:r>
              <w:rPr>
                <w:sz w:val="18"/>
              </w:rPr>
            </w:r>
          </w:p>
        </w:tc>
        <w:tc>
          <w:tcPr>
            <w:tcW w:type="dxa" w:w="6808"/>
            <w:shd w:fill="F1F5F8"/>
            <w:tcMar>
              <w:top w:w="85" w:type="dxa"/>
              <w:left w:w="85" w:type="dxa"/>
              <w:bottom w:w="85" w:type="dxa"/>
              <w:right w:w="85" w:type="dxa"/>
            </w:tcMar>
          </w:tcPr>
          <w:p>
            <w:pPr>
              <w:spacing w:before="60" w:after="80" w:line="245" w:lineRule="auto"/>
            </w:pPr>
            <w:r>
              <w:rPr>
                <w:sz w:val="18"/>
              </w:rPr>
              <w:t>Producer-generated unique message correlation ID</w:t>
            </w:r>
          </w:p>
        </w:tc>
      </w:tr>
      <w:tr>
        <w:trPr>
          <w:cantSplit/>
        </w:trPr>
        <w:tc>
          <w:tcPr>
            <w:tcW w:type="dxa" w:w="3058"/>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token</w:t>
            </w:r>
            <w:r>
              <w:rPr>
                <w:sz w:val="18"/>
              </w:rPr>
            </w:r>
          </w:p>
        </w:tc>
        <w:tc>
          <w:tcPr>
            <w:tcW w:type="dxa" w:w="6808"/>
            <w:shd w:fill="FAFBFC"/>
            <w:tcMar>
              <w:top w:w="85" w:type="dxa"/>
              <w:left w:w="85" w:type="dxa"/>
              <w:bottom w:w="85" w:type="dxa"/>
              <w:right w:w="85" w:type="dxa"/>
            </w:tcMar>
          </w:tcPr>
          <w:p>
            <w:pPr>
              <w:spacing w:before="60" w:after="80" w:line="245" w:lineRule="auto"/>
            </w:pPr>
            <w:r>
              <w:rPr>
                <w:sz w:val="18"/>
              </w:rPr>
              <w:t>Loader access token in each message; determines routing and permitted actions</w:t>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action</w:t>
            </w:r>
            <w:r>
              <w:rPr>
                <w:sz w:val="18"/>
              </w:rPr>
            </w:r>
          </w:p>
        </w:tc>
        <w:tc>
          <w:tcPr>
            <w:tcW w:type="dxa" w:w="6808"/>
            <w:shd w:fill="F1F5F8"/>
            <w:tcMar>
              <w:top w:w="85" w:type="dxa"/>
              <w:left w:w="85" w:type="dxa"/>
              <w:bottom w:w="85" w:type="dxa"/>
              <w:right w:w="85" w:type="dxa"/>
            </w:tcMar>
          </w:tcPr>
          <w:p>
            <w:pPr>
              <w:spacing w:before="60" w:after="80" w:line="245" w:lineRule="auto"/>
            </w:pPr>
            <w:r>
              <w:rPr>
                <w:sz w:val="18"/>
              </w:rPr>
              <w:t xml:space="preserve">Protocol enum: </w:t>
            </w:r>
            <w:r>
              <w:rPr>
                <w:rFonts w:ascii="Liberation Mono" w:hAnsi="Liberation Mono"/>
                <w:color w:val="183047"/>
                <w:sz w:val="16"/>
              </w:rPr>
              <w:t>u = 1</w:t>
            </w:r>
            <w:r>
              <w:rPr>
                <w:sz w:val="18"/>
              </w:rPr>
              <w:t xml:space="preserve">, </w:t>
            </w:r>
            <w:r>
              <w:rPr>
                <w:rFonts w:ascii="Liberation Mono" w:hAnsi="Liberation Mono"/>
                <w:color w:val="183047"/>
                <w:sz w:val="16"/>
              </w:rPr>
              <w:t>uw = 2</w:t>
            </w:r>
            <w:r>
              <w:rPr>
                <w:sz w:val="18"/>
              </w:rPr>
              <w:t xml:space="preserve">, </w:t>
            </w:r>
            <w:r>
              <w:rPr>
                <w:rFonts w:ascii="Liberation Mono" w:hAnsi="Liberation Mono"/>
                <w:color w:val="183047"/>
                <w:sz w:val="16"/>
              </w:rPr>
              <w:t>d = 3</w:t>
            </w:r>
            <w:r>
              <w:rPr>
                <w:sz w:val="18"/>
              </w:rPr>
              <w:t xml:space="preserve">; replacement </w:t>
            </w:r>
            <w:r>
              <w:rPr>
                <w:rFonts w:ascii="Liberation Mono" w:hAnsi="Liberation Mono"/>
                <w:color w:val="183047"/>
                <w:sz w:val="16"/>
              </w:rPr>
              <w:t>w = 0</w:t>
            </w:r>
            <w:r>
              <w:rPr>
                <w:sz w:val="18"/>
              </w:rPr>
              <w:t xml:space="preserve"> is not used by this design</w:t>
            </w:r>
          </w:p>
        </w:tc>
      </w:tr>
      <w:tr>
        <w:trPr>
          <w:cantSplit/>
        </w:trPr>
        <w:tc>
          <w:tcPr>
            <w:tcW w:type="dxa" w:w="3058"/>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jsonObj</w:t>
            </w:r>
            <w:r>
              <w:rPr>
                <w:sz w:val="18"/>
              </w:rPr>
            </w:r>
          </w:p>
        </w:tc>
        <w:tc>
          <w:tcPr>
            <w:tcW w:type="dxa" w:w="6808"/>
            <w:shd w:fill="FAFBFC"/>
            <w:tcMar>
              <w:top w:w="85" w:type="dxa"/>
              <w:left w:w="85" w:type="dxa"/>
              <w:bottom w:w="85" w:type="dxa"/>
              <w:right w:w="85" w:type="dxa"/>
            </w:tcMar>
          </w:tcPr>
          <w:p>
            <w:pPr>
              <w:spacing w:before="60" w:after="80" w:line="245" w:lineRule="auto"/>
            </w:pPr>
            <w:r>
              <w:rPr>
                <w:sz w:val="18"/>
              </w:rPr>
              <w:t>String containing the JSON document; the two supplied input schemas validate this object</w:t>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compressed</w:t>
            </w:r>
            <w:r>
              <w:rPr>
                <w:sz w:val="18"/>
              </w:rPr>
            </w:r>
          </w:p>
        </w:tc>
        <w:tc>
          <w:tcPr>
            <w:tcW w:type="dxa" w:w="6808"/>
            <w:shd w:fill="F1F5F8"/>
            <w:tcMar>
              <w:top w:w="85" w:type="dxa"/>
              <w:left w:w="85" w:type="dxa"/>
              <w:bottom w:w="85" w:type="dxa"/>
              <w:right w:w="85" w:type="dxa"/>
            </w:tcMar>
          </w:tcPr>
          <w:p>
            <w:pPr>
              <w:spacing w:before="60" w:after="80" w:line="245" w:lineRule="auto"/>
            </w:pPr>
            <w:r>
              <w:rPr>
                <w:sz w:val="18"/>
              </w:rPr>
              <w:t xml:space="preserve">Use </w:t>
            </w:r>
            <w:r>
              <w:rPr>
                <w:rFonts w:ascii="Liberation Mono" w:hAnsi="Liberation Mono"/>
                <w:color w:val="183047"/>
                <w:sz w:val="16"/>
              </w:rPr>
              <w:t>false</w:t>
            </w:r>
            <w:r>
              <w:rPr>
                <w:sz w:val="18"/>
              </w:rPr>
              <w:t xml:space="preserve"> for plain JSON; negotiate the supported codec before enabling compression</w:t>
            </w:r>
          </w:p>
        </w:tc>
      </w:tr>
    </w:tbl>
    <w:p>
      <w:pPr>
        <w:spacing w:after="0" w:before="0" w:line="60" w:lineRule="exact"/>
      </w:pPr>
      <w:r>
        <w:rPr>
          <w:sz w:val="6"/>
        </w:rPr>
      </w:r>
    </w:p>
    <w:p>
      <w:r>
        <w:t xml:space="preserve">The response carries </w:t>
      </w:r>
      <w:r>
        <w:rPr>
          <w:rFonts w:ascii="Liberation Mono" w:hAnsi="Liberation Mono"/>
          <w:color w:val="183047"/>
          <w:sz w:val="17"/>
        </w:rPr>
        <w:t>transactionId</w:t>
      </w:r>
      <w:r>
        <w:t xml:space="preserve">, </w:t>
      </w:r>
      <w:r>
        <w:rPr>
          <w:rFonts w:ascii="Liberation Mono" w:hAnsi="Liberation Mono"/>
          <w:color w:val="183047"/>
          <w:sz w:val="17"/>
        </w:rPr>
        <w:t>status</w:t>
      </w:r>
      <w:r>
        <w:t xml:space="preserve"> (</w:t>
      </w:r>
      <w:r>
        <w:rPr>
          <w:rFonts w:ascii="Liberation Mono" w:hAnsi="Liberation Mono"/>
          <w:color w:val="183047"/>
          <w:sz w:val="17"/>
        </w:rPr>
        <w:t>OK</w:t>
      </w:r>
      <w:r>
        <w:t xml:space="preserve"> or </w:t>
      </w:r>
      <w:r>
        <w:rPr>
          <w:rFonts w:ascii="Liberation Mono" w:hAnsi="Liberation Mono"/>
          <w:color w:val="183047"/>
          <w:sz w:val="17"/>
        </w:rPr>
        <w:t>KO</w:t>
      </w:r>
      <w:r>
        <w:t xml:space="preserve">) and </w:t>
      </w:r>
      <w:r>
        <w:rPr>
          <w:rFonts w:ascii="Liberation Mono" w:hAnsi="Liberation Mono"/>
          <w:color w:val="183047"/>
          <w:sz w:val="17"/>
        </w:rPr>
        <w:t>errorCode</w:t>
      </w:r>
      <w:r>
        <w:t>. Correlate each response independently; do not assume completion order. Honour backpressure, bound buffering and drain outstanding responses before closing the stream. Reconnect/replay must retain message correlation and source order for each content ID.</w:t>
      </w:r>
    </w:p>
    <w:p>
      <w:r>
        <w:t xml:space="preserve">An </w:t>
      </w:r>
      <w:r>
        <w:rPr>
          <w:rFonts w:ascii="Liberation Mono" w:hAnsi="Liberation Mono"/>
          <w:color w:val="183047"/>
          <w:sz w:val="17"/>
        </w:rPr>
        <w:t>OK</w:t>
      </w:r>
      <w:r>
        <w:t xml:space="preserve"> acknowledges input validation and queueing. It does </w:t>
      </w:r>
      <w:r>
        <w:rPr>
          <w:b/>
        </w:rPr>
        <w:t>not</w:t>
      </w:r>
      <w:r>
        <w:t xml:space="preserve"> confirm an OpenSearch write, schedule persistence or search visibility. Track event-to-ingress and event-to-index latency separately. Protocol basis: the existing ingress guide v1.0, 21 September 2026, §§3–6, and </w:t>
      </w:r>
      <w:r>
        <w:rPr>
          <w:rFonts w:ascii="Liberation Mono" w:hAnsi="Liberation Mono"/>
          <w:color w:val="183047"/>
          <w:sz w:val="17"/>
        </w:rPr>
        <w:t>ares-ingress/protobuf.proto</w:t>
      </w:r>
      <w:r>
        <w:t>; verify environment endpoint, TLS, tokens and protocol compatibility before activation.</w:t>
      </w:r>
    </w:p>
    <w:p>
      <w:bookmarkStart w:id="6" w:name="s3_2"/>
      <w:pPr>
        <w:pStyle w:val="Heading2"/>
      </w:pPr>
      <w:r>
        <w:t>3.2 Actions and lifecycle</w:t>
      </w:r>
      <w:bookmarkEnd w:id="6"/>
    </w:p>
    <w:p>
      <w:r>
        <w:t xml:space="preserve">UMAS creation and refresh use </w:t>
      </w:r>
      <w:r>
        <w:rPr>
          <w:rFonts w:ascii="Liberation Mono" w:hAnsi="Liberation Mono"/>
          <w:color w:val="183047"/>
          <w:sz w:val="17"/>
        </w:rPr>
        <w:t>uw</w:t>
      </w:r>
      <w:r>
        <w:t xml:space="preserve">. Deactivation also uses </w:t>
      </w:r>
      <w:r>
        <w:rPr>
          <w:rFonts w:ascii="Liberation Mono" w:hAnsi="Liberation Mono"/>
          <w:color w:val="183047"/>
          <w:sz w:val="17"/>
        </w:rPr>
        <w:t>uw</w:t>
      </w:r>
      <w:r>
        <w:t xml:space="preserve">, sending the full source document with </w:t>
      </w:r>
      <w:r>
        <w:rPr>
          <w:rFonts w:ascii="Liberation Mono" w:hAnsi="Liberation Mono"/>
          <w:color w:val="183047"/>
          <w:sz w:val="17"/>
        </w:rPr>
        <w:t>publishingStatus=INACTIVE</w:t>
      </w:r>
      <w:r>
        <w:t xml:space="preserve">; schedules produce empty availability aggregates. Deletion uses </w:t>
      </w:r>
      <w:r>
        <w:rPr>
          <w:rFonts w:ascii="Liberation Mono" w:hAnsi="Liberation Mono"/>
          <w:color w:val="183047"/>
          <w:sz w:val="17"/>
        </w:rPr>
        <w:t>d</w:t>
      </w:r>
      <w:r>
        <w:t xml:space="preserve"> with, for example, </w:t>
      </w:r>
      <w:r>
        <w:rPr>
          <w:rFonts w:ascii="Liberation Mono" w:hAnsi="Liberation Mono"/>
          <w:color w:val="183047"/>
          <w:sz w:val="17"/>
        </w:rPr>
        <w:t>{"id":"SYNTHETIC-001"}</w:t>
      </w:r>
      <w:r>
        <w:t>. The Kafka Consumer translates upstream lifecycle events into these actions. Timeslot boundaries are handled internally by ARES schedules.</w:t>
      </w:r>
    </w:p>
    <w:p>
      <w:r>
        <w:t xml:space="preserve">Metadata and Counters use </w:t>
      </w:r>
      <w:r>
        <w:rPr>
          <w:rFonts w:ascii="Liberation Mono" w:hAnsi="Liberation Mono"/>
          <w:color w:val="183047"/>
          <w:sz w:val="17"/>
        </w:rPr>
        <w:t>u</w:t>
      </w:r>
      <w:r>
        <w:t xml:space="preserve"> only: missing content must fail rather than create an incomplete document. Tokens must enforce the allowed actions per feed. A deletion must remove the content and associated schedules; test this combined lifecycle before activation.</w:t>
      </w:r>
    </w:p>
    <w:p>
      <w:bookmarkStart w:id="7" w:name="s4"/>
      <w:pPr>
        <w:pStyle w:val="Heading1"/>
      </w:pPr>
      <w:r>
        <w:t>4 Import filtering and flat output</w:t>
      </w:r>
      <w:bookmarkEnd w:id="7"/>
    </w:p>
    <w:p>
      <w:r>
        <w:t>The processing order is: input decorators → pipeline Include and list filters → synthesis/source fingerprint → output decorators → schedules/current state → exclude source windows → flat output → output validation → write/Merge.</w:t>
      </w:r>
    </w:p>
    <w:p>
      <w:r>
        <w:t xml:space="preserve">Include is the first stage inside </w:t>
      </w:r>
      <w:r>
        <w:rPr>
          <w:rFonts w:ascii="Liberation Mono" w:hAnsi="Liberation Mono"/>
          <w:color w:val="183047"/>
          <w:sz w:val="17"/>
        </w:rPr>
        <w:t>ares-pipeline</w:t>
      </w:r>
      <w:r>
        <w:t xml:space="preserve">; input decorators run before it. Include selects structural fields. A list filter removes complete elements and preserves the alignment of their children. For example, </w:t>
      </w:r>
      <w:r>
        <w:rPr>
          <w:rFonts w:ascii="Liberation Mono" w:hAnsi="Liberation Mono"/>
          <w:color w:val="183047"/>
          <w:sz w:val="17"/>
        </w:rPr>
        <w:t>titles[language.code=deu][type=main]</w:t>
      </w:r>
      <w:r>
        <w:t xml:space="preserve"> retains German main-title objects. </w:t>
      </w:r>
      <w:r>
        <w:rPr>
          <w:rFonts w:ascii="Liberation Mono" w:hAnsi="Liberation Mono"/>
          <w:color w:val="183047"/>
          <w:sz w:val="17"/>
        </w:rPr>
        <w:t>=</w:t>
      </w:r>
      <w:r>
        <w:t xml:space="preserve"> selects, </w:t>
      </w:r>
      <w:r>
        <w:rPr>
          <w:rFonts w:ascii="Liberation Mono" w:hAnsi="Liberation Mono"/>
          <w:color w:val="183047"/>
          <w:sz w:val="17"/>
        </w:rPr>
        <w:t>!=</w:t>
      </w:r>
      <w:r>
        <w:t xml:space="preserve"> excludes, </w:t>
      </w:r>
      <w:r>
        <w:rPr>
          <w:rFonts w:ascii="Liberation Mono" w:hAnsi="Liberation Mono"/>
          <w:color w:val="183047"/>
          <w:sz w:val="17"/>
        </w:rPr>
        <w:t>|</w:t>
      </w:r>
      <w:r>
        <w:t xml:space="preserve"> expresses alternatives and successive predicates are ANDed.</w:t>
      </w:r>
    </w:p>
    <w:p>
      <w:r>
        <w:t xml:space="preserve">The returned workbook also selects German genre and keyword names through </w:t>
      </w:r>
      <w:r>
        <w:rPr>
          <w:rFonts w:ascii="Liberation Mono" w:hAnsi="Liberation Mono"/>
          <w:color w:val="183047"/>
          <w:sz w:val="17"/>
        </w:rPr>
        <w:t>genres[].names[language.code=deu]</w:t>
      </w:r>
      <w:r>
        <w:t xml:space="preserve"> and </w:t>
      </w:r>
      <w:r>
        <w:rPr>
          <w:rFonts w:ascii="Liberation Mono" w:hAnsi="Liberation Mono"/>
          <w:color w:val="183047"/>
          <w:sz w:val="17"/>
        </w:rPr>
        <w:t>keywords[].names[language.code=deu]</w:t>
      </w:r>
      <w:r>
        <w:t>. Keep all CTS tag values together, without category selection. Limit market-bearing visibility/airing lists to the three configured DACH tenants. Preserve future windows and all fields used by schedules until calculation; filtering those windows changes scheduled availability.</w:t>
      </w:r>
    </w:p>
    <w:p>
      <w:pPr>
        <w:sectPr>
          <w:pgSz w:w="11906" w:h="16838"/>
          <w:pgMar w:top="850" w:right="1020" w:bottom="850" w:left="1020" w:header="720" w:footer="397" w:gutter="0"/>
          <w:cols w:space="720"/>
          <w:docGrid w:linePitch="360"/>
        </w:sectPr>
      </w:pPr>
    </w:p>
    <w:p>
      <w:bookmarkStart w:id="8" w:name="s4_1"/>
      <w:pPr>
        <w:pStyle w:val="Heading2"/>
      </w:pPr>
      <w:r>
        <w:t>4.1 Flat contract and query trade-off</w:t>
      </w:r>
      <w:bookmarkEnd w:id="8"/>
    </w:p>
    <w:p>
      <w:r/>
      <w:r>
        <w:rPr>
          <w:rFonts w:ascii="Liberation Mono" w:hAnsi="Liberation Mono"/>
          <w:color w:val="183047"/>
          <w:sz w:val="17"/>
        </w:rPr>
        <w:t>flatJsonOutput=true</w:t>
      </w:r>
      <w:r>
        <w:t xml:space="preserve"> is the agreed UMAS configuration. Root names remain unchanged (</w:t>
      </w:r>
      <w:r>
        <w:rPr>
          <w:rFonts w:ascii="Liberation Mono" w:hAnsi="Liberation Mono"/>
          <w:color w:val="183047"/>
          <w:sz w:val="17"/>
        </w:rPr>
        <w:t>productionYear</w:t>
      </w:r>
      <w:r>
        <w:t>); nested leaves become snake_case (</w:t>
      </w:r>
      <w:r>
        <w:rPr>
          <w:rFonts w:ascii="Liberation Mono" w:hAnsi="Liberation Mono"/>
          <w:color w:val="183047"/>
          <w:sz w:val="17"/>
        </w:rPr>
        <w:t>titles[].text</w:t>
      </w:r>
      <w:r>
        <w:t xml:space="preserve"> → </w:t>
      </w:r>
      <w:r>
        <w:rPr>
          <w:rFonts w:ascii="Liberation Mono" w:hAnsi="Liberation Mono"/>
          <w:color w:val="183047"/>
          <w:sz w:val="17"/>
        </w:rPr>
        <w:t>titles_text</w:t>
      </w:r>
      <w:r>
        <w:t xml:space="preserve">). Primitive lists remain lists, including a singleton title. First-level object arrays retain placeholders in the resulting JSON; deeper arrays concatenate. Declare null/empty outputs in </w:t>
      </w:r>
      <w:r>
        <w:rPr>
          <w:rFonts w:ascii="Liberation Mono" w:hAnsi="Liberation Mono"/>
          <w:color w:val="183047"/>
          <w:sz w:val="17"/>
        </w:rPr>
        <w:t>schema.output</w:t>
      </w:r>
      <w:r>
        <w:t xml:space="preserve"> so they survive flattening and clear old values.</w:t>
      </w:r>
    </w:p>
    <w:p>
      <w:r>
        <w:t>Flat fields give ARES direct keys for OpenSearch filtering, sorting, aggregations and text search. They avoid nested-query requirements for the selected use cases. They do not preserve same-object relationships in indexed arrays.</w:t>
      </w:r>
    </w:p>
    <w:p>
      <w:r>
        <w:t xml:space="preserve">For example, source crew entries </w:t>
      </w:r>
      <w:r>
        <w:rPr>
          <w:rFonts w:ascii="Liberation Mono" w:hAnsi="Liberation Mono"/>
          <w:color w:val="183047"/>
          <w:sz w:val="17"/>
        </w:rPr>
        <w:t>[{"name":"Person A","role":"producer"},{"name":"Person B","role":"director"}]</w:t>
      </w:r>
      <w:r>
        <w:t xml:space="preserve"> must not satisfy “Person A is the director”. With </w:t>
      </w:r>
      <w:r>
        <w:rPr>
          <w:rFonts w:ascii="Liberation Mono" w:hAnsi="Liberation Mono"/>
          <w:color w:val="183047"/>
          <w:sz w:val="17"/>
        </w:rPr>
        <w:t>crew</w:t>
      </w:r>
      <w:r>
        <w:t xml:space="preserve"> mapped as </w:t>
      </w:r>
      <w:r>
        <w:rPr>
          <w:rFonts w:ascii="Liberation Mono" w:hAnsi="Liberation Mono"/>
          <w:color w:val="183047"/>
          <w:sz w:val="17"/>
        </w:rPr>
        <w:t>nested</w:t>
      </w:r>
      <w:r>
        <w:t>, the following query correctly returns no match:</w:t>
      </w:r>
    </w:p>
    <w:p>
      <w:pPr>
        <w:keepLines/>
        <w:spacing w:after="140"/>
        <w:shd w:fill="F1F5F8"/>
      </w:pPr>
      <w:r>
        <w:rPr>
          <w:rFonts w:ascii="Liberation Mono" w:hAnsi="Liberation Mono"/>
          <w:sz w:val="16"/>
        </w:rPr>
        <w:t>{"query":{"nested":{"path":"crew","query":{"bool":{"filter":[</w:t>
        <w:br/>
        <w:t xml:space="preserve">  {"term":{"crew.name.keyword":"Person A"}},</w:t>
        <w:br/>
        <w:t xml:space="preserve">  {"term":{"crew.role":"director"}}</w:t>
        <w:br/>
        <w:t>]}}}}}</w:t>
      </w:r>
    </w:p>
    <w:p>
      <w:r>
        <w:t xml:space="preserve">Using those conditions on independent </w:t>
      </w:r>
      <w:r>
        <w:rPr>
          <w:rFonts w:ascii="Liberation Mono" w:hAnsi="Liberation Mono"/>
          <w:color w:val="183047"/>
          <w:sz w:val="17"/>
        </w:rPr>
        <w:t>crew_name</w:t>
      </w:r>
      <w:r>
        <w:t xml:space="preserve"> and </w:t>
      </w:r>
      <w:r>
        <w:rPr>
          <w:rFonts w:ascii="Liberation Mono" w:hAnsi="Liberation Mono"/>
          <w:color w:val="183047"/>
          <w:sz w:val="17"/>
        </w:rPr>
        <w:t>crew_role</w:t>
      </w:r>
      <w:r>
        <w:t xml:space="preserve"> arrays would match incorrectly. The flat design accepts that limitation for crew; date and availability correlations are encoded explicitly below. Raw </w:t>
      </w:r>
      <w:r>
        <w:rPr>
          <w:rFonts w:ascii="Liberation Mono" w:hAnsi="Liberation Mono"/>
          <w:color w:val="183047"/>
          <w:sz w:val="17"/>
        </w:rPr>
        <w:t>visibilities</w:t>
      </w:r>
      <w:r>
        <w:t xml:space="preserve"> and their flattened leaves are excluded after scheduling. Retain the workbook-selected flat airing arrays for now; only derived per-tenant dates are authoritative for correlated queries.</w:t>
      </w:r>
    </w:p>
    <w:p>
      <w:bookmarkStart w:id="9" w:name="s5"/>
      <w:pPr>
        <w:pStyle w:val="Heading1"/>
      </w:pPr>
      <w:r>
        <w:t>5 Availability schedules</w:t>
      </w:r>
      <w:bookmarkEnd w:id="9"/>
    </w:p>
    <w:p>
      <w:bookmarkStart w:id="10" w:name="s5_1"/>
      <w:pPr>
        <w:pStyle w:val="Heading2"/>
      </w:pPr>
      <w:r>
        <w:t>5.1 Source and evaluation</w:t>
      </w:r>
      <w:bookmarkEnd w:id="10"/>
    </w:p>
    <w:p>
      <w:r>
        <w:t xml:space="preserve">Use </w:t>
      </w:r>
      <w:r>
        <w:rPr>
          <w:rFonts w:ascii="Liberation Mono" w:hAnsi="Liberation Mono"/>
          <w:color w:val="183047"/>
          <w:sz w:val="17"/>
        </w:rPr>
        <w:t>visibilities[].timeslots</w:t>
      </w:r>
      <w:r>
        <w:t xml:space="preserve">, for all five UMAS record kinds: Episode, Clip, Movie, Season and Series. Do not use media-object licences as a second availability authority. Each timeslot must retain its parent </w:t>
      </w:r>
      <w:r>
        <w:rPr>
          <w:rFonts w:ascii="Liberation Mono" w:hAnsi="Liberation Mono"/>
          <w:color w:val="183047"/>
          <w:sz w:val="17"/>
        </w:rPr>
        <w:t>distributionTenant</w:t>
      </w:r>
      <w:r>
        <w:t xml:space="preserve">, </w:t>
      </w:r>
      <w:r>
        <w:rPr>
          <w:rFonts w:ascii="Liberation Mono" w:hAnsi="Liberation Mono"/>
          <w:color w:val="183047"/>
          <w:sz w:val="17"/>
        </w:rPr>
        <w:t>type</w:t>
      </w:r>
      <w:r>
        <w:t xml:space="preserve">, </w:t>
      </w:r>
      <w:r>
        <w:rPr>
          <w:rFonts w:ascii="Liberation Mono" w:hAnsi="Liberation Mono"/>
          <w:color w:val="183047"/>
          <w:sz w:val="17"/>
        </w:rPr>
        <w:t>requiredAccessRights</w:t>
      </w:r>
      <w:r>
        <w:t xml:space="preserve"> and </w:t>
      </w:r>
      <w:r>
        <w:rPr>
          <w:rFonts w:ascii="Liberation Mono" w:hAnsi="Liberation Mono"/>
          <w:color w:val="183047"/>
          <w:sz w:val="17"/>
        </w:rPr>
        <w:t>brandCodes</w:t>
      </w:r>
      <w:r>
        <w:t xml:space="preserve"> until evaluation. The visibility model domain remains AVOD, SVOD, FVOD, RVOD and TVOD.</w:t>
      </w:r>
    </w:p>
    <w:p>
      <w:r>
        <w:t xml:space="preserve">Configure </w:t>
      </w:r>
      <w:r>
        <w:rPr>
          <w:rFonts w:ascii="Liberation Mono" w:hAnsi="Liberation Mono"/>
          <w:color w:val="183047"/>
          <w:sz w:val="17"/>
        </w:rPr>
        <w:t>applyCurrentState=true</w:t>
      </w:r>
      <w:r>
        <w:t xml:space="preserve">, </w:t>
      </w:r>
      <w:r>
        <w:rPr>
          <w:rFonts w:ascii="Liberation Mono" w:hAnsi="Liberation Mono"/>
          <w:color w:val="183047"/>
          <w:sz w:val="17"/>
        </w:rPr>
        <w:t>skipPastEvents=true</w:t>
      </w:r>
      <w:r>
        <w:t xml:space="preserve">, </w:t>
      </w:r>
      <w:r>
        <w:rPr>
          <w:rFonts w:ascii="Liberation Mono" w:hAnsi="Liberation Mono"/>
          <w:color w:val="183047"/>
          <w:sz w:val="17"/>
        </w:rPr>
        <w:t>excludeFromOutput=true</w:t>
      </w:r>
      <w:r>
        <w:t>, active start/end events, and no automatic destroy (</w:t>
      </w:r>
      <w:r>
        <w:rPr>
          <w:rFonts w:ascii="Liberation Mono" w:hAnsi="Liberation Mono"/>
          <w:color w:val="183047"/>
          <w:sz w:val="17"/>
        </w:rPr>
        <w:t>destroyExpired=false</w:t>
      </w:r>
      <w:r>
        <w:t xml:space="preserve">, destroy event inactive). Current state is materialised during ingestion; queued events update it at boundaries. A window is active when </w:t>
      </w:r>
      <w:r>
        <w:rPr>
          <w:rFonts w:ascii="Liberation Mono" w:hAnsi="Liberation Mono"/>
          <w:color w:val="183047"/>
          <w:sz w:val="17"/>
        </w:rPr>
        <w:t>start &lt;= t &lt; end</w:t>
      </w:r>
      <w:r>
        <w:t>.</w:t>
      </w:r>
    </w:p>
    <w:p>
      <w:r>
        <w:t xml:space="preserve">Both start and end scripts receive </w:t>
      </w:r>
      <w:r>
        <w:rPr>
          <w:rFonts w:ascii="Liberation Mono" w:hAnsi="Liberation Mono"/>
          <w:color w:val="183047"/>
          <w:sz w:val="17"/>
        </w:rPr>
        <w:t>($document, $window, $active)</w:t>
      </w:r>
      <w:r>
        <w:t xml:space="preserve"> and rebuild all owned arrays from eligible active windows. Return </w:t>
      </w:r>
      <w:r>
        <w:rPr>
          <w:rFonts w:ascii="Liberation Mono" w:hAnsi="Liberation Mono"/>
          <w:color w:val="183047"/>
          <w:sz w:val="17"/>
        </w:rPr>
        <w:t>[true, payload]</w:t>
      </w:r>
      <w:r>
        <w:t xml:space="preserve"> including every aggregate. Do not incrementally add/remove values: overlapping windows may still support the same combination. </w:t>
      </w:r>
      <w:r>
        <w:rPr>
          <w:rFonts w:ascii="Liberation Mono" w:hAnsi="Liberation Mono"/>
          <w:color w:val="183047"/>
          <w:sz w:val="17"/>
        </w:rPr>
        <w:t>INACTIVE</w:t>
      </w:r>
      <w:r>
        <w:t xml:space="preserve">, no active windows or an explicit empty window list produces </w:t>
      </w:r>
      <w:r>
        <w:rPr>
          <w:rFonts w:ascii="Liberation Mono" w:hAnsi="Liberation Mono"/>
          <w:color w:val="183047"/>
          <w:sz w:val="17"/>
        </w:rPr>
        <w:t>[]</w:t>
      </w:r>
      <w:r>
        <w:t xml:space="preserve"> for every aggregate. Other tenants remain available when only one tenant's window closes.</w:t>
      </w:r>
    </w:p>
    <w:p>
      <w:r>
        <w:t xml:space="preserve">Normalise an absent owned visibility root to </w:t>
      </w:r>
      <w:r>
        <w:rPr>
          <w:rFonts w:ascii="Liberation Mono" w:hAnsi="Liberation Mono"/>
          <w:color w:val="183047"/>
          <w:sz w:val="17"/>
        </w:rPr>
        <w:t>visibilities: []</w:t>
      </w:r>
      <w:r>
        <w:t xml:space="preserve"> under the full-source contract so stale schedules can be cleared. Coalesce equivalent boundary timestamps into one event. Malformed roots and invalid/reversed dates need explicit validation; they are not empty-window defaults. Do not invent a </w:t>
      </w:r>
      <w:r>
        <w:rPr>
          <w:rFonts w:ascii="Liberation Mono" w:hAnsi="Liberation Mono"/>
          <w:color w:val="183047"/>
          <w:sz w:val="17"/>
        </w:rPr>
        <w:t>recommendable</w:t>
      </w:r>
      <w:r>
        <w:t xml:space="preserve"> policy. Expiry disables availability; deletion remains an explicit source action.</w:t>
      </w:r>
    </w:p>
    <w:p>
      <w:bookmarkStart w:id="11" w:name="s5_2"/>
      <w:pPr>
        <w:pStyle w:val="Heading2"/>
      </w:pPr>
      <w:r>
        <w:t>5.2 Flat aggregate fields</w:t>
      </w:r>
      <w:bookmarkEnd w:id="11"/>
    </w:p>
    <w:tbl>
      <w:tblPr>
        <w:tblW w:type="auto" w:w="0"/>
        <w:tblLayout w:type="fixed"/>
        <w:tblLook w:firstColumn="1" w:firstRow="1" w:lastColumn="0" w:lastRow="0" w:noHBand="0" w:noVBand="1" w:val="04A0"/>
      </w:tblPr>
      <w:tblGrid>
        <w:gridCol w:w="3157"/>
        <w:gridCol w:w="2565"/>
        <w:gridCol w:w="4144"/>
      </w:tblGrid>
      <w:tr>
        <w:trPr>
          <w:cantSplit/>
          <w:tblHeader/>
        </w:trPr>
        <w:tc>
          <w:tcPr>
            <w:tcW w:type="dxa" w:w="3157"/>
            <w:shd w:fill="183047"/>
            <w:tcMar>
              <w:top w:w="85" w:type="dxa"/>
              <w:left w:w="85" w:type="dxa"/>
              <w:bottom w:w="85" w:type="dxa"/>
              <w:right w:w="85" w:type="dxa"/>
            </w:tcMar>
          </w:tcPr>
          <w:p>
            <w:pPr>
              <w:spacing w:before="60" w:after="80" w:line="245" w:lineRule="auto"/>
            </w:pPr>
            <w:r>
              <w:rPr>
                <w:b/>
                <w:color w:val="FFFFFF"/>
                <w:sz w:val="18"/>
              </w:rPr>
              <w:t>Field mapped as keyword</w:t>
            </w:r>
          </w:p>
        </w:tc>
        <w:tc>
          <w:tcPr>
            <w:tcW w:type="dxa" w:w="2565"/>
            <w:shd w:fill="183047"/>
            <w:tcMar>
              <w:top w:w="85" w:type="dxa"/>
              <w:left w:w="85" w:type="dxa"/>
              <w:bottom w:w="85" w:type="dxa"/>
              <w:right w:w="85" w:type="dxa"/>
            </w:tcMar>
          </w:tcPr>
          <w:p>
            <w:pPr>
              <w:spacing w:before="60" w:after="80" w:line="245" w:lineRule="auto"/>
            </w:pPr>
            <w:r>
              <w:rPr>
                <w:b/>
                <w:color w:val="FFFFFF"/>
                <w:sz w:val="18"/>
              </w:rPr>
              <w:t>Example array item</w:t>
            </w:r>
          </w:p>
        </w:tc>
        <w:tc>
          <w:tcPr>
            <w:tcW w:type="dxa" w:w="4144"/>
            <w:shd w:fill="183047"/>
            <w:tcMar>
              <w:top w:w="85" w:type="dxa"/>
              <w:left w:w="85" w:type="dxa"/>
              <w:bottom w:w="85" w:type="dxa"/>
              <w:right w:w="85" w:type="dxa"/>
            </w:tcMar>
          </w:tcPr>
          <w:p>
            <w:pPr>
              <w:spacing w:before="60" w:after="80" w:line="245" w:lineRule="auto"/>
            </w:pPr>
            <w:r>
              <w:rPr>
                <w:b/>
                <w:color w:val="FFFFFF"/>
                <w:sz w:val="18"/>
              </w:rPr>
              <w:t>Meaning</w:t>
            </w:r>
          </w:p>
        </w:tc>
      </w:tr>
      <w:tr>
        <w:trPr>
          <w:cantSplit/>
        </w:trPr>
        <w:tc>
          <w:tcPr>
            <w:tcW w:type="dxa" w:w="3157"/>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active_distribution_tenants</w:t>
            </w:r>
            <w:r>
              <w:rPr>
                <w:sz w:val="18"/>
              </w:rPr>
            </w:r>
          </w:p>
        </w:tc>
        <w:tc>
          <w:tcPr>
            <w:tcW w:type="dxa" w:w="2565"/>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JOYN</w:t>
            </w:r>
            <w:r>
              <w:rPr>
                <w:sz w:val="18"/>
              </w:rPr>
            </w:r>
          </w:p>
        </w:tc>
        <w:tc>
          <w:tcPr>
            <w:tcW w:type="dxa" w:w="4144"/>
            <w:shd w:fill="F1F5F8"/>
            <w:tcMar>
              <w:top w:w="85" w:type="dxa"/>
              <w:left w:w="85" w:type="dxa"/>
              <w:bottom w:w="85" w:type="dxa"/>
              <w:right w:w="85" w:type="dxa"/>
            </w:tcMar>
          </w:tcPr>
          <w:p>
            <w:pPr>
              <w:spacing w:before="60" w:after="80" w:line="245" w:lineRule="auto"/>
            </w:pPr>
            <w:r>
              <w:rPr>
                <w:sz w:val="18"/>
              </w:rPr>
              <w:t>Tenant with eligible active availability</w:t>
            </w:r>
          </w:p>
        </w:tc>
      </w:tr>
      <w:tr>
        <w:trPr>
          <w:cantSplit/>
        </w:trPr>
        <w:tc>
          <w:tcPr>
            <w:tcW w:type="dxa" w:w="3157"/>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active_distribution_models</w:t>
            </w:r>
            <w:r>
              <w:rPr>
                <w:sz w:val="18"/>
              </w:rPr>
            </w:r>
          </w:p>
        </w:tc>
        <w:tc>
          <w:tcPr>
            <w:tcW w:type="dxa" w:w="2565"/>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JOYN|SVOD</w:t>
            </w:r>
            <w:r>
              <w:rPr>
                <w:sz w:val="18"/>
              </w:rPr>
            </w:r>
          </w:p>
        </w:tc>
        <w:tc>
          <w:tcPr>
            <w:tcW w:type="dxa" w:w="4144"/>
            <w:shd w:fill="FAFBFC"/>
            <w:tcMar>
              <w:top w:w="85" w:type="dxa"/>
              <w:left w:w="85" w:type="dxa"/>
              <w:bottom w:w="85" w:type="dxa"/>
              <w:right w:w="85" w:type="dxa"/>
            </w:tcMar>
          </w:tcPr>
          <w:p>
            <w:pPr>
              <w:spacing w:before="60" w:after="80" w:line="245" w:lineRule="auto"/>
            </w:pPr>
            <w:r>
              <w:rPr>
                <w:sz w:val="18"/>
              </w:rPr>
              <w:t>Tenant and business model</w:t>
            </w:r>
          </w:p>
        </w:tc>
      </w:tr>
      <w:tr>
        <w:trPr>
          <w:cantSplit/>
        </w:trPr>
        <w:tc>
          <w:tcPr>
            <w:tcW w:type="dxa" w:w="3157"/>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active_access_rules</w:t>
            </w:r>
            <w:r>
              <w:rPr>
                <w:sz w:val="18"/>
              </w:rPr>
            </w:r>
          </w:p>
        </w:tc>
        <w:tc>
          <w:tcPr>
            <w:tcW w:type="dxa" w:w="2565"/>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JOYN|SVOD|[R1,R2]</w:t>
            </w:r>
            <w:r>
              <w:rPr>
                <w:sz w:val="18"/>
              </w:rPr>
            </w:r>
          </w:p>
        </w:tc>
        <w:tc>
          <w:tcPr>
            <w:tcW w:type="dxa" w:w="4144"/>
            <w:shd w:fill="F1F5F8"/>
            <w:tcMar>
              <w:top w:w="85" w:type="dxa"/>
              <w:left w:w="85" w:type="dxa"/>
              <w:bottom w:w="85" w:type="dxa"/>
              <w:right w:w="85" w:type="dxa"/>
            </w:tcMar>
          </w:tcPr>
          <w:p>
            <w:pPr>
              <w:spacing w:before="60" w:after="80" w:line="245" w:lineRule="auto"/>
            </w:pPr>
            <w:r>
              <w:rPr>
                <w:sz w:val="18"/>
              </w:rPr>
              <w:t>Tenant, model and complete rights group</w:t>
            </w:r>
          </w:p>
        </w:tc>
      </w:tr>
      <w:tr>
        <w:trPr>
          <w:cantSplit/>
        </w:trPr>
        <w:tc>
          <w:tcPr>
            <w:tcW w:type="dxa" w:w="3157"/>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active_brand_codes</w:t>
            </w:r>
            <w:r>
              <w:rPr>
                <w:sz w:val="18"/>
              </w:rPr>
            </w:r>
          </w:p>
        </w:tc>
        <w:tc>
          <w:tcPr>
            <w:tcW w:type="dxa" w:w="2565"/>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JOYN|SVOD|brand-a</w:t>
            </w:r>
            <w:r>
              <w:rPr>
                <w:sz w:val="18"/>
              </w:rPr>
            </w:r>
          </w:p>
        </w:tc>
        <w:tc>
          <w:tcPr>
            <w:tcW w:type="dxa" w:w="4144"/>
            <w:shd w:fill="FAFBFC"/>
            <w:tcMar>
              <w:top w:w="85" w:type="dxa"/>
              <w:left w:w="85" w:type="dxa"/>
              <w:bottom w:w="85" w:type="dxa"/>
              <w:right w:w="85" w:type="dxa"/>
            </w:tcMar>
          </w:tcPr>
          <w:p>
            <w:pPr>
              <w:spacing w:before="60" w:after="80" w:line="245" w:lineRule="auto"/>
            </w:pPr>
            <w:r>
              <w:rPr>
                <w:sz w:val="18"/>
              </w:rPr>
              <w:t>One active brand per tenant/model tuple</w:t>
            </w:r>
          </w:p>
        </w:tc>
      </w:tr>
    </w:tbl>
    <w:p>
      <w:pPr>
        <w:spacing w:after="0" w:before="0" w:line="60" w:lineRule="exact"/>
      </w:pPr>
      <w:r>
        <w:rPr>
          <w:sz w:val="6"/>
        </w:rPr>
      </w:r>
    </w:p>
    <w:p>
      <w:r>
        <w:t>These names are the configuration proposal. Preserve the business model in access rules; an empty rights group is valid and differs from no active window. Finalise canonical ordering and delimiter escaping before scripts are activated. These aggregates support editorial queries; they do not implement playback authorisation.</w:t>
      </w:r>
    </w:p>
    <w:p>
      <w:pPr>
        <w:sectPr>
          <w:pgSz w:w="11906" w:h="16838"/>
          <w:pgMar w:top="850" w:right="1020" w:bottom="850" w:left="1020" w:header="720" w:footer="397" w:gutter="0"/>
          <w:cols w:space="720"/>
          <w:docGrid w:linePitch="360"/>
        </w:sectPr>
      </w:pPr>
    </w:p>
    <w:p>
      <w:bookmarkStart w:id="12" w:name="s6"/>
      <w:pPr>
        <w:pStyle w:val="Heading1"/>
      </w:pPr>
      <w:r>
        <w:t>6 Derived metadata</w:t>
      </w:r>
      <w:bookmarkEnd w:id="12"/>
    </w:p>
    <w:p>
      <w:bookmarkStart w:id="13" w:name="s6_1"/>
      <w:pPr>
        <w:pStyle w:val="Heading2"/>
      </w:pPr>
      <w:r>
        <w:t>6.1 Broadcast dates</w:t>
      </w:r>
      <w:bookmarkEnd w:id="13"/>
    </w:p>
    <w:p>
      <w:r>
        <w:t xml:space="preserve">Use </w:t>
      </w:r>
      <w:r>
        <w:rPr>
          <w:rFonts w:ascii="Liberation Mono" w:hAnsi="Liberation Mono"/>
          <w:color w:val="183047"/>
          <w:sz w:val="17"/>
        </w:rPr>
        <w:t>relevantAiringInfo[].datetime</w:t>
      </w:r>
      <w:r>
        <w:t xml:space="preserve"> and the </w:t>
      </w:r>
      <w:r>
        <w:rPr>
          <w:rFonts w:ascii="Liberation Mono" w:hAnsi="Liberation Mono"/>
          <w:color w:val="183047"/>
          <w:sz w:val="17"/>
        </w:rPr>
        <w:t>distributionTenant</w:t>
      </w:r>
      <w:r>
        <w:t xml:space="preserve"> from the same object. The source contract permits zero or one entry per tenant; both </w:t>
      </w:r>
      <w:r>
        <w:rPr>
          <w:rFonts w:ascii="Liberation Mono" w:hAnsi="Liberation Mono"/>
          <w:color w:val="183047"/>
          <w:sz w:val="17"/>
        </w:rPr>
        <w:t>datetime</w:t>
      </w:r>
      <w:r>
        <w:t xml:space="preserve"> and </w:t>
      </w:r>
      <w:r>
        <w:rPr>
          <w:rFonts w:ascii="Liberation Mono" w:hAnsi="Liberation Mono"/>
          <w:color w:val="183047"/>
          <w:sz w:val="17"/>
        </w:rPr>
        <w:t>streamId</w:t>
      </w:r>
      <w:r>
        <w:t xml:space="preserve"> are optional. Use the supplied designated airing, which may be past, present or future. The earlier “latest datetime” rule is superseded. Neither deprecated root </w:t>
      </w:r>
      <w:r>
        <w:rPr>
          <w:rFonts w:ascii="Liberation Mono" w:hAnsi="Liberation Mono"/>
          <w:color w:val="183047"/>
          <w:sz w:val="17"/>
        </w:rPr>
        <w:t>broadcastDate</w:t>
      </w:r>
      <w:r>
        <w:t xml:space="preserve"> nor visibility broadcast dates is authoritative.</w:t>
      </w:r>
    </w:p>
    <w:p>
      <w:r>
        <w:t>The output decorator uses this complete static mapping:</w:t>
      </w:r>
    </w:p>
    <w:tbl>
      <w:tblPr>
        <w:tblW w:type="auto" w:w="0"/>
        <w:tblLayout w:type="fixed"/>
        <w:tblLook w:firstColumn="1" w:firstRow="1" w:lastColumn="0" w:lastRow="0" w:noHBand="0" w:noVBand="1" w:val="04A0"/>
      </w:tblPr>
      <w:tblGrid>
        <w:gridCol w:w="3058"/>
        <w:gridCol w:w="6808"/>
      </w:tblGrid>
      <w:tr>
        <w:trPr>
          <w:cantSplit/>
          <w:tblHeader/>
        </w:trPr>
        <w:tc>
          <w:tcPr>
            <w:tcW w:type="dxa" w:w="3058"/>
            <w:shd w:fill="183047"/>
            <w:tcMar>
              <w:top w:w="85" w:type="dxa"/>
              <w:left w:w="85" w:type="dxa"/>
              <w:bottom w:w="85" w:type="dxa"/>
              <w:right w:w="85" w:type="dxa"/>
            </w:tcMar>
          </w:tcPr>
          <w:p>
            <w:pPr>
              <w:spacing w:before="60" w:after="80" w:line="245" w:lineRule="auto"/>
            </w:pPr>
            <w:r>
              <w:rPr>
                <w:b/>
                <w:color w:val="FFFFFF"/>
                <w:sz w:val="18"/>
              </w:rPr>
              <w:t>Source tenant</w:t>
            </w:r>
          </w:p>
        </w:tc>
        <w:tc>
          <w:tcPr>
            <w:tcW w:type="dxa" w:w="6808"/>
            <w:shd w:fill="183047"/>
            <w:tcMar>
              <w:top w:w="85" w:type="dxa"/>
              <w:left w:w="85" w:type="dxa"/>
              <w:bottom w:w="85" w:type="dxa"/>
              <w:right w:w="85" w:type="dxa"/>
            </w:tcMar>
          </w:tcPr>
          <w:p>
            <w:pPr>
              <w:spacing w:before="60" w:after="80" w:line="245" w:lineRule="auto"/>
            </w:pPr>
            <w:r>
              <w:rPr>
                <w:b/>
                <w:color w:val="FFFFFF"/>
                <w:sz w:val="18"/>
              </w:rPr>
              <w:t>Index field of type date</w:t>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JOYN</w:t>
            </w:r>
            <w:r>
              <w:rPr>
                <w:sz w:val="18"/>
              </w:rPr>
            </w:r>
          </w:p>
        </w:tc>
        <w:tc>
          <w:tcPr>
            <w:tcW w:type="dxa" w:w="680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broadcast_date_joyn</w:t>
            </w:r>
            <w:r>
              <w:rPr>
                <w:sz w:val="18"/>
              </w:rPr>
            </w:r>
          </w:p>
        </w:tc>
      </w:tr>
      <w:tr>
        <w:trPr>
          <w:cantSplit/>
        </w:trPr>
        <w:tc>
          <w:tcPr>
            <w:tcW w:type="dxa" w:w="3058"/>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JOYN_AT</w:t>
            </w:r>
            <w:r>
              <w:rPr>
                <w:sz w:val="18"/>
              </w:rPr>
            </w:r>
          </w:p>
        </w:tc>
        <w:tc>
          <w:tcPr>
            <w:tcW w:type="dxa" w:w="6808"/>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broadcast_date_joyn_at</w:t>
            </w:r>
            <w:r>
              <w:rPr>
                <w:sz w:val="18"/>
              </w:rPr>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JOYN_CH</w:t>
            </w:r>
            <w:r>
              <w:rPr>
                <w:sz w:val="18"/>
              </w:rPr>
            </w:r>
          </w:p>
        </w:tc>
        <w:tc>
          <w:tcPr>
            <w:tcW w:type="dxa" w:w="680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broadcast_date_joyn_ch</w:t>
            </w:r>
            <w:r>
              <w:rPr>
                <w:sz w:val="18"/>
              </w:rPr>
            </w:r>
          </w:p>
        </w:tc>
      </w:tr>
    </w:tbl>
    <w:p>
      <w:pPr>
        <w:spacing w:after="0" w:before="0" w:line="60" w:lineRule="exact"/>
      </w:pPr>
      <w:r>
        <w:rPr>
          <w:sz w:val="6"/>
        </w:rPr>
      </w:r>
    </w:p>
    <w:p>
      <w:r>
        <w:t xml:space="preserve">For every full UMAS update, initialise all three fields to </w:t>
      </w:r>
      <w:r>
        <w:rPr>
          <w:rFonts w:ascii="Liberation Mono" w:hAnsi="Liberation Mono"/>
          <w:color w:val="183047"/>
          <w:sz w:val="17"/>
        </w:rPr>
        <w:t>null</w:t>
      </w:r>
      <w:r>
        <w:t xml:space="preserve">, then populate each from its valid source entry. If JOYN_AT disappears, explicitly emit </w:t>
      </w:r>
      <w:r>
        <w:rPr>
          <w:rFonts w:ascii="Liberation Mono" w:hAnsi="Liberation Mono"/>
          <w:color w:val="183047"/>
          <w:sz w:val="17"/>
        </w:rPr>
        <w:t>broadcast_date_joyn_at: null</w:t>
      </w:r>
      <w:r>
        <w:t xml:space="preserve">; omission would retain its previous value. Use RFC3339 timestamps, normalised to UTC. No epoch-unit inference and no replacement </w:t>
      </w:r>
      <w:r>
        <w:rPr>
          <w:rFonts w:ascii="Liberation Mono" w:hAnsi="Liberation Mono"/>
          <w:color w:val="183047"/>
          <w:sz w:val="17"/>
        </w:rPr>
        <w:t>null_value</w:t>
      </w:r>
      <w:r>
        <w:t xml:space="preserve"> in the mapping. Duplicate tenant entries or invalid timestamps must be reported, not silently resolved with max(datetime).</w:t>
      </w:r>
    </w:p>
    <w:p>
      <w:r>
        <w:t xml:space="preserve">The retained </w:t>
      </w:r>
      <w:r>
        <w:rPr>
          <w:rFonts w:ascii="Liberation Mono" w:hAnsi="Liberation Mono"/>
          <w:color w:val="183047"/>
          <w:sz w:val="17"/>
        </w:rPr>
        <w:t>relevant_airing_info_datetime</w:t>
      </w:r>
      <w:r>
        <w:t xml:space="preserve"> and </w:t>
      </w:r>
      <w:r>
        <w:rPr>
          <w:rFonts w:ascii="Liberation Mono" w:hAnsi="Liberation Mono"/>
          <w:color w:val="183047"/>
          <w:sz w:val="17"/>
        </w:rPr>
        <w:t>relevant_airing_info_distribution_tenant</w:t>
      </w:r>
      <w:r>
        <w:t xml:space="preserve"> arrays preserve selected data but cannot support same-entry filters. Date predicates and sorting use the three explicit fields above. Adding a tenant requires updating the decorator, output schema and mapping together.</w:t>
      </w:r>
    </w:p>
    <w:p>
      <w:bookmarkStart w:id="14" w:name="s6_2"/>
      <w:pPr>
        <w:pStyle w:val="Heading2"/>
      </w:pPr>
      <w:r>
        <w:t>6.2 Age ratings</w:t>
      </w:r>
      <w:bookmarkEnd w:id="14"/>
    </w:p>
    <w:p>
      <w:r>
        <w:t xml:space="preserve">German and Austrian editors agreed on </w:t>
      </w:r>
      <w:r>
        <w:rPr>
          <w:rFonts w:ascii="Liberation Mono" w:hAnsi="Liberation Mono"/>
          <w:color w:val="183047"/>
          <w:sz w:val="17"/>
        </w:rPr>
        <w:t>ratingSystem=FSK</w:t>
      </w:r>
      <w:r>
        <w:t xml:space="preserve">, otherwise </w:t>
      </w:r>
      <w:r>
        <w:rPr>
          <w:rFonts w:ascii="Liberation Mono" w:hAnsi="Liberation Mono"/>
          <w:color w:val="183047"/>
          <w:sz w:val="17"/>
        </w:rPr>
        <w:t>FSF</w:t>
      </w:r>
      <w:r>
        <w:t xml:space="preserve">, without separate country policies. Select the preferred record in a standard input decorator before projection; retain its </w:t>
      </w:r>
      <w:r>
        <w:rPr>
          <w:rFonts w:ascii="Liberation Mono" w:hAnsi="Liberation Mono"/>
          <w:color w:val="183047"/>
          <w:sz w:val="17"/>
        </w:rPr>
        <w:t>minAge</w:t>
      </w:r>
      <w:r>
        <w:t xml:space="preserve"> and </w:t>
      </w:r>
      <w:r>
        <w:rPr>
          <w:rFonts w:ascii="Liberation Mono" w:hAnsi="Liberation Mono"/>
          <w:color w:val="183047"/>
          <w:sz w:val="17"/>
        </w:rPr>
        <w:t>type</w:t>
      </w:r>
      <w:r>
        <w:t xml:space="preserve"> together. </w:t>
      </w:r>
      <w:r>
        <w:rPr>
          <w:rFonts w:ascii="Liberation Mono" w:hAnsi="Liberation Mono"/>
          <w:color w:val="183047"/>
          <w:sz w:val="17"/>
        </w:rPr>
        <w:t>type</w:t>
      </w:r>
      <w:r>
        <w:t xml:space="preserve"> such as </w:t>
      </w:r>
      <w:r>
        <w:rPr>
          <w:rFonts w:ascii="Liberation Mono" w:hAnsi="Liberation Mono"/>
          <w:color w:val="183047"/>
          <w:sz w:val="17"/>
        </w:rPr>
        <w:t>FSK12</w:t>
      </w:r>
      <w:r>
        <w:t xml:space="preserve"> is not the selector </w:t>
      </w:r>
      <w:r>
        <w:rPr>
          <w:rFonts w:ascii="Liberation Mono" w:hAnsi="Liberation Mono"/>
          <w:color w:val="183047"/>
          <w:sz w:val="17"/>
        </w:rPr>
        <w:t>ratingSystem</w:t>
      </w:r>
      <w:r>
        <w:t>.</w:t>
      </w:r>
    </w:p>
    <w:p>
      <w:r>
        <w:t>Keep arrays in the flat output. Do not fabricate age zero or silently choose another rating system when neither priority yields a usable record. Conflicting preferred records and missing system identifiers need an explicit handling rule. Confirm that the same agreed policy is applicable to JOYN_CH before enabling that market.</w:t>
      </w:r>
    </w:p>
    <w:p>
      <w:bookmarkStart w:id="15" w:name="s6_3"/>
      <w:pPr>
        <w:pStyle w:val="Heading2"/>
      </w:pPr>
      <w:r>
        <w:t>6.3 Brand names for search</w:t>
      </w:r>
      <w:bookmarkEnd w:id="15"/>
    </w:p>
    <w:p>
      <w:r>
        <w:t>Brand codes remain available through the schedule aggregates. Readable Brand names are conditional on Product confirming end-user search by Brand. UI labels alone do not establish that requirement. If it is dropped, no name enrichment is needed.</w:t>
      </w:r>
    </w:p>
    <w:p>
      <w:r>
        <w:t xml:space="preserve">If confirmed, use the existing API through the same Super Loader's standard input decorator. Proposed lookup: distinct nonempty codes from root </w:t>
      </w:r>
      <w:r>
        <w:rPr>
          <w:rFonts w:ascii="Liberation Mono" w:hAnsi="Liberation Mono"/>
          <w:color w:val="183047"/>
          <w:sz w:val="17"/>
        </w:rPr>
        <w:t>visibilities[].brandCodes[]</w:t>
      </w:r>
      <w:r>
        <w:t xml:space="preserve"> for the DACH tenants, across all supplied windows; </w:t>
      </w:r>
      <w:r>
        <w:rPr>
          <w:rFonts w:ascii="Liberation Mono" w:hAnsi="Liberation Mono"/>
          <w:color w:val="183047"/>
          <w:sz w:val="17"/>
        </w:rPr>
        <w:t>getBrandByName(brandName: code)</w:t>
      </w:r>
      <w:r>
        <w:t xml:space="preserve"> returns the candidate </w:t>
      </w:r>
      <w:r>
        <w:rPr>
          <w:rFonts w:ascii="Liberation Mono" w:hAnsi="Liberation Mono"/>
          <w:color w:val="183047"/>
          <w:sz w:val="17"/>
        </w:rPr>
        <w:t>title</w:t>
      </w:r>
      <w:r>
        <w:t xml:space="preserve">. Confirm access, German label semantics and capacity. The Brand document's </w:t>
      </w:r>
      <w:r>
        <w:rPr>
          <w:rFonts w:ascii="Liberation Mono" w:hAnsi="Liberation Mono"/>
          <w:color w:val="183047"/>
          <w:sz w:val="17"/>
        </w:rPr>
        <w:t>titleUI</w:t>
      </w:r>
      <w:r>
        <w:t xml:space="preserve"> does not prove that API </w:t>
      </w:r>
      <w:r>
        <w:rPr>
          <w:rFonts w:ascii="Liberation Mono" w:hAnsi="Liberation Mono"/>
          <w:color w:val="183047"/>
          <w:sz w:val="17"/>
        </w:rPr>
        <w:t>title</w:t>
      </w:r>
      <w:r>
        <w:t xml:space="preserve"> is equivalent.</w:t>
      </w:r>
    </w:p>
    <w:p>
      <w:r>
        <w:t xml:space="preserve">Write deduplicated readable names to </w:t>
      </w:r>
      <w:r>
        <w:rPr>
          <w:rFonts w:ascii="Liberation Mono" w:hAnsi="Liberation Mono"/>
          <w:color w:val="183047"/>
          <w:sz w:val="17"/>
        </w:rPr>
        <w:t>brand_names</w:t>
      </w:r>
      <w:r>
        <w:t xml:space="preserve"> (text with keyword subfield), retain them through Include and add them to search/fingerprint only where configured. No codes means </w:t>
      </w:r>
      <w:r>
        <w:rPr>
          <w:rFonts w:ascii="Liberation Mono" w:hAnsi="Liberation Mono"/>
          <w:color w:val="183047"/>
          <w:sz w:val="17"/>
        </w:rPr>
        <w:t>[]</w:t>
      </w:r>
      <w:r>
        <w:t>; a lookup error is not an empty result. API calls add ingestion latency. Brand renames propagate on content reprocessing, not by automatic fan-out.</w:t>
      </w:r>
    </w:p>
    <w:p>
      <w:r>
        <w:t xml:space="preserve">Do not import a Brand catalogue or BrandChanged topic into ARES and do not create a Brand Loader. If the API cannot meet the requirement, agree readable names supplied upstream. The mapping reserves optional </w:t>
      </w:r>
      <w:r>
        <w:rPr>
          <w:rFonts w:ascii="Liberation Mono" w:hAnsi="Liberation Mono"/>
          <w:color w:val="183047"/>
          <w:sz w:val="17"/>
        </w:rPr>
        <w:t>brand_names</w:t>
      </w:r>
      <w:r>
        <w:t>; this does not activate the enrichment.</w:t>
      </w:r>
    </w:p>
    <w:p>
      <w:pPr>
        <w:sectPr>
          <w:pgSz w:w="11906" w:h="16838"/>
          <w:pgMar w:top="850" w:right="1020" w:bottom="850" w:left="1020" w:header="720" w:footer="397" w:gutter="0"/>
          <w:cols w:space="720"/>
          <w:docGrid w:linePitch="360"/>
        </w:sectPr>
      </w:pPr>
    </w:p>
    <w:p>
      <w:bookmarkStart w:id="16" w:name="s7"/>
      <w:pPr>
        <w:pStyle w:val="Heading1"/>
      </w:pPr>
      <w:r>
        <w:t>7 Catalogue and Middleware responsibilities</w:t>
      </w:r>
      <w:bookmarkEnd w:id="16"/>
    </w:p>
    <w:p>
      <w:bookmarkStart w:id="17" w:name="s7_1"/>
      <w:pPr>
        <w:pStyle w:val="Heading2"/>
      </w:pPr>
      <w:r>
        <w:t>7.1 Series publication date</w:t>
      </w:r>
      <w:bookmarkEnd w:id="17"/>
    </w:p>
    <w:p>
      <w:r>
        <w:t>The latest eligible episode publication date is calculated by the catalogue/backend, excluding CLIP and EXTRA assets. It is a cross-document calculation. ARES schedules only change the state of their own document from its windows; they do not look up episodes and update another Series document.</w:t>
      </w:r>
    </w:p>
    <w:p>
      <w:r>
        <w:t>The catalogue team has indicated that fields will be supplied; names, final semantics, market scope and timeline remain on hold. When available, the backend must update the Series and send its full source document. ARES indexes the supplied date. No guessed Series field is included in the delivered mapping. Aggregated Series availability may start with the first episode and is not the requested date of the latest episode.</w:t>
      </w:r>
    </w:p>
    <w:p>
      <w:bookmarkStart w:id="18" w:name="s7_2"/>
      <w:pPr>
        <w:pStyle w:val="Heading2"/>
      </w:pPr>
      <w:r>
        <w:t>7.2 Titles and stream-based lanes</w:t>
      </w:r>
      <w:bookmarkEnd w:id="18"/>
    </w:p>
    <w:p>
      <w:r>
        <w:t xml:space="preserve">ARES retains the selected titles as </w:t>
      </w:r>
      <w:r>
        <w:rPr>
          <w:rFonts w:ascii="Liberation Mono" w:hAnsi="Liberation Mono"/>
          <w:color w:val="183047"/>
          <w:sz w:val="17"/>
        </w:rPr>
        <w:t>titles_text</w:t>
      </w:r>
      <w:r>
        <w:t>, an array even when it contains one German main title. Editors reference one key. The proposed response boundary is content IDs and a limited field set from ARES, with UI title selection/enrichment in Middleware; confirm it with the catalogue/Middleware owner.</w:t>
      </w:r>
    </w:p>
    <w:p>
      <w:r>
        <w:t xml:space="preserve">The Brand Management material also describes stream-based lane filters using </w:t>
      </w:r>
      <w:r>
        <w:rPr>
          <w:rFonts w:ascii="Liberation Mono" w:hAnsi="Liberation Mono"/>
          <w:color w:val="183047"/>
          <w:sz w:val="17"/>
        </w:rPr>
        <w:t>relevantAiringInfo.streamId</w:t>
      </w:r>
      <w:r>
        <w:t xml:space="preserve"> and </w:t>
      </w:r>
      <w:r>
        <w:rPr>
          <w:rFonts w:ascii="Liberation Mono" w:hAnsi="Liberation Mono"/>
          <w:color w:val="183047"/>
          <w:sz w:val="17"/>
        </w:rPr>
        <w:t>airingLivestreams</w:t>
      </w:r>
      <w:r>
        <w:t>. Their applicability to DACH remains unconfirmed and neither was selected in the returned workbook. Do not add them to the index until scope and a tenant-preserving representation are agreed. They do not resolve the Series publication-date requirement.</w:t>
      </w:r>
    </w:p>
    <w:p>
      <w:bookmarkStart w:id="19" w:name="s8"/>
      <w:pPr>
        <w:pStyle w:val="Heading1"/>
      </w:pPr>
      <w:r>
        <w:t>8 Parallel Metadata enrichment</w:t>
      </w:r>
      <w:bookmarkEnd w:id="19"/>
    </w:p>
    <w:p>
      <w:r>
        <w:t xml:space="preserve">Mythematics is the parallel Metadata source. Provider implementation and its detailed metadata schema are outside this contract. The </w:t>
      </w:r>
      <w:r>
        <w:rPr>
          <w:b/>
        </w:rPr>
        <w:t>Metadata Enricher Loader</w:t>
      </w:r>
      <w:r>
        <w:t xml:space="preserve"> uses the same content ID and UPDATE only, owns its enrichment fields and must not overwrite UMAS or counters. Its source document is complete for its own ownership boundary. It must not block realtime UMAS ingestion.</w:t>
      </w:r>
    </w:p>
    <w:p>
      <w:bookmarkStart w:id="20" w:name="s8_1"/>
      <w:pPr>
        <w:pStyle w:val="Heading2"/>
      </w:pPr>
      <w:r>
        <w:t>8.1 Materialised fingerprint Merge</w:t>
      </w:r>
      <w:bookmarkEnd w:id="20"/>
    </w:p>
    <w:p>
      <w:r>
        <w:t xml:space="preserve">Each pipeline creates its own contribution. Super writes </w:t>
      </w:r>
      <w:r>
        <w:rPr>
          <w:rFonts w:ascii="Liberation Mono" w:hAnsi="Liberation Mono"/>
          <w:color w:val="183047"/>
          <w:sz w:val="17"/>
        </w:rPr>
        <w:t>fingerprint_super</w:t>
      </w:r>
      <w:r>
        <w:t xml:space="preserve">; Metadata writes </w:t>
      </w:r>
      <w:r>
        <w:rPr>
          <w:rFonts w:ascii="Liberation Mono" w:hAnsi="Liberation Mono"/>
          <w:color w:val="183047"/>
          <w:sz w:val="17"/>
        </w:rPr>
        <w:t>fingerprint_metadata</w:t>
      </w:r>
      <w:r>
        <w:t xml:space="preserve">. Configure generic Output Merge on both contributing Loaders to produce </w:t>
      </w:r>
      <w:r>
        <w:rPr>
          <w:rFonts w:ascii="Liberation Mono" w:hAnsi="Liberation Mono"/>
          <w:color w:val="183047"/>
          <w:sz w:val="17"/>
        </w:rPr>
        <w:t>_source.fingerprint</w:t>
      </w:r>
      <w:r>
        <w:t xml:space="preserve"> atomically during the write. Super merges its incoming contribution with the stored Metadata contribution; Metadata reverses that ownership. Use the same complete source set and canonical order on both.</w:t>
      </w:r>
    </w:p>
    <w:p>
      <w:r>
        <w:t xml:space="preserve">A missing stored contribution is empty: the first Super document can produce a valid fingerprint alone. Subsequent writes recompute the combined value rather than appending to its previous value. Every contributing write supplies its own complete contribution; </w:t>
      </w:r>
      <w:r>
        <w:rPr>
          <w:rFonts w:ascii="Liberation Mono" w:hAnsi="Liberation Mono"/>
          <w:color w:val="183047"/>
          <w:sz w:val="17"/>
        </w:rPr>
        <w:t>""</w:t>
      </w:r>
      <w:r>
        <w:t xml:space="preserve"> clears it. Do not directly write the merge target in the incoming document. </w:t>
      </w:r>
      <w:r>
        <w:rPr>
          <w:rFonts w:ascii="Liberation Mono" w:hAnsi="Liberation Mono"/>
          <w:color w:val="183047"/>
          <w:sz w:val="17"/>
        </w:rPr>
        <w:t>copy_to</w:t>
      </w:r>
      <w:r>
        <w:t xml:space="preserve"> does not materialise that target in </w:t>
      </w:r>
      <w:r>
        <w:rPr>
          <w:rFonts w:ascii="Liberation Mono" w:hAnsi="Liberation Mono"/>
          <w:color w:val="183047"/>
          <w:sz w:val="17"/>
        </w:rPr>
        <w:t>_source</w:t>
      </w:r>
      <w:r>
        <w:t>.</w:t>
      </w:r>
    </w:p>
    <w:p>
      <w:r>
        <w:t>Merge is optional and default OFF for compatibility; flat output is independent. Counters do not generate, clear or merge fingerprints. Final source keys, boosts, clean/MD5 token format and search analysis remain configuration decisions. The delivered text mapping is a baseline to qualify with the chosen search rules. Local Merge source code exists; this is not evidence of deployed activation.</w:t>
      </w:r>
    </w:p>
    <w:p>
      <w:bookmarkStart w:id="21" w:name="s8_2"/>
      <w:pPr>
        <w:pStyle w:val="Heading2"/>
      </w:pPr>
      <w:r>
        <w:t>8.2 Rejects and notifications</w:t>
      </w:r>
      <w:bookmarkEnd w:id="21"/>
    </w:p>
    <w:p>
      <w:r>
        <w:t>A Metadata UPDATE on missing content must fail. An additional readiness check may use a standard decorator and throw a descriptive error; it is not a hard-coded UMAS rule. Verify that the deployed reject path preserves the original item and reason. Ingress acceptance is not indexing success.</w:t>
      </w:r>
    </w:p>
    <w:p>
      <w:r>
        <w:t>AWS owns notifications from archived rejects to SQS and the Metadata Producer. The producer decides what to do; no automatic resubmission is implied. Disable its Loader retry-after-reject replay in this design. If AWS sends the complete reject payload, delete the S3 object only after confirmed delivery; if it sends a reference, retain the object until it can be retrieved. Handle duplicate notifications outside ARES.</w:t>
      </w:r>
    </w:p>
    <w:p>
      <w:pPr>
        <w:sectPr>
          <w:pgSz w:w="11906" w:h="16838"/>
          <w:pgMar w:top="850" w:right="1020" w:bottom="850" w:left="1020" w:header="720" w:footer="397" w:gutter="0"/>
          <w:cols w:space="720"/>
          <w:docGrid w:linePitch="360"/>
        </w:sectPr>
      </w:pPr>
    </w:p>
    <w:p>
      <w:bookmarkStart w:id="22" w:name="s9"/>
      <w:pPr>
        <w:pStyle w:val="Heading1"/>
      </w:pPr>
      <w:r>
        <w:t>9 Counters Loader</w:t>
      </w:r>
      <w:bookmarkEnd w:id="22"/>
    </w:p>
    <w:p>
      <w:bookmarkStart w:id="23" w:name="s9_1"/>
      <w:pPr>
        <w:pStyle w:val="Heading2"/>
      </w:pPr>
      <w:r>
        <w:t>9.1 Metrics and proposed field contract</w:t>
      </w:r>
      <w:bookmarkEnd w:id="23"/>
    </w:p>
    <w:p>
      <w:r>
        <w:t xml:space="preserve">Analytics supplies two distinct metrics: </w:t>
      </w:r>
      <w:r>
        <w:rPr>
          <w:rFonts w:ascii="Liberation Mono" w:hAnsi="Liberation Mono"/>
          <w:color w:val="183047"/>
          <w:sz w:val="17"/>
        </w:rPr>
        <w:t>unique_viewers</w:t>
      </w:r>
      <w:r>
        <w:t xml:space="preserve"> counts distinct viewers in a scope; </w:t>
      </w:r>
      <w:r>
        <w:rPr>
          <w:rFonts w:ascii="Liberation Mono" w:hAnsi="Liberation Mono"/>
          <w:color w:val="183047"/>
          <w:sz w:val="17"/>
        </w:rPr>
        <w:t>views</w:t>
      </w:r>
      <w:r>
        <w:t xml:space="preserve"> counts qualifying viewing events, including repeats. One person with three qualifying views gives one unique viewer and three views. ARES receives these values and does not calculate them.</w:t>
      </w:r>
    </w:p>
    <w:p>
      <w:r>
        <w:t>DACH agreed on separate free/plus viewers, per tenant, over 1d, 2d and 7d, initially updated once daily. The concrete schema proposes the same dimensions for views and uses the naming examples AVOD/SVOD for the two segments. The producer must confirm those labels; do not infer them from a content visibility model. Analytics owns identities, event qualification and window boundaries. No lifetime counter is implied.</w:t>
      </w:r>
    </w:p>
    <w:tbl>
      <w:tblPr>
        <w:tblW w:type="auto" w:w="0"/>
        <w:tblLayout w:type="fixed"/>
        <w:tblLook w:firstColumn="1" w:firstRow="1" w:lastColumn="0" w:lastRow="0" w:noHBand="0" w:noVBand="1" w:val="04A0"/>
      </w:tblPr>
      <w:tblGrid>
        <w:gridCol w:w="3058"/>
        <w:gridCol w:w="6808"/>
      </w:tblGrid>
      <w:tr>
        <w:trPr>
          <w:cantSplit/>
          <w:tblHeader/>
        </w:trPr>
        <w:tc>
          <w:tcPr>
            <w:tcW w:type="dxa" w:w="3058"/>
            <w:shd w:fill="183047"/>
            <w:tcMar>
              <w:top w:w="85" w:type="dxa"/>
              <w:left w:w="85" w:type="dxa"/>
              <w:bottom w:w="85" w:type="dxa"/>
              <w:right w:w="85" w:type="dxa"/>
            </w:tcMar>
          </w:tcPr>
          <w:p>
            <w:pPr>
              <w:spacing w:before="60" w:after="80" w:line="245" w:lineRule="auto"/>
            </w:pPr>
            <w:r>
              <w:rPr>
                <w:b/>
                <w:color w:val="FFFFFF"/>
                <w:sz w:val="18"/>
              </w:rPr>
              <w:t>Dimension</w:t>
            </w:r>
          </w:p>
        </w:tc>
        <w:tc>
          <w:tcPr>
            <w:tcW w:type="dxa" w:w="6808"/>
            <w:shd w:fill="183047"/>
            <w:tcMar>
              <w:top w:w="85" w:type="dxa"/>
              <w:left w:w="85" w:type="dxa"/>
              <w:bottom w:w="85" w:type="dxa"/>
              <w:right w:w="85" w:type="dxa"/>
            </w:tcMar>
          </w:tcPr>
          <w:p>
            <w:pPr>
              <w:spacing w:before="60" w:after="80" w:line="245" w:lineRule="auto"/>
            </w:pPr>
            <w:r>
              <w:rPr>
                <w:b/>
                <w:color w:val="FFFFFF"/>
                <w:sz w:val="18"/>
              </w:rPr>
              <w:t>Values in this delivery</w:t>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t>Metrics</w:t>
            </w:r>
          </w:p>
        </w:tc>
        <w:tc>
          <w:tcPr>
            <w:tcW w:type="dxa" w:w="680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unique_viewers</w:t>
            </w:r>
            <w:r>
              <w:rPr>
                <w:sz w:val="18"/>
              </w:rPr>
              <w:t xml:space="preserve">, </w:t>
            </w:r>
            <w:r>
              <w:rPr>
                <w:rFonts w:ascii="Liberation Mono" w:hAnsi="Liberation Mono"/>
                <w:color w:val="183047"/>
                <w:sz w:val="16"/>
              </w:rPr>
              <w:t>views</w:t>
            </w:r>
            <w:r>
              <w:rPr>
                <w:sz w:val="18"/>
              </w:rPr>
            </w:r>
          </w:p>
        </w:tc>
      </w:tr>
      <w:tr>
        <w:trPr>
          <w:cantSplit/>
        </w:trPr>
        <w:tc>
          <w:tcPr>
            <w:tcW w:type="dxa" w:w="3058"/>
            <w:shd w:fill="FAFBFC"/>
            <w:tcMar>
              <w:top w:w="85" w:type="dxa"/>
              <w:left w:w="85" w:type="dxa"/>
              <w:bottom w:w="85" w:type="dxa"/>
              <w:right w:w="85" w:type="dxa"/>
            </w:tcMar>
          </w:tcPr>
          <w:p>
            <w:pPr>
              <w:spacing w:before="60" w:after="80" w:line="245" w:lineRule="auto"/>
            </w:pPr>
            <w:r>
              <w:rPr>
                <w:sz w:val="18"/>
              </w:rPr>
              <w:t>Tenants</w:t>
            </w:r>
          </w:p>
        </w:tc>
        <w:tc>
          <w:tcPr>
            <w:tcW w:type="dxa" w:w="6808"/>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JOYN</w:t>
            </w:r>
            <w:r>
              <w:rPr>
                <w:sz w:val="18"/>
              </w:rPr>
              <w:t xml:space="preserve">, </w:t>
            </w:r>
            <w:r>
              <w:rPr>
                <w:rFonts w:ascii="Liberation Mono" w:hAnsi="Liberation Mono"/>
                <w:color w:val="183047"/>
                <w:sz w:val="16"/>
              </w:rPr>
              <w:t>JOYN_AT</w:t>
            </w:r>
            <w:r>
              <w:rPr>
                <w:sz w:val="18"/>
              </w:rPr>
              <w:t xml:space="preserve">, </w:t>
            </w:r>
            <w:r>
              <w:rPr>
                <w:rFonts w:ascii="Liberation Mono" w:hAnsi="Liberation Mono"/>
                <w:color w:val="183047"/>
                <w:sz w:val="16"/>
              </w:rPr>
              <w:t>JOYN_CH</w:t>
            </w:r>
            <w:r>
              <w:rPr>
                <w:sz w:val="18"/>
              </w:rPr>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t>Proposed segment labels</w:t>
            </w:r>
          </w:p>
        </w:tc>
        <w:tc>
          <w:tcPr>
            <w:tcW w:type="dxa" w:w="680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AVOD</w:t>
            </w:r>
            <w:r>
              <w:rPr>
                <w:sz w:val="18"/>
              </w:rPr>
              <w:t xml:space="preserve">, </w:t>
            </w:r>
            <w:r>
              <w:rPr>
                <w:rFonts w:ascii="Liberation Mono" w:hAnsi="Liberation Mono"/>
                <w:color w:val="183047"/>
                <w:sz w:val="16"/>
              </w:rPr>
              <w:t>SVOD</w:t>
            </w:r>
            <w:r>
              <w:rPr>
                <w:sz w:val="18"/>
              </w:rPr>
            </w:r>
          </w:p>
        </w:tc>
      </w:tr>
      <w:tr>
        <w:trPr>
          <w:cantSplit/>
        </w:trPr>
        <w:tc>
          <w:tcPr>
            <w:tcW w:type="dxa" w:w="3058"/>
            <w:shd w:fill="FAFBFC"/>
            <w:tcMar>
              <w:top w:w="85" w:type="dxa"/>
              <w:left w:w="85" w:type="dxa"/>
              <w:bottom w:w="85" w:type="dxa"/>
              <w:right w:w="85" w:type="dxa"/>
            </w:tcMar>
          </w:tcPr>
          <w:p>
            <w:pPr>
              <w:spacing w:before="60" w:after="80" w:line="245" w:lineRule="auto"/>
            </w:pPr>
            <w:r>
              <w:rPr>
                <w:sz w:val="18"/>
              </w:rPr>
              <w:t>Windows</w:t>
            </w:r>
          </w:p>
        </w:tc>
        <w:tc>
          <w:tcPr>
            <w:tcW w:type="dxa" w:w="6808"/>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1d</w:t>
            </w:r>
            <w:r>
              <w:rPr>
                <w:sz w:val="18"/>
              </w:rPr>
              <w:t xml:space="preserve">, </w:t>
            </w:r>
            <w:r>
              <w:rPr>
                <w:rFonts w:ascii="Liberation Mono" w:hAnsi="Liberation Mono"/>
                <w:color w:val="183047"/>
                <w:sz w:val="16"/>
              </w:rPr>
              <w:t>2d</w:t>
            </w:r>
            <w:r>
              <w:rPr>
                <w:sz w:val="18"/>
              </w:rPr>
              <w:t xml:space="preserve">, </w:t>
            </w:r>
            <w:r>
              <w:rPr>
                <w:rFonts w:ascii="Liberation Mono" w:hAnsi="Liberation Mono"/>
                <w:color w:val="183047"/>
                <w:sz w:val="16"/>
              </w:rPr>
              <w:t>7d</w:t>
            </w:r>
            <w:r>
              <w:rPr>
                <w:sz w:val="18"/>
              </w:rPr>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t>Names</w:t>
            </w:r>
          </w:p>
        </w:tc>
        <w:tc>
          <w:tcPr>
            <w:tcW w:type="dxa" w:w="6808"/>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&lt;metric&gt;_&lt;tenant&gt;_&lt;segment&gt;_&lt;window&gt;</w:t>
            </w:r>
            <w:r>
              <w:rPr>
                <w:sz w:val="18"/>
              </w:rPr>
            </w:r>
          </w:p>
        </w:tc>
      </w:tr>
    </w:tbl>
    <w:p>
      <w:pPr>
        <w:spacing w:after="0" w:before="0" w:line="60" w:lineRule="exact"/>
      </w:pPr>
      <w:r>
        <w:rPr>
          <w:sz w:val="6"/>
        </w:rPr>
      </w:r>
    </w:p>
    <w:p>
      <w:r>
        <w:t xml:space="preserve">The schema enumerates </w:t>
      </w:r>
      <w:r>
        <w:rPr>
          <w:b/>
        </w:rPr>
        <w:t>36 counter fields</w:t>
      </w:r>
      <w:r>
        <w:t xml:space="preserve">. Examples are </w:t>
      </w:r>
      <w:r>
        <w:rPr>
          <w:rFonts w:ascii="Liberation Mono" w:hAnsi="Liberation Mono"/>
          <w:color w:val="183047"/>
          <w:sz w:val="17"/>
        </w:rPr>
        <w:t>unique_viewers_JOYN_SVOD_1d</w:t>
      </w:r>
      <w:r>
        <w:t xml:space="preserve">, </w:t>
      </w:r>
      <w:r>
        <w:rPr>
          <w:rFonts w:ascii="Liberation Mono" w:hAnsi="Liberation Mono"/>
          <w:color w:val="183047"/>
          <w:sz w:val="17"/>
        </w:rPr>
        <w:t>views_JOYN_AT_AVOD_2d</w:t>
      </w:r>
      <w:r>
        <w:t xml:space="preserve"> and </w:t>
      </w:r>
      <w:r>
        <w:rPr>
          <w:rFonts w:ascii="Liberation Mono" w:hAnsi="Liberation Mono"/>
          <w:color w:val="183047"/>
          <w:sz w:val="17"/>
        </w:rPr>
        <w:t>views_JOYN_CH_SVOD_7d</w:t>
      </w:r>
      <w:r>
        <w:t xml:space="preserve">. Each is mapped as </w:t>
      </w:r>
      <w:r>
        <w:rPr>
          <w:rFonts w:ascii="Liberation Mono" w:hAnsi="Liberation Mono"/>
          <w:color w:val="183047"/>
          <w:sz w:val="17"/>
        </w:rPr>
        <w:t>long</w:t>
      </w:r>
      <w:r>
        <w:t xml:space="preserve">. The proposed complete snapshot requires the ID and all 36 values; a value is a nonnegative integer, or </w:t>
      </w:r>
      <w:r>
        <w:rPr>
          <w:rFonts w:ascii="Liberation Mono" w:hAnsi="Liberation Mono"/>
          <w:color w:val="183047"/>
          <w:sz w:val="17"/>
        </w:rPr>
        <w:t>null</w:t>
      </w:r>
      <w:r>
        <w:t xml:space="preserve"> when unavailable/not applicable. Null clears a previous value and is distinct from measured zero. Confirm this absence convention with the producer; do not invent zeros for unmeasured markets.</w:t>
      </w:r>
    </w:p>
    <w:p>
      <w:r>
        <w:t>Use JSON integers no larger than 9,007,199,254,740,991 so JavaScript processing preserves exact values. A narrower agreed feed roster requires changing its schema and ownership contract explicitly; it must not silently become an arbitrary partial patch.</w:t>
      </w:r>
    </w:p>
    <w:p>
      <w:bookmarkStart w:id="24" w:name="s9_2"/>
      <w:pPr>
        <w:pStyle w:val="Heading2"/>
      </w:pPr>
      <w:r>
        <w:t>9.2 Loader profile</w:t>
      </w:r>
      <w:bookmarkEnd w:id="24"/>
    </w:p>
    <w:tbl>
      <w:tblPr>
        <w:tblW w:type="auto" w:w="0"/>
        <w:tblLayout w:type="fixed"/>
        <w:tblLook w:firstColumn="1" w:firstRow="1" w:lastColumn="0" w:lastRow="0" w:noHBand="0" w:noVBand="1" w:val="04A0"/>
      </w:tblPr>
      <w:tblGrid>
        <w:gridCol w:w="3058"/>
        <w:gridCol w:w="6808"/>
      </w:tblGrid>
      <w:tr>
        <w:trPr>
          <w:cantSplit/>
          <w:tblHeader/>
        </w:trPr>
        <w:tc>
          <w:tcPr>
            <w:tcW w:type="dxa" w:w="3058"/>
            <w:shd w:fill="183047"/>
            <w:tcMar>
              <w:top w:w="85" w:type="dxa"/>
              <w:left w:w="85" w:type="dxa"/>
              <w:bottom w:w="85" w:type="dxa"/>
              <w:right w:w="85" w:type="dxa"/>
            </w:tcMar>
          </w:tcPr>
          <w:p>
            <w:pPr>
              <w:spacing w:before="60" w:after="80" w:line="245" w:lineRule="auto"/>
            </w:pPr>
            <w:r>
              <w:rPr>
                <w:b/>
                <w:color w:val="FFFFFF"/>
                <w:sz w:val="18"/>
              </w:rPr>
              <w:t>Setting</w:t>
            </w:r>
          </w:p>
        </w:tc>
        <w:tc>
          <w:tcPr>
            <w:tcW w:type="dxa" w:w="6808"/>
            <w:shd w:fill="183047"/>
            <w:tcMar>
              <w:top w:w="85" w:type="dxa"/>
              <w:left w:w="85" w:type="dxa"/>
              <w:bottom w:w="85" w:type="dxa"/>
              <w:right w:w="85" w:type="dxa"/>
            </w:tcMar>
          </w:tcPr>
          <w:p>
            <w:pPr>
              <w:spacing w:before="60" w:after="80" w:line="245" w:lineRule="auto"/>
            </w:pPr>
            <w:r>
              <w:rPr>
                <w:b/>
                <w:color w:val="FFFFFF"/>
                <w:sz w:val="18"/>
              </w:rPr>
              <w:t>Required configuration</w:t>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t>Target and action</w:t>
            </w:r>
          </w:p>
        </w:tc>
        <w:tc>
          <w:tcPr>
            <w:tcW w:type="dxa" w:w="6808"/>
            <w:shd w:fill="F1F5F8"/>
            <w:tcMar>
              <w:top w:w="85" w:type="dxa"/>
              <w:left w:w="85" w:type="dxa"/>
              <w:bottom w:w="85" w:type="dxa"/>
              <w:right w:w="85" w:type="dxa"/>
            </w:tcMar>
          </w:tcPr>
          <w:p>
            <w:pPr>
              <w:spacing w:before="60" w:after="80" w:line="245" w:lineRule="auto"/>
            </w:pPr>
            <w:r>
              <w:rPr>
                <w:sz w:val="18"/>
              </w:rPr>
              <w:t xml:space="preserve">Same index and </w:t>
            </w:r>
            <w:r>
              <w:rPr>
                <w:rFonts w:ascii="Liberation Mono" w:hAnsi="Liberation Mono"/>
                <w:color w:val="183047"/>
                <w:sz w:val="16"/>
              </w:rPr>
              <w:t>idField=id</w:t>
            </w:r>
            <w:r>
              <w:rPr>
                <w:sz w:val="18"/>
              </w:rPr>
              <w:t xml:space="preserve">; own Loader/token/queue; token permits </w:t>
            </w:r>
            <w:r>
              <w:rPr>
                <w:rFonts w:ascii="Liberation Mono" w:hAnsi="Liberation Mono"/>
                <w:color w:val="183047"/>
                <w:sz w:val="16"/>
              </w:rPr>
              <w:t>u</w:t>
            </w:r>
            <w:r>
              <w:rPr>
                <w:sz w:val="18"/>
              </w:rPr>
              <w:t xml:space="preserve"> only</w:t>
            </w:r>
          </w:p>
        </w:tc>
      </w:tr>
      <w:tr>
        <w:trPr>
          <w:cantSplit/>
        </w:trPr>
        <w:tc>
          <w:tcPr>
            <w:tcW w:type="dxa" w:w="3058"/>
            <w:shd w:fill="FAFBFC"/>
            <w:tcMar>
              <w:top w:w="85" w:type="dxa"/>
              <w:left w:w="85" w:type="dxa"/>
              <w:bottom w:w="85" w:type="dxa"/>
              <w:right w:w="85" w:type="dxa"/>
            </w:tcMar>
          </w:tcPr>
          <w:p>
            <w:pPr>
              <w:spacing w:before="60" w:after="80" w:line="245" w:lineRule="auto"/>
            </w:pPr>
            <w:r>
              <w:rPr>
                <w:sz w:val="18"/>
              </w:rPr>
              <w:t>Validation</w:t>
            </w:r>
          </w:p>
        </w:tc>
        <w:tc>
          <w:tcPr>
            <w:tcW w:type="dxa" w:w="6808"/>
            <w:shd w:fill="FAFBFC"/>
            <w:tcMar>
              <w:top w:w="85" w:type="dxa"/>
              <w:left w:w="85" w:type="dxa"/>
              <w:bottom w:w="85" w:type="dxa"/>
              <w:right w:w="85" w:type="dxa"/>
            </w:tcMar>
          </w:tcPr>
          <w:p>
            <w:pPr>
              <w:spacing w:before="60" w:after="80" w:line="245" w:lineRule="auto"/>
            </w:pPr>
            <w:r>
              <w:rPr>
                <w:sz w:val="18"/>
              </w:rPr>
              <w:t>Explicit ID + counter allowlist; no additional properties; use the counter schema at both input and output</w:t>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t>Pipeline and decorators</w:t>
            </w:r>
          </w:p>
        </w:tc>
        <w:tc>
          <w:tcPr>
            <w:tcW w:type="dxa" w:w="6808"/>
            <w:shd w:fill="F1F5F8"/>
            <w:tcMar>
              <w:top w:w="85" w:type="dxa"/>
              <w:left w:w="85" w:type="dxa"/>
              <w:bottom w:w="85" w:type="dxa"/>
              <w:right w:w="85" w:type="dxa"/>
            </w:tcMar>
          </w:tcPr>
          <w:p>
            <w:pPr>
              <w:spacing w:before="60" w:after="80" w:line="245" w:lineRule="auto"/>
            </w:pPr>
            <w:r>
              <w:rPr>
                <w:sz w:val="18"/>
              </w:rPr>
              <w:t>Pipeline inactive; no content enrichment or UMAS normalisation</w:t>
            </w:r>
          </w:p>
        </w:tc>
      </w:tr>
      <w:tr>
        <w:trPr>
          <w:cantSplit/>
        </w:trPr>
        <w:tc>
          <w:tcPr>
            <w:tcW w:type="dxa" w:w="3058"/>
            <w:shd w:fill="FAFBFC"/>
            <w:tcMar>
              <w:top w:w="85" w:type="dxa"/>
              <w:left w:w="85" w:type="dxa"/>
              <w:bottom w:w="85" w:type="dxa"/>
              <w:right w:w="85" w:type="dxa"/>
            </w:tcMar>
          </w:tcPr>
          <w:p>
            <w:pPr>
              <w:spacing w:before="60" w:after="80" w:line="245" w:lineRule="auto"/>
            </w:pPr>
            <w:r>
              <w:rPr>
                <w:sz w:val="18"/>
              </w:rPr>
              <w:t>Flat and Merge</w:t>
            </w:r>
          </w:p>
        </w:tc>
        <w:tc>
          <w:tcPr>
            <w:tcW w:type="dxa" w:w="6808"/>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flatJsonOutput=false</w:t>
            </w:r>
            <w:r>
              <w:rPr>
                <w:sz w:val="18"/>
              </w:rPr>
              <w:t xml:space="preserve"> (already flat); Output Merge OFF</w:t>
            </w:r>
          </w:p>
        </w:tc>
      </w:tr>
      <w:tr>
        <w:trPr>
          <w:cantSplit/>
        </w:trPr>
        <w:tc>
          <w:tcPr>
            <w:tcW w:type="dxa" w:w="3058"/>
            <w:shd w:fill="F1F5F8"/>
            <w:tcMar>
              <w:top w:w="85" w:type="dxa"/>
              <w:left w:w="85" w:type="dxa"/>
              <w:bottom w:w="85" w:type="dxa"/>
              <w:right w:w="85" w:type="dxa"/>
            </w:tcMar>
          </w:tcPr>
          <w:p>
            <w:pPr>
              <w:spacing w:before="60" w:after="80" w:line="245" w:lineRule="auto"/>
            </w:pPr>
            <w:r>
              <w:rPr>
                <w:sz w:val="18"/>
              </w:rPr>
              <w:t>Schedules</w:t>
            </w:r>
          </w:p>
        </w:tc>
        <w:tc>
          <w:tcPr>
            <w:tcW w:type="dxa" w:w="6808"/>
            <w:shd w:fill="F1F5F8"/>
            <w:tcMar>
              <w:top w:w="85" w:type="dxa"/>
              <w:left w:w="85" w:type="dxa"/>
              <w:bottom w:w="85" w:type="dxa"/>
              <w:right w:w="85" w:type="dxa"/>
            </w:tcMar>
          </w:tcPr>
          <w:p>
            <w:pPr>
              <w:spacing w:before="60" w:after="80" w:line="245" w:lineRule="auto"/>
            </w:pPr>
            <w:r>
              <w:rPr>
                <w:sz w:val="18"/>
              </w:rPr>
              <w:t>Empty schedule list; never clear source windows from this lane</w:t>
            </w:r>
          </w:p>
        </w:tc>
      </w:tr>
      <w:tr>
        <w:trPr>
          <w:cantSplit/>
        </w:trPr>
        <w:tc>
          <w:tcPr>
            <w:tcW w:type="dxa" w:w="3058"/>
            <w:shd w:fill="FAFBFC"/>
            <w:tcMar>
              <w:top w:w="85" w:type="dxa"/>
              <w:left w:w="85" w:type="dxa"/>
              <w:bottom w:w="85" w:type="dxa"/>
              <w:right w:w="85" w:type="dxa"/>
            </w:tcMar>
          </w:tcPr>
          <w:p>
            <w:pPr>
              <w:spacing w:before="60" w:after="80" w:line="245" w:lineRule="auto"/>
            </w:pPr>
            <w:r>
              <w:rPr>
                <w:sz w:val="18"/>
              </w:rPr>
              <w:t>Write</w:t>
            </w:r>
          </w:p>
        </w:tc>
        <w:tc>
          <w:tcPr>
            <w:tcW w:type="dxa" w:w="6808"/>
            <w:shd w:fill="FAFBFC"/>
            <w:tcMar>
              <w:top w:w="85" w:type="dxa"/>
              <w:left w:w="85" w:type="dxa"/>
              <w:bottom w:w="85" w:type="dxa"/>
              <w:right w:w="85" w:type="dxa"/>
            </w:tcMar>
          </w:tcPr>
          <w:p>
            <w:pPr>
              <w:spacing w:before="60" w:after="80" w:line="245" w:lineRule="auto"/>
            </w:pPr>
            <w:r>
              <w:rPr>
                <w:sz w:val="18"/>
              </w:rPr>
              <w:t>Absolute assignment to existing content; no increments and no create</w:t>
            </w:r>
          </w:p>
        </w:tc>
      </w:tr>
    </w:tbl>
    <w:p>
      <w:pPr>
        <w:spacing w:after="0" w:before="0" w:line="60" w:lineRule="exact"/>
      </w:pPr>
      <w:r>
        <w:rPr>
          <w:sz w:val="6"/>
        </w:rPr>
      </w:r>
    </w:p>
    <w:p>
      <w:r>
        <w:t>The producer sends complete snapshots in order per ID. Repeated current snapshots do not add counts; rolling-window values may decrease. An older snapshot can overwrite a newer one unless upstream ordering/replay prevents it. Daily analytics updates do not change the realtime requirement of the catalogue lane.</w:t>
      </w:r>
    </w:p>
    <w:p>
      <w:r>
        <w:t xml:space="preserve">Only owned business fields are updated. ARES also writes its standard technical </w:t>
      </w:r>
      <w:r>
        <w:rPr>
          <w:rFonts w:ascii="Liberation Mono" w:hAnsi="Liberation Mono"/>
          <w:color w:val="183047"/>
          <w:sz w:val="17"/>
        </w:rPr>
        <w:t>lastARESLoaderModified</w:t>
      </w:r>
      <w:r>
        <w:t xml:space="preserve"> timestamp. Preserve all other metadata, availability and fingerprint fields. UMAS and Metadata must exclude the counter fields even if received upstream. Missing-content failures must be qualified on the deployed Merge-OFF path; do not enable fingerprint Merge just to change error routing.</w:t>
      </w:r>
    </w:p>
    <w:p>
      <w:pPr>
        <w:sectPr>
          <w:pgSz w:w="11906" w:h="16838"/>
          <w:pgMar w:top="850" w:right="1020" w:bottom="850" w:left="1020" w:header="720" w:footer="397" w:gutter="0"/>
          <w:cols w:space="720"/>
          <w:docGrid w:linePitch="360"/>
        </w:sectPr>
      </w:pPr>
    </w:p>
    <w:p>
      <w:bookmarkStart w:id="25" w:name="s10"/>
      <w:pPr>
        <w:pStyle w:val="Heading1"/>
      </w:pPr>
      <w:r>
        <w:t>10 Schemas mapping and activation</w:t>
      </w:r>
      <w:bookmarkEnd w:id="25"/>
    </w:p>
    <w:p>
      <w:bookmarkStart w:id="26" w:name="s10_1"/>
      <w:pPr>
        <w:pStyle w:val="Heading2"/>
      </w:pPr>
      <w:r>
        <w:t>10.1 Delivered contracts</w:t>
      </w:r>
      <w:bookmarkEnd w:id="26"/>
    </w:p>
    <w:tbl>
      <w:tblPr>
        <w:tblW w:type="auto" w:w="0"/>
        <w:tblLayout w:type="fixed"/>
        <w:tblLook w:firstColumn="1" w:firstRow="1" w:lastColumn="0" w:lastRow="0" w:noHBand="0" w:noVBand="1" w:val="04A0"/>
      </w:tblPr>
      <w:tblGrid>
        <w:gridCol w:w="4637"/>
        <w:gridCol w:w="5229"/>
      </w:tblGrid>
      <w:tr>
        <w:trPr>
          <w:cantSplit/>
          <w:tblHeader/>
        </w:trPr>
        <w:tc>
          <w:tcPr>
            <w:tcW w:type="dxa" w:w="4637"/>
            <w:shd w:fill="183047"/>
            <w:tcMar>
              <w:top w:w="85" w:type="dxa"/>
              <w:left w:w="85" w:type="dxa"/>
              <w:bottom w:w="85" w:type="dxa"/>
              <w:right w:w="85" w:type="dxa"/>
            </w:tcMar>
          </w:tcPr>
          <w:p>
            <w:pPr>
              <w:spacing w:before="60" w:after="80" w:line="245" w:lineRule="auto"/>
            </w:pPr>
            <w:r>
              <w:rPr>
                <w:b/>
                <w:color w:val="FFFFFF"/>
                <w:sz w:val="18"/>
              </w:rPr>
              <w:t>Artifact</w:t>
            </w:r>
          </w:p>
        </w:tc>
        <w:tc>
          <w:tcPr>
            <w:tcW w:type="dxa" w:w="5229"/>
            <w:shd w:fill="183047"/>
            <w:tcMar>
              <w:top w:w="85" w:type="dxa"/>
              <w:left w:w="85" w:type="dxa"/>
              <w:bottom w:w="85" w:type="dxa"/>
              <w:right w:w="85" w:type="dxa"/>
            </w:tcMar>
          </w:tcPr>
          <w:p>
            <w:pPr>
              <w:spacing w:before="60" w:after="80" w:line="245" w:lineRule="auto"/>
            </w:pPr>
            <w:r>
              <w:rPr>
                <w:b/>
                <w:color w:val="FFFFFF"/>
                <w:sz w:val="18"/>
              </w:rPr>
              <w:t>Purpose</w:t>
            </w:r>
          </w:p>
        </w:tc>
      </w:tr>
      <w:tr>
        <w:trPr>
          <w:cantSplit/>
        </w:trPr>
        <w:tc>
          <w:tcPr>
            <w:tcW w:type="dxa" w:w="4637"/>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schemas/content-loader.schema.json</w:t>
            </w:r>
            <w:r>
              <w:rPr>
                <w:sz w:val="18"/>
              </w:rPr>
            </w:r>
          </w:p>
        </w:tc>
        <w:tc>
          <w:tcPr>
            <w:tcW w:type="dxa" w:w="5229"/>
            <w:shd w:fill="F1F5F8"/>
            <w:tcMar>
              <w:top w:w="85" w:type="dxa"/>
              <w:left w:w="85" w:type="dxa"/>
              <w:bottom w:w="85" w:type="dxa"/>
              <w:right w:w="85" w:type="dxa"/>
            </w:tcMar>
          </w:tcPr>
          <w:p>
            <w:pPr>
              <w:spacing w:before="60" w:after="80" w:line="245" w:lineRule="auto"/>
            </w:pPr>
            <w:r>
              <w:rPr>
                <w:sz w:val="18"/>
              </w:rPr>
              <w:t>Technical input JSON Schema for full UMAS documents and ID-only deletion</w:t>
            </w:r>
          </w:p>
        </w:tc>
      </w:tr>
      <w:tr>
        <w:trPr>
          <w:cantSplit/>
        </w:trPr>
        <w:tc>
          <w:tcPr>
            <w:tcW w:type="dxa" w:w="4637"/>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schemas/counters-loader.schema.json</w:t>
            </w:r>
            <w:r>
              <w:rPr>
                <w:sz w:val="18"/>
              </w:rPr>
            </w:r>
          </w:p>
        </w:tc>
        <w:tc>
          <w:tcPr>
            <w:tcW w:type="dxa" w:w="5229"/>
            <w:shd w:fill="FAFBFC"/>
            <w:tcMar>
              <w:top w:w="85" w:type="dxa"/>
              <w:left w:w="85" w:type="dxa"/>
              <w:bottom w:w="85" w:type="dxa"/>
              <w:right w:w="85" w:type="dxa"/>
            </w:tcMar>
          </w:tcPr>
          <w:p>
            <w:pPr>
              <w:spacing w:before="60" w:after="80" w:line="245" w:lineRule="auto"/>
            </w:pPr>
            <w:r>
              <w:rPr>
                <w:sz w:val="18"/>
              </w:rPr>
              <w:t>Strict input JSON Schema for the complete proposed counter snapshot</w:t>
            </w:r>
          </w:p>
        </w:tc>
      </w:tr>
      <w:tr>
        <w:trPr>
          <w:cantSplit/>
        </w:trPr>
        <w:tc>
          <w:tcPr>
            <w:tcW w:type="dxa" w:w="4637"/>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opensearch/dach-content.mapping.json</w:t>
            </w:r>
            <w:r>
              <w:rPr>
                <w:sz w:val="18"/>
              </w:rPr>
            </w:r>
          </w:p>
        </w:tc>
        <w:tc>
          <w:tcPr>
            <w:tcW w:type="dxa" w:w="5229"/>
            <w:shd w:fill="F1F5F8"/>
            <w:tcMar>
              <w:top w:w="85" w:type="dxa"/>
              <w:left w:w="85" w:type="dxa"/>
              <w:bottom w:w="85" w:type="dxa"/>
              <w:right w:w="85" w:type="dxa"/>
            </w:tcMar>
          </w:tcPr>
          <w:p>
            <w:pPr>
              <w:spacing w:before="60" w:after="80" w:line="245" w:lineRule="auto"/>
            </w:pPr>
            <w:r>
              <w:rPr>
                <w:sz w:val="18"/>
              </w:rPr>
              <w:t>One shared content-index mapping for the three lanes</w:t>
            </w:r>
          </w:p>
        </w:tc>
      </w:tr>
      <w:tr>
        <w:trPr>
          <w:cantSplit/>
        </w:trPr>
        <w:tc>
          <w:tcPr>
            <w:tcW w:type="dxa" w:w="4637"/>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contracts/content-output-contract.json</w:t>
            </w:r>
            <w:r>
              <w:rPr>
                <w:sz w:val="18"/>
              </w:rPr>
            </w:r>
          </w:p>
        </w:tc>
        <w:tc>
          <w:tcPr>
            <w:tcW w:type="dxa" w:w="5229"/>
            <w:shd w:fill="FAFBFC"/>
            <w:tcMar>
              <w:top w:w="85" w:type="dxa"/>
              <w:left w:w="85" w:type="dxa"/>
              <w:bottom w:w="85" w:type="dxa"/>
              <w:right w:w="85" w:type="dxa"/>
            </w:tcMar>
          </w:tcPr>
          <w:p>
            <w:pPr>
              <w:spacing w:before="60" w:after="80" w:line="245" w:lineRule="auto"/>
            </w:pPr>
            <w:r>
              <w:rPr>
                <w:sz w:val="18"/>
              </w:rPr>
              <w:t>Flat Super output schema for Loader configuration, including nullable resets</w:t>
            </w:r>
          </w:p>
        </w:tc>
      </w:tr>
      <w:tr>
        <w:trPr>
          <w:cantSplit/>
        </w:trPr>
        <w:tc>
          <w:tcPr>
            <w:tcW w:type="dxa" w:w="4637"/>
            <w:shd w:fill="F1F5F8"/>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contracts/loader-profiles.json</w:t>
            </w:r>
            <w:r>
              <w:rPr>
                <w:sz w:val="18"/>
              </w:rPr>
            </w:r>
          </w:p>
        </w:tc>
        <w:tc>
          <w:tcPr>
            <w:tcW w:type="dxa" w:w="5229"/>
            <w:shd w:fill="F1F5F8"/>
            <w:tcMar>
              <w:top w:w="85" w:type="dxa"/>
              <w:left w:w="85" w:type="dxa"/>
              <w:bottom w:w="85" w:type="dxa"/>
              <w:right w:w="85" w:type="dxa"/>
            </w:tcMar>
          </w:tcPr>
          <w:p>
            <w:pPr>
              <w:spacing w:before="60" w:after="80" w:line="245" w:lineRule="auto"/>
            </w:pPr>
            <w:r>
              <w:rPr>
                <w:sz w:val="18"/>
              </w:rPr>
              <w:t>Reviewable settings and ownership; environment values and scripts still to configure</w:t>
            </w:r>
          </w:p>
        </w:tc>
      </w:tr>
      <w:tr>
        <w:trPr>
          <w:cantSplit/>
        </w:trPr>
        <w:tc>
          <w:tcPr>
            <w:tcW w:type="dxa" w:w="4637"/>
            <w:shd w:fill="FAFBFC"/>
            <w:tcMar>
              <w:top w:w="85" w:type="dxa"/>
              <w:left w:w="85" w:type="dxa"/>
              <w:bottom w:w="85" w:type="dxa"/>
              <w:right w:w="85" w:type="dxa"/>
            </w:tcMar>
          </w:tcPr>
          <w:p>
            <w:pPr>
              <w:spacing w:before="60" w:after="80" w:line="245" w:lineRule="auto"/>
            </w:pPr>
            <w:r>
              <w:rPr>
                <w:sz w:val="18"/>
              </w:rPr>
            </w:r>
            <w:r>
              <w:rPr>
                <w:rFonts w:ascii="Liberation Mono" w:hAnsi="Liberation Mono"/>
                <w:color w:val="183047"/>
                <w:sz w:val="16"/>
              </w:rPr>
              <w:t>contracts/contract-roster.json</w:t>
            </w:r>
            <w:r>
              <w:rPr>
                <w:sz w:val="18"/>
              </w:rPr>
            </w:r>
          </w:p>
        </w:tc>
        <w:tc>
          <w:tcPr>
            <w:tcW w:type="dxa" w:w="5229"/>
            <w:shd w:fill="FAFBFC"/>
            <w:tcMar>
              <w:top w:w="85" w:type="dxa"/>
              <w:left w:w="85" w:type="dxa"/>
              <w:bottom w:w="85" w:type="dxa"/>
              <w:right w:w="85" w:type="dxa"/>
            </w:tcMar>
          </w:tcPr>
          <w:p>
            <w:pPr>
              <w:spacing w:before="60" w:after="80" w:line="245" w:lineRule="auto"/>
            </w:pPr>
            <w:r>
              <w:rPr>
                <w:sz w:val="18"/>
              </w:rPr>
              <w:t>Field roster, supported tenants, provenance and pending contract choices</w:t>
            </w:r>
          </w:p>
        </w:tc>
      </w:tr>
    </w:tbl>
    <w:p>
      <w:pPr>
        <w:spacing w:after="0" w:before="0" w:line="60" w:lineRule="exact"/>
      </w:pPr>
      <w:r>
        <w:rPr>
          <w:sz w:val="6"/>
        </w:rPr>
      </w:r>
    </w:p>
    <w:p>
      <w:r>
        <w:t xml:space="preserve">Paths are relative to </w:t>
      </w:r>
      <w:r>
        <w:rPr>
          <w:rFonts w:ascii="Liberation Mono" w:hAnsi="Liberation Mono"/>
          <w:color w:val="183047"/>
          <w:sz w:val="17"/>
        </w:rPr>
        <w:t>outputs/</w:t>
      </w:r>
      <w:r>
        <w:t xml:space="preserve">. The two input schemas validate the JSON object inside </w:t>
      </w:r>
      <w:r>
        <w:rPr>
          <w:rFonts w:ascii="Liberation Mono" w:hAnsi="Liberation Mono"/>
          <w:color w:val="183047"/>
          <w:sz w:val="17"/>
        </w:rPr>
        <w:t>jsonObj</w:t>
      </w:r>
      <w:r>
        <w:t xml:space="preserve">, not the gRPC envelope. The content schema requires only nonblank </w:t>
      </w:r>
      <w:r>
        <w:rPr>
          <w:rFonts w:ascii="Liberation Mono" w:hAnsi="Liberation Mono"/>
          <w:color w:val="183047"/>
          <w:sz w:val="17"/>
        </w:rPr>
        <w:t>id</w:t>
      </w:r>
      <w:r>
        <w:t xml:space="preserve"> and accepts the full source vocabulary; source fields remain optional at this technical boundary. It is not a replacement for UMAS validation upstream, and it cannot prove that a non-delete event is complete. That guarantee belongs to the producer contract.</w:t>
      </w:r>
    </w:p>
    <w:p>
      <w:r>
        <w:t>Input may carry source fields and tenant information that will not be indexed. DACH projection retains only the three configured markets and the selected fields. The shared mapping is strict: no implicit dynamic metadata fields. It excludes raw windows, obsolete broadcast-date aliases and unknown Series fields; it reserves the three fingerprint fields and optional Brand names. Metadata fields must be declared before that out-of-scope feed is activated.</w:t>
      </w:r>
    </w:p>
    <w:p>
      <w:r>
        <w:t xml:space="preserve">JSON Schemas describe scalar/list/null shapes; OpenSearch maps each indexed value. Arrays use ordinary text/keyword mappings. </w:t>
      </w:r>
      <w:r>
        <w:rPr>
          <w:rFonts w:ascii="Liberation Mono" w:hAnsi="Liberation Mono"/>
          <w:color w:val="183047"/>
          <w:sz w:val="17"/>
        </w:rPr>
        <w:t>productionYear</w:t>
      </w:r>
      <w:r>
        <w:t xml:space="preserve"> is a source string and stays keyword. Counter coercion is disabled; dates have explicit formats and no substitute null. Search analysis and index settings remain to qualify.</w:t>
      </w:r>
    </w:p>
    <w:p>
      <w:bookmarkStart w:id="27" w:name="s10_2"/>
      <w:pPr>
        <w:pStyle w:val="Heading2"/>
      </w:pPr>
      <w:r>
        <w:t>10.2 Workbook reconciliation</w:t>
      </w:r>
      <w:bookmarkEnd w:id="27"/>
    </w:p>
    <w:p>
      <w:r>
        <w:t>The returned DACH sheet selected 28 of 422 fields. Preserve its selections as evidence, then reconcile configuration with the agreed changes: use derived tenant dates, remove obsolete broadcast-date sources from the index, consume windows for schedules without emitting them, and add declared aggregate/fingerprint/counter fields. All CTS categories remain combined; German title/genre/keyword filters remain effective.</w:t>
      </w:r>
    </w:p>
    <w:p>
      <w:r>
        <w:t>Italy remains a separate legacy-mapping sheet. It does not define DACH names or meanings. The previously delivered unfilled workbook and the returned workbook are not interchangeable. This delivery does not overwrite either spreadsheet.</w:t>
      </w:r>
    </w:p>
    <w:p>
      <w:bookmarkStart w:id="28" w:name="s10_3"/>
      <w:pPr>
        <w:pStyle w:val="Heading2"/>
      </w:pPr>
      <w:r>
        <w:t>10.3 Activation checks</w:t>
      </w:r>
      <w:bookmarkEnd w:id="28"/>
    </w:p>
    <w:p>
      <w:r>
        <w:t>Assign Loader IDs, tokens, queues, write/schedule indexes and endpoint. Confirm deployed versions and Bulk/update/script permissions for Merge; these artifacts do not activate an integration.</w:t>
      </w:r>
    </w:p>
    <w:p>
      <w:r>
        <w:t>Test full creation and refresh preserving other lanes; Metadata before/after Super; counter replay/zero/null/lower values; filtering; absent-tenant date resets; empty/future/overlapping windows; INACTIVE; delete with schedule cleanup; and failed writes preserving error reasons.</w:t>
      </w:r>
    </w:p>
    <w:p>
      <w:r>
        <w:t>Declare generated fields in output schemas and verify explicit owned-field resets. Test schedule exceptions: content, schedule rows and backups are not one transaction; failures must not silently leave stale availability.</w:t>
      </w:r>
    </w:p>
    <w:p>
      <w:r>
        <w:t>Close each open item before enabling its capability. Series and conditional Brand enrichment may remain disabled. Qualify index behaviour, API capacity and realtime latency separately from local schema checks.</w:t>
      </w:r>
    </w:p>
    <w:sectPr w:rsidR="00FC693F" w:rsidRPr="0006063C" w:rsidSect="00034616">
      <w:pgSz w:w="11906" w:h="16838"/>
      <w:pgMar w:top="850" w:right="1020" w:bottom="850"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36778"/>
        <w:sz w:val="16"/>
      </w:rPr>
      <w:t xml:space="preserve">ARES  /  DACH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Arial" w:hAnsi="Arial"/>
      <w:color w:val="1830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8304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86C9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0"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DACH catalogue ingestion specification</dc:title>
  <dc:subject>UMAS v3 content and counters ingestion contracts</dc:subject>
  <dc:creator>ARES</dc:creator>
  <cp:keywords/>
  <dc:description>generated by python-docx</dc:description>
  <cp:lastModifiedBy/>
  <cp:revision>1</cp:revision>
  <dcterms:created xsi:type="dcterms:W3CDTF">2013-12-23T23:15:00Z</dcterms:created>
  <dcterms:modified xsi:type="dcterms:W3CDTF">2013-12-23T23:15:00Z</dcterms:modified>
  <cp:category/>
</cp:coreProperties>
</file>