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highlight w:val="red"/>
        </w:rPr>
        <w:t xml:space="preserve">Estruturas de Escolha Caso: </w:t>
      </w:r>
      <w:r>
        <w:rPr>
          <w:rFonts w:cs="Courier New" w:ascii="Courier New" w:hAnsi="Courier New"/>
          <w:highlight w:val="red"/>
        </w:rPr>
        <w:t>Quando se tem muitos testes com valores numéricos simples.</w:t>
      </w:r>
      <w:r>
        <w:rPr>
          <w:rFonts w:cs="Courier New" w:ascii="Courier New" w:hAnsi="Courier New"/>
          <w:sz w:val="28"/>
          <w:highlight w:val="red"/>
        </w:rPr>
        <w:t xml:space="preserve"> </w:t>
      </w:r>
      <w:r>
        <w:rPr>
          <w:rFonts w:cs="Courier New" w:ascii="Courier New" w:hAnsi="Courier New"/>
          <w:highlight w:val="red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  <w:highlight w:val="red"/>
        </w:rPr>
        <w:t>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8034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2021-06-29T21:37:57Z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