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28B10C74"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 IT ecosystem and integrated digital health platforms post-Roe vs Wade to fifteen Planned Parenthood affiliates across 19 states.</w:t>
      </w:r>
    </w:p>
    <w:p w14:paraId="46BC7FC0" w14:textId="7609F5BD"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41FE21AE" w14:textId="35104BE0" w:rsidR="007A34E8" w:rsidRDefault="007A34E8" w:rsidP="0036681D">
      <w:pPr>
        <w:pStyle w:val="ListParagraph"/>
        <w:numPr>
          <w:ilvl w:val="0"/>
          <w:numId w:val="22"/>
        </w:numPr>
        <w:tabs>
          <w:tab w:val="right" w:pos="9648"/>
        </w:tabs>
        <w:rPr>
          <w:rFonts w:ascii="Arial" w:hAnsi="Arial" w:cs="Arial"/>
          <w:sz w:val="22"/>
          <w:szCs w:val="22"/>
        </w:rPr>
      </w:pPr>
      <w:r>
        <w:rPr>
          <w:rFonts w:ascii="Arial" w:hAnsi="Arial" w:cs="Arial"/>
          <w:sz w:val="22"/>
          <w:szCs w:val="22"/>
        </w:rPr>
        <w:t xml:space="preserve">Configure, manage, validate, test, and troubleshoot implementation of new security and compliance tooling in partnership with Information Security Team. Recent experience with Palo Alto Cortex XDR, CASB Cloud Security, and SaaS Security Posture Management. </w:t>
      </w:r>
    </w:p>
    <w:p w14:paraId="79279F2D" w14:textId="60EE4344" w:rsidR="0036681D" w:rsidRPr="00D33ADE"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 xml:space="preserve">VPN tunnels </w:t>
      </w:r>
      <w:r w:rsidR="00D33ADE">
        <w:rPr>
          <w:rFonts w:ascii="Arial" w:hAnsi="Arial" w:cs="Arial"/>
          <w:sz w:val="22"/>
          <w:szCs w:val="22"/>
        </w:rPr>
        <w:t xml:space="preserve">setup or troubleshooting, </w:t>
      </w:r>
      <w:r w:rsidRPr="00D33ADE">
        <w:rPr>
          <w:rFonts w:ascii="Arial" w:hAnsi="Arial" w:cs="Arial"/>
          <w:sz w:val="22"/>
          <w:szCs w:val="22"/>
        </w:rPr>
        <w:t xml:space="preserve">SAML sign on integrations,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6CCE31EE" w14:textId="423299A8"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27C143D2" w:rsidR="00C92499" w:rsidRDefault="00C92499" w:rsidP="000A2DB9">
      <w:pPr>
        <w:pStyle w:val="ECG1"/>
        <w:numPr>
          <w:ilvl w:val="0"/>
          <w:numId w:val="20"/>
        </w:numPr>
        <w:spacing w:before="0" w:after="0" w:line="240" w:lineRule="auto"/>
        <w:contextualSpacing/>
      </w:pPr>
      <w:r>
        <w:t xml:space="preserve">Configure, manage, validate, test, 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6FFAF409"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including setting up site-to-site VPN tunnels, creating SAML sign on integrations, 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t>Work cross-functionally with other teams to develop and maintain solutions to support their wor</w:t>
      </w:r>
      <w:r w:rsidR="008D16BF">
        <w:t xml:space="preserve">k </w:t>
      </w:r>
      <w:r>
        <w:t xml:space="preserve">and ensure appropriate use of IT resources. Projects include developing in-house medical image </w:t>
      </w:r>
      <w:r>
        <w:lastRenderedPageBreak/>
        <w:t>processing software, SFTP data transfer integrations with lab and finance vendors, and</w:t>
      </w:r>
      <w:r w:rsidR="008D16BF">
        <w:t xml:space="preserve"> rollout of Atlassian suite for knowledge base and ticket system.</w:t>
      </w:r>
    </w:p>
    <w:p w14:paraId="4A2CE0D3" w14:textId="0E4F8150" w:rsidR="00C92499" w:rsidRPr="00260FBF" w:rsidRDefault="00C92499" w:rsidP="000A2DB9">
      <w:pPr>
        <w:pStyle w:val="ECG1"/>
        <w:numPr>
          <w:ilvl w:val="0"/>
          <w:numId w:val="20"/>
        </w:numPr>
        <w:spacing w:before="0" w:after="0" w:line="240" w:lineRule="auto"/>
        <w:contextualSpacing/>
      </w:pPr>
      <w:r w:rsidRPr="000366F5">
        <w:t xml:space="preserve">Provide technical leadership </w:t>
      </w:r>
      <w:r>
        <w:t>and mentorship to junior IT staff.</w:t>
      </w:r>
      <w:r w:rsidRPr="000366F5">
        <w:t xml:space="preserve"> </w:t>
      </w:r>
    </w:p>
    <w:p w14:paraId="36B9D199" w14:textId="3650CC4F" w:rsidR="00C92499" w:rsidRDefault="00C92499" w:rsidP="000A2DB9">
      <w:pPr>
        <w:pStyle w:val="ECG1"/>
        <w:numPr>
          <w:ilvl w:val="0"/>
          <w:numId w:val="20"/>
        </w:numPr>
        <w:spacing w:before="0" w:after="0" w:line="240" w:lineRule="auto"/>
        <w:contextualSpacing/>
      </w:pPr>
      <w:r>
        <w:t>Perform n</w:t>
      </w:r>
      <w:r w:rsidRPr="00260FBF">
        <w:t>etwork diagramming</w:t>
      </w:r>
      <w:r>
        <w:t xml:space="preserve"> </w:t>
      </w:r>
      <w:r w:rsidR="008B044C">
        <w:t>and documentation of new and existing systems within the environment</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5AFDDDA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78B3324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vSphere upgrades</w:t>
      </w:r>
      <w:r w:rsidR="00864119" w:rsidRPr="00864119">
        <w:rPr>
          <w:rFonts w:ascii="Tahoma" w:hAnsi="Tahoma" w:cs="Tahoma"/>
          <w:sz w:val="20"/>
        </w:rPr>
        <w:t>.</w:t>
      </w:r>
    </w:p>
    <w:p w14:paraId="7C718E84" w14:textId="53B429F5" w:rsidR="00A1342B" w:rsidRDefault="00616AEE" w:rsidP="00A1342B">
      <w:pPr>
        <w:pStyle w:val="ListParagraph"/>
        <w:numPr>
          <w:ilvl w:val="0"/>
          <w:numId w:val="20"/>
        </w:numPr>
        <w:tabs>
          <w:tab w:val="right" w:pos="9648"/>
        </w:tabs>
        <w:rPr>
          <w:rFonts w:ascii="Tahoma" w:hAnsi="Tahoma" w:cs="Tahoma"/>
          <w:sz w:val="20"/>
        </w:rPr>
      </w:pPr>
      <w:r>
        <w:rPr>
          <w:rFonts w:ascii="Tahoma" w:hAnsi="Tahoma" w:cs="Tahoma"/>
          <w:sz w:val="20"/>
        </w:rPr>
        <w:t>Acted as primary maintainer of</w:t>
      </w:r>
      <w:r w:rsidR="008D16BF">
        <w:rPr>
          <w:rFonts w:ascii="Tahoma" w:hAnsi="Tahoma" w:cs="Tahoma"/>
          <w:sz w:val="20"/>
        </w:rPr>
        <w:t xml:space="preserve"> </w:t>
      </w:r>
      <w:r w:rsidR="00A1342B" w:rsidRPr="00A1342B">
        <w:rPr>
          <w:rFonts w:ascii="Tahoma" w:hAnsi="Tahoma" w:cs="Tahoma"/>
          <w:sz w:val="20"/>
        </w:rPr>
        <w:t>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On System (SSO), </w:t>
      </w:r>
      <w:r w:rsidR="004C704A">
        <w:rPr>
          <w:rFonts w:ascii="Tahoma" w:hAnsi="Tahoma" w:cs="Tahoma"/>
          <w:sz w:val="20"/>
        </w:rPr>
        <w:t>Azure DR environment</w:t>
      </w:r>
      <w:r w:rsidR="00A1342B" w:rsidRPr="00A1342B">
        <w:rPr>
          <w:rFonts w:ascii="Tahoma" w:hAnsi="Tahoma" w:cs="Tahoma"/>
          <w:sz w:val="20"/>
        </w:rPr>
        <w:t>, Drupal Systems,</w:t>
      </w:r>
      <w:r w:rsidR="004C704A">
        <w:rPr>
          <w:rFonts w:ascii="Tahoma" w:hAnsi="Tahoma" w:cs="Tahoma"/>
          <w:sz w:val="20"/>
        </w:rPr>
        <w:t xml:space="preserve"> VMware vSphere, DHCP,</w:t>
      </w:r>
      <w:r w:rsidR="00A1342B" w:rsidRPr="00A1342B">
        <w:rPr>
          <w:rFonts w:ascii="Tahoma" w:hAnsi="Tahoma" w:cs="Tahoma"/>
          <w:sz w:val="20"/>
        </w:rPr>
        <w:t xml:space="preserve"> </w:t>
      </w:r>
      <w:r w:rsidR="000E573D">
        <w:rPr>
          <w:rFonts w:ascii="Tahoma" w:hAnsi="Tahoma" w:cs="Tahoma"/>
          <w:sz w:val="20"/>
        </w:rPr>
        <w:t xml:space="preserve">Zenoss Monitoring, </w:t>
      </w:r>
      <w:r w:rsidR="00A1342B" w:rsidRPr="00A1342B">
        <w:rPr>
          <w:rFonts w:ascii="Tahoma" w:hAnsi="Tahoma" w:cs="Tahoma"/>
          <w:sz w:val="20"/>
        </w:rPr>
        <w:t xml:space="preserve">and </w:t>
      </w:r>
      <w:r w:rsidR="004C704A">
        <w:rPr>
          <w:rFonts w:ascii="Tahoma" w:hAnsi="Tahoma" w:cs="Tahoma"/>
          <w:sz w:val="20"/>
        </w:rPr>
        <w:t>others</w:t>
      </w:r>
      <w:r w:rsidR="00A1342B" w:rsidRPr="00A1342B">
        <w:rPr>
          <w:rFonts w:ascii="Tahoma" w:hAnsi="Tahoma" w:cs="Tahoma"/>
          <w:sz w:val="20"/>
        </w:rPr>
        <w:t>.</w:t>
      </w:r>
    </w:p>
    <w:p w14:paraId="5B637423" w14:textId="41BA8EA5"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CD3FD0F"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 problems.</w:t>
      </w:r>
    </w:p>
    <w:p w14:paraId="53E5B9C4" w14:textId="2C4A7B54"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w:t>
      </w:r>
      <w:r w:rsidR="000E573D" w:rsidRPr="000E573D">
        <w:rPr>
          <w:rFonts w:ascii="Tahoma" w:hAnsi="Tahoma" w:cs="Tahoma"/>
          <w:sz w:val="20"/>
        </w:rPr>
        <w:t xml:space="preserve">central Columbia University and Business School AD and IDM systems </w:t>
      </w:r>
      <w:r w:rsidR="00B26113">
        <w:rPr>
          <w:rFonts w:ascii="Tahoma" w:hAnsi="Tahoma" w:cs="Tahoma"/>
          <w:sz w:val="20"/>
        </w:rPr>
        <w:t>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44A00ED7"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lastRenderedPageBreak/>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lastRenderedPageBreak/>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CC786" w14:textId="77777777" w:rsidR="00C22409" w:rsidRDefault="00C22409">
      <w:r>
        <w:separator/>
      </w:r>
    </w:p>
  </w:endnote>
  <w:endnote w:type="continuationSeparator" w:id="0">
    <w:p w14:paraId="11ED0602" w14:textId="77777777" w:rsidR="00C22409" w:rsidRDefault="00C22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323DD" w14:textId="77777777" w:rsidR="00C22409" w:rsidRDefault="00C22409">
      <w:r>
        <w:separator/>
      </w:r>
    </w:p>
  </w:footnote>
  <w:footnote w:type="continuationSeparator" w:id="0">
    <w:p w14:paraId="00B56D58" w14:textId="77777777" w:rsidR="00C22409" w:rsidRDefault="00C22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6681D"/>
    <w:rsid w:val="0037015D"/>
    <w:rsid w:val="003744D7"/>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56043"/>
    <w:rsid w:val="00757DEE"/>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3AE"/>
    <w:rsid w:val="00A324DA"/>
    <w:rsid w:val="00A32A4E"/>
    <w:rsid w:val="00A464C5"/>
    <w:rsid w:val="00A529E8"/>
    <w:rsid w:val="00A54987"/>
    <w:rsid w:val="00A716F8"/>
    <w:rsid w:val="00A8095C"/>
    <w:rsid w:val="00A85D58"/>
    <w:rsid w:val="00AC220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A1774"/>
    <w:rsid w:val="00BA6551"/>
    <w:rsid w:val="00BA725B"/>
    <w:rsid w:val="00BC0188"/>
    <w:rsid w:val="00BD245B"/>
    <w:rsid w:val="00BD34A5"/>
    <w:rsid w:val="00BE031A"/>
    <w:rsid w:val="00BE2A82"/>
    <w:rsid w:val="00BE7CD1"/>
    <w:rsid w:val="00C07F2C"/>
    <w:rsid w:val="00C15A58"/>
    <w:rsid w:val="00C16367"/>
    <w:rsid w:val="00C22409"/>
    <w:rsid w:val="00C40574"/>
    <w:rsid w:val="00C439CF"/>
    <w:rsid w:val="00C512E1"/>
    <w:rsid w:val="00C65FE9"/>
    <w:rsid w:val="00C73307"/>
    <w:rsid w:val="00C91289"/>
    <w:rsid w:val="00C92499"/>
    <w:rsid w:val="00C92757"/>
    <w:rsid w:val="00C970D2"/>
    <w:rsid w:val="00CA3637"/>
    <w:rsid w:val="00CA4625"/>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13422</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2024-11-10T22:18:00Z</dcterms:modified>
</cp:coreProperties>
</file>