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pPr>
      <w:r>
        <w:rPr>
          <w:b/>
          <w:color w:val="184C78"/>
          <w:sz w:val="40"/>
        </w:rPr>
        <w:t>Advanced Multi-Gate Nanoscale MOSFETs: FinFET, GAAFET &amp; FD-SOI</w:t>
      </w:r>
    </w:p>
    <w:p>
      <w:pPr>
        <w:spacing w:after="80"/>
      </w:pPr>
      <w:r>
        <w:rPr>
          <w:color w:val="282C34"/>
          <w:sz w:val="21"/>
        </w:rPr>
        <w:t xml:space="preserve">In advanced sub-micron VLSI, microprocessors, mobile SoCs, and AI hardware accelerators, classical planar 2D MOSFET scaling collapsed against quantum mechanical and thermodynamic limits at the 20 nm technology node. To continue Moore's Law, the semiconductor industry transitioned from planar structures to </w:t>
      </w:r>
      <w:r>
        <w:rPr>
          <w:b/>
          <w:color w:val="282C34"/>
          <w:sz w:val="21"/>
        </w:rPr>
        <w:t>3D Multi-Gate architectures</w:t>
      </w:r>
      <w:r>
        <w:rPr>
          <w:color w:val="282C34"/>
          <w:sz w:val="21"/>
        </w:rPr>
        <w:t xml:space="preserve">: </w:t>
      </w:r>
      <w:r>
        <w:rPr>
          <w:b/>
          <w:color w:val="282C34"/>
          <w:sz w:val="21"/>
        </w:rPr>
        <w:t>FinFET (Tri-Gate)</w:t>
      </w:r>
      <w:r>
        <w:rPr>
          <w:color w:val="282C34"/>
          <w:sz w:val="21"/>
        </w:rPr>
        <w:t xml:space="preserve">, </w:t>
      </w:r>
      <w:r>
        <w:rPr>
          <w:b/>
          <w:color w:val="282C34"/>
          <w:sz w:val="21"/>
        </w:rPr>
        <w:t>GAAFET (Gate-All-Around / Nanosheet FET)</w:t>
      </w:r>
      <w:r>
        <w:rPr>
          <w:color w:val="282C34"/>
          <w:sz w:val="21"/>
        </w:rPr>
        <w:t xml:space="preserve">, and </w:t>
      </w:r>
      <w:r>
        <w:rPr>
          <w:b/>
          <w:color w:val="282C34"/>
          <w:sz w:val="21"/>
        </w:rPr>
        <w:t>FD-SOI (Fully Depleted Silicon-on-Insulator)</w:t>
      </w:r>
      <w:r>
        <w:rPr>
          <w:color w:val="282C34"/>
          <w:sz w:val="21"/>
        </w:rPr>
        <w:t>.</w:t>
      </w:r>
    </w:p>
    <w:p>
      <w:pPr>
        <w:spacing w:before="80" w:after="80"/>
        <w:pBdr>
          <w:bottom w:val="single" w:sz="6" w:space="1" w:color="E2E8F0"/>
        </w:pBdr>
      </w:pPr>
    </w:p>
    <w:p>
      <w:pPr>
        <w:spacing w:before="240" w:after="120"/>
      </w:pPr>
      <w:r>
        <w:rPr>
          <w:b/>
          <w:color w:val="184C78"/>
          <w:sz w:val="28"/>
        </w:rPr>
        <w:t>1. The Breakdown of Planar CMOS: Short-Channel Effects (SCE)</w:t>
      </w:r>
    </w:p>
    <w:p>
      <w:pPr>
        <w:spacing w:after="80"/>
      </w:pPr>
      <w:r>
        <w:rPr>
          <w:color w:val="282C34"/>
          <w:sz w:val="21"/>
        </w:rPr>
        <w:t>As physical gate lengths (L_g) scaled below 28 nm, planar MOSFETs experienced catastrophic breakdown of electrostatic channel control:</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Classical 2D Planar Scaling Failure</w:t>
              <w:br/>
              <w:t xml:space="preserve">             Gate (Weak 1-Sided Control)</w:t>
              <w:br/>
              <w:t xml:space="preserve">       ──────────────────────────────────────</w:t>
              <w:br/>
              <w:t xml:space="preserve">       Source (n+)      Channel       Drain (n+)</w:t>
              <w:br/>
              <w:t xml:space="preserve">       ┌────────┐                    ┌────────┐</w:t>
              <w:br/>
              <w:t xml:space="preserve">       │   n+   │  ................  │   n+   │ (High Vds penetrates deeply!)</w:t>
              <w:br/>
              <w:t xml:space="preserve">       └────────┴────────────────────┴────────┘</w:t>
              <w:br/>
              <w:t xml:space="preserve">                    p-Substrate</w:t>
              <w:br/>
              <w:t xml:space="preserve">          Sub-surface Leakage Path (Punch-Through!)</w:t>
            </w:r>
          </w:p>
        </w:tc>
      </w:tr>
    </w:tbl>
    <w:p/>
    <w:p>
      <w:pPr>
        <w:spacing w:before="160" w:after="80"/>
      </w:pPr>
      <w:r>
        <w:rPr>
          <w:b/>
          <w:color w:val="4682B4"/>
          <w:sz w:val="24"/>
        </w:rPr>
        <w:t>Critical Short-Channel Degradations:</w:t>
      </w:r>
    </w:p>
    <w:p>
      <w:pPr>
        <w:pStyle w:val="ListNumber"/>
        <w:spacing w:after="40"/>
        <w:ind w:left="360"/>
      </w:pPr>
      <w:r>
        <w:rPr>
          <w:b/>
          <w:color w:val="282C34"/>
          <w:sz w:val="21"/>
        </w:rPr>
        <w:t>Drain-Induced Barrier Lowering (DIBL)</w:t>
      </w:r>
      <w:r>
        <w:rPr>
          <w:color w:val="282C34"/>
          <w:sz w:val="21"/>
        </w:rPr>
        <w:t>:</w:t>
      </w:r>
    </w:p>
    <w:p>
      <w:pPr>
        <w:pStyle w:val="ListBullet"/>
        <w:spacing w:after="40"/>
        <w:ind w:left="720"/>
      </w:pPr>
      <w:r>
        <w:rPr>
          <w:color w:val="282C34"/>
          <w:sz w:val="21"/>
        </w:rPr>
        <w:t>In long-channel devices, the gate uniquely controls the energy barrier between source and channel.</w:t>
      </w:r>
    </w:p>
    <w:p>
      <w:pPr>
        <w:pStyle w:val="ListBullet"/>
        <w:spacing w:after="40"/>
        <w:ind w:left="720"/>
      </w:pPr>
      <w:r>
        <w:rPr>
          <w:color w:val="282C34"/>
          <w:sz w:val="21"/>
        </w:rPr>
        <w:t>In ultra-short channels, high drain potential (V_DS) directly pulls down the source-channel barrier. The gate loses control over channel conduction:</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DIBL = -(Δ V_TH) / (Δ V_DS) [mV/V]</w:t>
            </w:r>
          </w:p>
        </w:tc>
      </w:tr>
    </w:tbl>
    <w:p/>
    <w:p>
      <w:pPr>
        <w:pStyle w:val="ListNumber"/>
        <w:spacing w:after="40"/>
        <w:ind w:left="360"/>
      </w:pPr>
      <w:r>
        <w:rPr>
          <w:b/>
          <w:color w:val="282C34"/>
          <w:sz w:val="21"/>
        </w:rPr>
        <w:t>Subthreshold Leakage Explosion</w:t>
      </w:r>
      <w:r>
        <w:rPr>
          <w:color w:val="282C34"/>
          <w:sz w:val="21"/>
        </w:rPr>
        <w:t>:</w:t>
      </w:r>
    </w:p>
    <w:p>
      <w:pPr>
        <w:pStyle w:val="ListBullet"/>
        <w:spacing w:after="40"/>
        <w:ind w:left="720"/>
      </w:pPr>
      <w:r>
        <w:rPr>
          <w:color w:val="282C34"/>
          <w:sz w:val="21"/>
        </w:rPr>
        <w:t>The subthreshold swing S degraded far beyond the theoretical thermal limit (60 mV/decade at 300 K):</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S = ln(10) * [ (k_B * T) / q ] * [ 1 + (C_dep / C_ox) ]</w:t>
            </w:r>
          </w:p>
        </w:tc>
      </w:tr>
    </w:tbl>
    <w:p/>
    <w:p>
      <w:pPr>
        <w:spacing w:after="80"/>
      </w:pPr>
      <w:r>
        <w:rPr>
          <w:color w:val="282C34"/>
          <w:sz w:val="21"/>
        </w:rPr>
        <w:t>Where:</w:t>
      </w:r>
    </w:p>
    <w:p>
      <w:pPr>
        <w:pStyle w:val="ListBullet"/>
        <w:spacing w:after="40"/>
        <w:ind w:left="360"/>
      </w:pPr>
      <w:r>
        <w:rPr>
          <w:color w:val="282C34"/>
          <w:sz w:val="21"/>
        </w:rPr>
        <w:t>S: Subthreshold swing metric (mV/decade)</w:t>
      </w:r>
    </w:p>
    <w:p>
      <w:pPr>
        <w:pStyle w:val="ListBullet"/>
        <w:spacing w:after="40"/>
        <w:ind w:left="360"/>
      </w:pPr>
      <w:r>
        <w:rPr>
          <w:color w:val="282C34"/>
          <w:sz w:val="21"/>
        </w:rPr>
        <w:t>k_B: Boltzmann constant (1.380649 * 10^-23 J/K)</w:t>
      </w:r>
    </w:p>
    <w:p>
      <w:pPr>
        <w:pStyle w:val="ListBullet"/>
        <w:spacing w:after="40"/>
        <w:ind w:left="360"/>
      </w:pPr>
      <w:r>
        <w:rPr>
          <w:color w:val="282C34"/>
          <w:sz w:val="21"/>
        </w:rPr>
        <w:t>T: Operating absolute temperature (K)</w:t>
      </w:r>
    </w:p>
    <w:p>
      <w:pPr>
        <w:pStyle w:val="ListBullet"/>
        <w:spacing w:after="40"/>
        <w:ind w:left="360"/>
      </w:pPr>
      <w:r>
        <w:rPr>
          <w:color w:val="282C34"/>
          <w:sz w:val="21"/>
        </w:rPr>
        <w:t>q: Elementary electron charge (1.602176634 * 10^-19 C)</w:t>
      </w:r>
    </w:p>
    <w:p>
      <w:pPr>
        <w:pStyle w:val="ListBullet"/>
        <w:spacing w:after="40"/>
        <w:ind w:left="360"/>
      </w:pPr>
      <w:r>
        <w:rPr>
          <w:color w:val="282C34"/>
          <w:sz w:val="21"/>
        </w:rPr>
        <w:t>C_dep: Silicon body depletion layer capacitance (F/cm^2)</w:t>
      </w:r>
    </w:p>
    <w:p>
      <w:pPr>
        <w:pStyle w:val="ListBullet"/>
        <w:spacing w:after="40"/>
        <w:ind w:left="360"/>
      </w:pPr>
      <w:r>
        <w:rPr>
          <w:color w:val="282C34"/>
          <w:sz w:val="21"/>
        </w:rPr>
        <w:t>C_ox: Gate oxide dielectric capacitance (F/cm^2)</w:t>
      </w:r>
    </w:p>
    <w:p>
      <w:pPr>
        <w:pStyle w:val="ListBullet"/>
        <w:spacing w:after="40"/>
        <w:ind w:left="720"/>
      </w:pPr>
      <w:r>
        <w:rPr>
          <w:color w:val="282C34"/>
          <w:sz w:val="21"/>
        </w:rPr>
        <w:t>Off-state static leakage current (I_off) surged, consuming more power when idle than when actively computing.</w:t>
      </w:r>
    </w:p>
    <w:p>
      <w:pPr>
        <w:pStyle w:val="ListNumber"/>
        <w:spacing w:after="40"/>
        <w:ind w:left="360"/>
      </w:pPr>
      <w:r>
        <w:rPr>
          <w:b/>
          <w:color w:val="282C34"/>
          <w:sz w:val="21"/>
        </w:rPr>
        <w:t>Quantum Mechanical Oxide Tunneling</w:t>
      </w:r>
      <w:r>
        <w:rPr>
          <w:color w:val="282C34"/>
          <w:sz w:val="21"/>
        </w:rPr>
        <w:t>:</w:t>
      </w:r>
    </w:p>
    <w:p>
      <w:pPr>
        <w:pStyle w:val="ListBullet"/>
        <w:spacing w:after="40"/>
        <w:ind w:left="720"/>
      </w:pPr>
      <w:r>
        <w:rPr>
          <w:color w:val="282C34"/>
          <w:sz w:val="21"/>
        </w:rPr>
        <w:t>Physical SiO_2 thickness reached atomic layers (t_ox &lt; 1.2 nm, only 4-5 silicon atoms thick!), allowing electrons to tunnel directly through the gate insulator.</w:t>
      </w:r>
    </w:p>
    <w:p>
      <w:pPr>
        <w:spacing w:before="80" w:after="80"/>
        <w:pBdr>
          <w:bottom w:val="single" w:sz="6" w:space="1" w:color="E2E8F0"/>
        </w:pBdr>
      </w:pPr>
    </w:p>
    <w:p>
      <w:pPr>
        <w:spacing w:before="240" w:after="120"/>
      </w:pPr>
      <w:r>
        <w:rPr>
          <w:b/>
          <w:color w:val="184C78"/>
          <w:sz w:val="28"/>
        </w:rPr>
        <w:t>2. FinFET Architecture (Tri-Gate Transistors: 22nm to 3nm)</w:t>
      </w:r>
    </w:p>
    <w:p>
      <w:pPr>
        <w:spacing w:after="80"/>
      </w:pPr>
      <w:r>
        <w:rPr>
          <w:color w:val="282C34"/>
          <w:sz w:val="21"/>
        </w:rPr>
        <w:t xml:space="preserve">Pioneered in commercial production by Intel at the 22 nm Ivy Bridge node (and later refined by TSMC and Samsung down to 3 nm), the </w:t>
      </w:r>
      <w:r>
        <w:rPr>
          <w:b/>
          <w:color w:val="282C34"/>
          <w:sz w:val="21"/>
        </w:rPr>
        <w:t>FinFET</w:t>
      </w:r>
      <w:r>
        <w:rPr>
          <w:color w:val="282C34"/>
          <w:sz w:val="21"/>
        </w:rPr>
        <w:t xml:space="preserve"> wraps the gate around three sides of a vertical silicon "fin":</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Gate Electrode (Wraps 3 sides!)</w:t>
              <w:br/>
              <w:t xml:space="preserve">                      ┌───────────────────────────────┐</w:t>
              <w:br/>
              <w:t xml:space="preserve">                      │             GATE              │</w:t>
              <w:br/>
              <w:t xml:space="preserve">                      │   ┌───────────────────────┐   │</w:t>
              <w:br/>
              <w:t xml:space="preserve">                      │   │       Gate Oxide      │   │</w:t>
              <w:br/>
              <w:t xml:space="preserve">                      │   │   ┌───────────────┐   │   │</w:t>
              <w:br/>
              <w:t xml:space="preserve">                      │   │   │  Vertical     │   │   │</w:t>
              <w:br/>
              <w:t xml:space="preserve">                      │ G │ G │  Silicon Fin  │ G │ G │</w:t>
              <w:br/>
              <w:t xml:space="preserve">                      │ A │ A │   (Channel)   │ A │ A │</w:t>
              <w:br/>
              <w:t xml:space="preserve">                      │ T │ T │               │ T │ T │</w:t>
              <w:br/>
              <w:t xml:space="preserve">                      │ E │ E │   W_fin ~ 6nm │ E │ E │</w:t>
              <w:br/>
              <w:t xml:space="preserve">                      └───┴───┴───────┬───────┴───┴───┘</w:t>
              <w:br/>
              <w:t xml:space="preserve">                                      │</w:t>
              <w:br/>
              <w:t xml:space="preserve">                             Dielectric / Substrate</w:t>
            </w:r>
          </w:p>
        </w:tc>
      </w:tr>
    </w:tbl>
    <w:p/>
    <w:p>
      <w:pPr>
        <w:spacing w:before="160" w:after="80"/>
      </w:pPr>
      <w:r>
        <w:rPr>
          <w:b/>
          <w:color w:val="4682B4"/>
          <w:sz w:val="24"/>
        </w:rPr>
        <w:t>FinFET Electrostatic Mechanics:</w:t>
      </w:r>
    </w:p>
    <w:p>
      <w:pPr>
        <w:pStyle w:val="ListBullet"/>
        <w:spacing w:after="40"/>
        <w:ind w:left="360"/>
      </w:pPr>
      <w:r>
        <w:rPr>
          <w:b/>
          <w:color w:val="282C34"/>
          <w:sz w:val="21"/>
        </w:rPr>
        <w:t>3D Electrostatic Enclosure</w:t>
      </w:r>
      <w:r>
        <w:rPr>
          <w:color w:val="282C34"/>
          <w:sz w:val="21"/>
        </w:rPr>
        <w:t>: By squeezing the channel from the left, right, and top, the gate field penetrates the narrow fin (W_fin &lt;= L_g / 2).</w:t>
      </w:r>
    </w:p>
    <w:p>
      <w:pPr>
        <w:pStyle w:val="ListBullet"/>
        <w:spacing w:after="40"/>
        <w:ind w:left="360"/>
      </w:pPr>
      <w:r>
        <w:rPr>
          <w:b/>
          <w:color w:val="282C34"/>
          <w:sz w:val="21"/>
        </w:rPr>
        <w:t>No Sub-Surface Leakage</w:t>
      </w:r>
      <w:r>
        <w:rPr>
          <w:color w:val="282C34"/>
          <w:sz w:val="21"/>
        </w:rPr>
        <w:t>: Because the fin is depleted throughout its entire volume (</w:t>
      </w:r>
      <w:r>
        <w:rPr>
          <w:b/>
          <w:color w:val="282C34"/>
          <w:sz w:val="21"/>
        </w:rPr>
        <w:t>fully depleted body</w:t>
      </w:r>
      <w:r>
        <w:rPr>
          <w:color w:val="282C34"/>
          <w:sz w:val="21"/>
        </w:rPr>
        <w:t>), there is no neutral substrate beneath the channel for sub-surface punch-through leakage to bypass gate control.</w:t>
      </w:r>
    </w:p>
    <w:p>
      <w:pPr>
        <w:pStyle w:val="ListBullet"/>
        <w:spacing w:after="40"/>
        <w:ind w:left="360"/>
      </w:pPr>
      <w:r>
        <w:rPr>
          <w:b/>
          <w:color w:val="282C34"/>
          <w:sz w:val="21"/>
        </w:rPr>
        <w:t>Quantized Channel Width</w:t>
      </w:r>
      <w:r>
        <w:rPr>
          <w:color w:val="282C34"/>
          <w:sz w:val="21"/>
        </w:rPr>
        <w:t>: Channel width is discrete and defined by the fin height (H_fin) and fin width (W_fin):</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W_eff = 2 * H_fin + W_fin</w:t>
            </w:r>
          </w:p>
        </w:tc>
      </w:tr>
    </w:tbl>
    <w:p/>
    <w:p>
      <w:pPr>
        <w:spacing w:after="80"/>
      </w:pPr>
      <w:r>
        <w:rPr>
          <w:color w:val="282C34"/>
          <w:sz w:val="21"/>
        </w:rPr>
        <w:t>Where:</w:t>
      </w:r>
    </w:p>
    <w:p>
      <w:pPr>
        <w:pStyle w:val="ListBullet"/>
        <w:spacing w:after="40"/>
        <w:ind w:left="360"/>
      </w:pPr>
      <w:r>
        <w:rPr>
          <w:color w:val="282C34"/>
          <w:sz w:val="21"/>
        </w:rPr>
        <w:t>W_eff: Effective conductive channel width contributed by a single vertical fin (nm)</w:t>
      </w:r>
    </w:p>
    <w:p>
      <w:pPr>
        <w:pStyle w:val="ListBullet"/>
        <w:spacing w:after="40"/>
        <w:ind w:left="360"/>
      </w:pPr>
      <w:r>
        <w:rPr>
          <w:color w:val="282C34"/>
          <w:sz w:val="21"/>
        </w:rPr>
        <w:t>H_fin: Physical height of the vertical silicon fin (nm)</w:t>
      </w:r>
    </w:p>
    <w:p>
      <w:pPr>
        <w:pStyle w:val="ListBullet"/>
        <w:spacing w:after="40"/>
        <w:ind w:left="360"/>
      </w:pPr>
      <w:r>
        <w:rPr>
          <w:color w:val="282C34"/>
          <w:sz w:val="21"/>
        </w:rPr>
        <w:t>W_fin: Physical thickness / width of the fin (nm)</w:t>
      </w:r>
    </w:p>
    <w:p>
      <w:pPr>
        <w:spacing w:after="80"/>
      </w:pPr>
      <w:r>
        <w:rPr>
          <w:color w:val="282C34"/>
          <w:sz w:val="21"/>
        </w:rPr>
        <w:t>To increase current drive, designers place multiple fins in parallel on a single standard cell.</w:t>
      </w:r>
    </w:p>
    <w:p>
      <w:pPr>
        <w:spacing w:before="80" w:after="80"/>
        <w:pBdr>
          <w:bottom w:val="single" w:sz="6" w:space="1" w:color="E2E8F0"/>
        </w:pBdr>
      </w:pPr>
    </w:p>
    <w:p>
      <w:pPr>
        <w:spacing w:before="240" w:after="120"/>
      </w:pPr>
      <w:r>
        <w:rPr>
          <w:b/>
          <w:color w:val="184C78"/>
          <w:sz w:val="28"/>
        </w:rPr>
        <w:t>3. GAAFET Architecture (Gate-All-Around / Nanosheets: ≤ 3nm)</w:t>
      </w:r>
    </w:p>
    <w:p>
      <w:pPr>
        <w:spacing w:after="80"/>
      </w:pPr>
      <w:r>
        <w:rPr>
          <w:color w:val="282C34"/>
          <w:sz w:val="21"/>
        </w:rPr>
        <w:t xml:space="preserve">At sub-3 nm nodes, even the FinFET fin could not be made thin enough without introducing severe quantum confinement and mechanical collapse. The industry evolved to </w:t>
      </w:r>
      <w:r>
        <w:rPr>
          <w:b/>
          <w:color w:val="282C34"/>
          <w:sz w:val="21"/>
        </w:rPr>
        <w:t>Gate-All-Around (GAA)</w:t>
      </w:r>
      <w:r>
        <w:rPr>
          <w:color w:val="282C34"/>
          <w:sz w:val="21"/>
        </w:rPr>
        <w:t xml:space="preserve"> nanosheets (termed </w:t>
      </w:r>
      <w:r>
        <w:rPr>
          <w:b/>
          <w:color w:val="282C34"/>
          <w:sz w:val="21"/>
        </w:rPr>
        <w:t>MBCFET™</w:t>
      </w:r>
      <w:r>
        <w:rPr>
          <w:color w:val="282C34"/>
          <w:sz w:val="21"/>
        </w:rPr>
        <w:t xml:space="preserve"> by Samsung, </w:t>
      </w:r>
      <w:r>
        <w:rPr>
          <w:b/>
          <w:color w:val="282C34"/>
          <w:sz w:val="21"/>
        </w:rPr>
        <w:t>N2 Nanosheet</w:t>
      </w:r>
      <w:r>
        <w:rPr>
          <w:color w:val="282C34"/>
          <w:sz w:val="21"/>
        </w:rPr>
        <w:t xml:space="preserve"> by TSMC, and </w:t>
      </w:r>
      <w:r>
        <w:rPr>
          <w:b/>
          <w:color w:val="282C34"/>
          <w:sz w:val="21"/>
        </w:rPr>
        <w:t>RibbonFET</w:t>
      </w:r>
      <w:r>
        <w:rPr>
          <w:color w:val="282C34"/>
          <w:sz w:val="21"/>
        </w:rPr>
        <w:t xml:space="preserve"> by Intel):</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Gate-All-Around (GAA) Nanosheet Stack</w:t>
              <w:br/>
              <w:t xml:space="preserve">                      ┌──────────────────────────────────────────────┐</w:t>
              <w:br/>
              <w:t xml:space="preserve">                      │                     GATE                     │</w:t>
              <w:br/>
              <w:t xml:space="preserve">                      │   ┌──────────────────────────────────────┐   │</w:t>
              <w:br/>
              <w:t xml:space="preserve">                      │   │   Silicon Nanosheet 3 (Channel)      │   │</w:t>
              <w:br/>
              <w:t xml:space="preserve">                      │   └──────────────────────────────────────┘   │</w:t>
              <w:br/>
              <w:t xml:space="preserve">                      │                     GATE                     │</w:t>
              <w:br/>
              <w:t xml:space="preserve">                      │   ┌──────────────────────────────────────┐   │</w:t>
              <w:br/>
              <w:t xml:space="preserve">                      │   │   Silicon Nanosheet 2 (Channel)      │   │</w:t>
              <w:br/>
              <w:t xml:space="preserve">                      │   └──────────────────────────────────────┘   │</w:t>
              <w:br/>
              <w:t xml:space="preserve">                      │                     GATE                     │</w:t>
              <w:br/>
              <w:t xml:space="preserve">                      │   ┌──────────────────────────────────────┐   │</w:t>
              <w:br/>
              <w:t xml:space="preserve">                      │   │   Silicon Nanosheet 1 (Channel)      │   │</w:t>
              <w:br/>
              <w:t xml:space="preserve">                      │   └──────────────────────────────────────┘   │</w:t>
              <w:br/>
              <w:t xml:space="preserve">                      │                     GATE                     │</w:t>
              <w:br/>
              <w:t xml:space="preserve">                      └──────────────────────────────────────────────┘</w:t>
              <w:br/>
              <w:t xml:space="preserve">                         Full 360-Degree Surrounding Gate Control!</w:t>
            </w:r>
          </w:p>
        </w:tc>
      </w:tr>
    </w:tbl>
    <w:p/>
    <w:p>
      <w:pPr>
        <w:spacing w:before="160" w:after="80"/>
      </w:pPr>
      <w:r>
        <w:rPr>
          <w:b/>
          <w:color w:val="4682B4"/>
          <w:sz w:val="24"/>
        </w:rPr>
        <w:t>Technological Advantages of GAA Nanosheets:</w:t>
      </w:r>
    </w:p>
    <w:p>
      <w:pPr>
        <w:pStyle w:val="ListNumber"/>
        <w:spacing w:after="40"/>
        <w:ind w:left="360"/>
      </w:pPr>
      <w:r>
        <w:rPr>
          <w:b/>
          <w:color w:val="282C34"/>
          <w:sz w:val="21"/>
        </w:rPr>
        <w:t>True 360° Surrounding Gate</w:t>
      </w:r>
      <w:r>
        <w:rPr>
          <w:color w:val="282C34"/>
          <w:sz w:val="21"/>
        </w:rPr>
        <w:t>: The metal gate and High-kappa dielectric completely encircle every individual silicon sheet, providing the absolute theoretical maximum electrostatic confinement.</w:t>
      </w:r>
    </w:p>
    <w:p>
      <w:pPr>
        <w:pStyle w:val="ListNumber"/>
        <w:spacing w:after="40"/>
        <w:ind w:left="360"/>
      </w:pPr>
      <w:r>
        <w:rPr>
          <w:b/>
          <w:color w:val="282C34"/>
          <w:sz w:val="21"/>
        </w:rPr>
        <w:t>Variable Width Scaling</w:t>
      </w:r>
      <w:r>
        <w:rPr>
          <w:color w:val="282C34"/>
          <w:sz w:val="21"/>
        </w:rPr>
        <w:t>: Unlike FinFETs where width is strictly quantized by integer fins, GAA nanosheet width (W_sheet) can be customized continuously via lithography masks to optimize each cell for either extreme high speed or ultra-low power consumption.</w:t>
      </w:r>
    </w:p>
    <w:p>
      <w:pPr>
        <w:pStyle w:val="ListNumber"/>
        <w:spacing w:after="40"/>
        <w:ind w:left="360"/>
      </w:pPr>
      <w:r>
        <w:rPr>
          <w:b/>
          <w:color w:val="282C34"/>
          <w:sz w:val="21"/>
        </w:rPr>
        <w:t>Subthreshold Swing Recovery</w:t>
      </w:r>
      <w:r>
        <w:rPr>
          <w:color w:val="282C34"/>
          <w:sz w:val="21"/>
        </w:rPr>
        <w:t>: Achieves subthreshold swing S &lt;= 65 mV/decade, approaching near-ideal switching sharpness.</w:t>
      </w:r>
    </w:p>
    <w:p>
      <w:pPr>
        <w:spacing w:before="80" w:after="80"/>
        <w:pBdr>
          <w:bottom w:val="single" w:sz="6" w:space="1" w:color="E2E8F0"/>
        </w:pBdr>
      </w:pPr>
    </w:p>
    <w:p>
      <w:pPr>
        <w:spacing w:before="240" w:after="120"/>
      </w:pPr>
      <w:r>
        <w:rPr>
          <w:b/>
          <w:color w:val="184C78"/>
          <w:sz w:val="28"/>
        </w:rPr>
        <w:t>4. Architectural Comparison Benchmark</w:t>
      </w:r>
    </w:p>
    <w:tbl>
      <w:tblPr>
        <w:tblW w:type="auto" w:w="0"/>
        <w:jc w:val="center"/>
        <w:tblLook w:firstColumn="1" w:firstRow="1" w:lastColumn="0" w:lastRow="0" w:noHBand="0" w:noVBand="1" w:val="04A0"/>
        <w:tblBorders>
          <w:top w:val="single" w:sz="4" w:space="0" w:color="D0D7DE"/>
          <w:left w:val="none"/>
          <w:bottom w:val="single" w:sz="8" w:space="0" w:color="D0D7DE"/>
          <w:right w:val="none"/>
          <w:insideH w:val="single" w:sz="4" w:space="0" w:color="D0D7DE"/>
          <w:insideV w:val="none"/>
        </w:tblBorders>
      </w:tblPr>
      <w:tblGrid>
        <w:gridCol w:w="1958"/>
        <w:gridCol w:w="1958"/>
        <w:gridCol w:w="1958"/>
        <w:gridCol w:w="1958"/>
        <w:gridCol w:w="1958"/>
      </w:tblGrid>
      <w:tr>
        <w:tc>
          <w:tcPr>
            <w:tcW w:type="dxa" w:w="1958"/>
            <w:shd w:fill="204A6E"/>
            <w:tcMar>
              <w:top w:w="100" w:type="dxa"/>
              <w:bottom w:w="100" w:type="dxa"/>
              <w:left w:w="120" w:type="dxa"/>
              <w:right w:w="120" w:type="dxa"/>
            </w:tcMar>
            <w:vAlign w:val="center"/>
          </w:tcPr>
          <w:p>
            <w:pPr>
              <w:spacing w:after="0"/>
            </w:pPr>
            <w:r>
              <w:rPr>
                <w:b/>
                <w:color w:val="FFFFFF"/>
                <w:sz w:val="19"/>
              </w:rPr>
              <w:t>Parameter / Feature</w:t>
            </w:r>
          </w:p>
        </w:tc>
        <w:tc>
          <w:tcPr>
            <w:tcW w:type="dxa" w:w="1958"/>
            <w:shd w:fill="204A6E"/>
            <w:tcMar>
              <w:top w:w="100" w:type="dxa"/>
              <w:bottom w:w="100" w:type="dxa"/>
              <w:left w:w="120" w:type="dxa"/>
              <w:right w:w="120" w:type="dxa"/>
            </w:tcMar>
            <w:vAlign w:val="center"/>
          </w:tcPr>
          <w:p>
            <w:pPr>
              <w:spacing w:after="0"/>
            </w:pPr>
            <w:r>
              <w:rPr>
                <w:b/>
                <w:color w:val="FFFFFF"/>
                <w:sz w:val="19"/>
              </w:rPr>
              <w:t>2D Planar MOSFET</w:t>
            </w:r>
          </w:p>
        </w:tc>
        <w:tc>
          <w:tcPr>
            <w:tcW w:type="dxa" w:w="1958"/>
            <w:shd w:fill="204A6E"/>
            <w:tcMar>
              <w:top w:w="100" w:type="dxa"/>
              <w:bottom w:w="100" w:type="dxa"/>
              <w:left w:w="120" w:type="dxa"/>
              <w:right w:w="120" w:type="dxa"/>
            </w:tcMar>
            <w:vAlign w:val="center"/>
          </w:tcPr>
          <w:p>
            <w:pPr>
              <w:spacing w:after="0"/>
            </w:pPr>
            <w:r>
              <w:rPr>
                <w:b/>
                <w:color w:val="FFFFFF"/>
                <w:sz w:val="19"/>
              </w:rPr>
              <w:t>3D FinFET</w:t>
            </w:r>
          </w:p>
        </w:tc>
        <w:tc>
          <w:tcPr>
            <w:tcW w:type="dxa" w:w="1958"/>
            <w:shd w:fill="204A6E"/>
            <w:tcMar>
              <w:top w:w="100" w:type="dxa"/>
              <w:bottom w:w="100" w:type="dxa"/>
              <w:left w:w="120" w:type="dxa"/>
              <w:right w:w="120" w:type="dxa"/>
            </w:tcMar>
            <w:vAlign w:val="center"/>
          </w:tcPr>
          <w:p>
            <w:pPr>
              <w:spacing w:after="0"/>
            </w:pPr>
            <w:r>
              <w:rPr>
                <w:b/>
                <w:color w:val="FFFFFF"/>
                <w:sz w:val="19"/>
              </w:rPr>
              <w:t>GAAFET (Nanosheet)</w:t>
            </w:r>
          </w:p>
        </w:tc>
        <w:tc>
          <w:tcPr>
            <w:tcW w:type="dxa" w:w="1958"/>
            <w:shd w:fill="204A6E"/>
            <w:tcMar>
              <w:top w:w="100" w:type="dxa"/>
              <w:bottom w:w="100" w:type="dxa"/>
              <w:left w:w="120" w:type="dxa"/>
              <w:right w:w="120" w:type="dxa"/>
            </w:tcMar>
            <w:vAlign w:val="center"/>
          </w:tcPr>
          <w:p>
            <w:pPr>
              <w:spacing w:after="0"/>
            </w:pPr>
            <w:r>
              <w:rPr>
                <w:b/>
                <w:color w:val="FFFFFF"/>
                <w:sz w:val="19"/>
              </w:rPr>
              <w:t>FD-SOI</w:t>
            </w:r>
          </w:p>
        </w:tc>
      </w:tr>
      <w:tr>
        <w:tc>
          <w:tcPr>
            <w:tcW w:type="dxa" w:w="1958"/>
            <w:tcMar>
              <w:top w:w="80" w:type="dxa"/>
              <w:bottom w:w="80" w:type="dxa"/>
              <w:left w:w="120" w:type="dxa"/>
              <w:right w:w="120" w:type="dxa"/>
            </w:tcMar>
            <w:vAlign w:val="center"/>
          </w:tcPr>
          <w:p>
            <w:pPr>
              <w:spacing w:after="0"/>
            </w:pPr>
            <w:r>
              <w:rPr>
                <w:b/>
                <w:color w:val="282C34"/>
                <w:sz w:val="18"/>
              </w:rPr>
              <w:t>Applicable Nodes</w:t>
            </w:r>
          </w:p>
        </w:tc>
        <w:tc>
          <w:tcPr>
            <w:tcW w:type="dxa" w:w="1958"/>
            <w:tcMar>
              <w:top w:w="80" w:type="dxa"/>
              <w:bottom w:w="80" w:type="dxa"/>
              <w:left w:w="120" w:type="dxa"/>
              <w:right w:w="120" w:type="dxa"/>
            </w:tcMar>
            <w:vAlign w:val="center"/>
          </w:tcPr>
          <w:p>
            <w:pPr>
              <w:spacing w:after="0"/>
            </w:pPr>
            <w:r>
              <w:rPr>
                <w:color w:val="282C34"/>
                <w:sz w:val="18"/>
              </w:rPr>
              <w:t>&gt; 28 nm</w:t>
            </w:r>
          </w:p>
        </w:tc>
        <w:tc>
          <w:tcPr>
            <w:tcW w:type="dxa" w:w="1958"/>
            <w:tcMar>
              <w:top w:w="80" w:type="dxa"/>
              <w:bottom w:w="80" w:type="dxa"/>
              <w:left w:w="120" w:type="dxa"/>
              <w:right w:w="120" w:type="dxa"/>
            </w:tcMar>
            <w:vAlign w:val="center"/>
          </w:tcPr>
          <w:p>
            <w:pPr>
              <w:spacing w:after="0"/>
            </w:pPr>
            <w:r>
              <w:rPr>
                <w:color w:val="282C34"/>
                <w:sz w:val="18"/>
              </w:rPr>
              <w:t>22 nm ... 3 nm</w:t>
            </w:r>
          </w:p>
        </w:tc>
        <w:tc>
          <w:tcPr>
            <w:tcW w:type="dxa" w:w="1958"/>
            <w:tcMar>
              <w:top w:w="80" w:type="dxa"/>
              <w:bottom w:w="80" w:type="dxa"/>
              <w:left w:w="120" w:type="dxa"/>
              <w:right w:w="120" w:type="dxa"/>
            </w:tcMar>
            <w:vAlign w:val="center"/>
          </w:tcPr>
          <w:p>
            <w:pPr>
              <w:spacing w:after="0"/>
            </w:pPr>
            <w:r>
              <w:rPr>
                <w:b/>
                <w:color w:val="282C34"/>
                <w:sz w:val="18"/>
              </w:rPr>
              <w:t>&lt;= 3 nm, 2 nm, 1.4 nm</w:t>
            </w:r>
          </w:p>
        </w:tc>
        <w:tc>
          <w:tcPr>
            <w:tcW w:type="dxa" w:w="1958"/>
            <w:tcMar>
              <w:top w:w="80" w:type="dxa"/>
              <w:bottom w:w="80" w:type="dxa"/>
              <w:left w:w="120" w:type="dxa"/>
              <w:right w:w="120" w:type="dxa"/>
            </w:tcMar>
            <w:vAlign w:val="center"/>
          </w:tcPr>
          <w:p>
            <w:pPr>
              <w:spacing w:after="0"/>
            </w:pPr>
            <w:r>
              <w:rPr>
                <w:color w:val="282C34"/>
                <w:sz w:val="18"/>
              </w:rPr>
              <w:t>65 nm ... 12 nm</w:t>
            </w:r>
          </w:p>
        </w:tc>
      </w:tr>
      <w:tr>
        <w:tc>
          <w:tcPr>
            <w:tcW w:type="dxa" w:w="1958"/>
            <w:shd w:fill="F4F7F9"/>
            <w:tcMar>
              <w:top w:w="80" w:type="dxa"/>
              <w:bottom w:w="80" w:type="dxa"/>
              <w:left w:w="120" w:type="dxa"/>
              <w:right w:w="120" w:type="dxa"/>
            </w:tcMar>
            <w:vAlign w:val="center"/>
          </w:tcPr>
          <w:p>
            <w:pPr>
              <w:spacing w:after="0"/>
            </w:pPr>
            <w:r>
              <w:rPr>
                <w:b/>
                <w:color w:val="282C34"/>
                <w:sz w:val="18"/>
              </w:rPr>
              <w:t>Gate Electrostatic Control</w:t>
            </w:r>
          </w:p>
        </w:tc>
        <w:tc>
          <w:tcPr>
            <w:tcW w:type="dxa" w:w="1958"/>
            <w:shd w:fill="F4F7F9"/>
            <w:tcMar>
              <w:top w:w="80" w:type="dxa"/>
              <w:bottom w:w="80" w:type="dxa"/>
              <w:left w:w="120" w:type="dxa"/>
              <w:right w:w="120" w:type="dxa"/>
            </w:tcMar>
            <w:vAlign w:val="center"/>
          </w:tcPr>
          <w:p>
            <w:pPr>
              <w:spacing w:after="0"/>
            </w:pPr>
            <w:r>
              <w:rPr>
                <w:color w:val="282C34"/>
                <w:sz w:val="18"/>
              </w:rPr>
              <w:t>1 Side (Top surface)</w:t>
            </w:r>
          </w:p>
        </w:tc>
        <w:tc>
          <w:tcPr>
            <w:tcW w:type="dxa" w:w="1958"/>
            <w:shd w:fill="F4F7F9"/>
            <w:tcMar>
              <w:top w:w="80" w:type="dxa"/>
              <w:bottom w:w="80" w:type="dxa"/>
              <w:left w:w="120" w:type="dxa"/>
              <w:right w:w="120" w:type="dxa"/>
            </w:tcMar>
            <w:vAlign w:val="center"/>
          </w:tcPr>
          <w:p>
            <w:pPr>
              <w:spacing w:after="0"/>
            </w:pPr>
            <w:r>
              <w:rPr>
                <w:color w:val="282C34"/>
                <w:sz w:val="18"/>
              </w:rPr>
              <w:t>3 Sides (Tri-Gate)</w:t>
            </w:r>
          </w:p>
        </w:tc>
        <w:tc>
          <w:tcPr>
            <w:tcW w:type="dxa" w:w="1958"/>
            <w:shd w:fill="F4F7F9"/>
            <w:tcMar>
              <w:top w:w="80" w:type="dxa"/>
              <w:bottom w:w="80" w:type="dxa"/>
              <w:left w:w="120" w:type="dxa"/>
              <w:right w:w="120" w:type="dxa"/>
            </w:tcMar>
            <w:vAlign w:val="center"/>
          </w:tcPr>
          <w:p>
            <w:pPr>
              <w:spacing w:after="0"/>
            </w:pPr>
            <w:r>
              <w:rPr>
                <w:b/>
                <w:color w:val="282C34"/>
                <w:sz w:val="18"/>
              </w:rPr>
              <w:t>4 Sides (360° Surround)</w:t>
            </w:r>
          </w:p>
        </w:tc>
        <w:tc>
          <w:tcPr>
            <w:tcW w:type="dxa" w:w="1958"/>
            <w:shd w:fill="F4F7F9"/>
            <w:tcMar>
              <w:top w:w="80" w:type="dxa"/>
              <w:bottom w:w="80" w:type="dxa"/>
              <w:left w:w="120" w:type="dxa"/>
              <w:right w:w="120" w:type="dxa"/>
            </w:tcMar>
            <w:vAlign w:val="center"/>
          </w:tcPr>
          <w:p>
            <w:pPr>
              <w:spacing w:after="0"/>
            </w:pPr>
            <w:r>
              <w:rPr>
                <w:color w:val="282C34"/>
                <w:sz w:val="18"/>
              </w:rPr>
              <w:t>1 Side (Top + Back-bias)</w:t>
            </w:r>
          </w:p>
        </w:tc>
      </w:tr>
      <w:tr>
        <w:tc>
          <w:tcPr>
            <w:tcW w:type="dxa" w:w="1958"/>
            <w:tcMar>
              <w:top w:w="80" w:type="dxa"/>
              <w:bottom w:w="80" w:type="dxa"/>
              <w:left w:w="120" w:type="dxa"/>
              <w:right w:w="120" w:type="dxa"/>
            </w:tcMar>
            <w:vAlign w:val="center"/>
          </w:tcPr>
          <w:p>
            <w:pPr>
              <w:spacing w:after="0"/>
            </w:pPr>
            <w:r>
              <w:rPr>
                <w:b/>
                <w:color w:val="282C34"/>
                <w:sz w:val="18"/>
              </w:rPr>
              <w:t>Channel Doping</w:t>
            </w:r>
          </w:p>
        </w:tc>
        <w:tc>
          <w:tcPr>
            <w:tcW w:type="dxa" w:w="1958"/>
            <w:tcMar>
              <w:top w:w="80" w:type="dxa"/>
              <w:bottom w:w="80" w:type="dxa"/>
              <w:left w:w="120" w:type="dxa"/>
              <w:right w:w="120" w:type="dxa"/>
            </w:tcMar>
            <w:vAlign w:val="center"/>
          </w:tcPr>
          <w:p>
            <w:pPr>
              <w:spacing w:after="0"/>
            </w:pPr>
            <w:r>
              <w:rPr>
                <w:color w:val="282C34"/>
                <w:sz w:val="18"/>
              </w:rPr>
              <w:t>Heavily Doped (High RDF noise)</w:t>
            </w:r>
          </w:p>
        </w:tc>
        <w:tc>
          <w:tcPr>
            <w:tcW w:type="dxa" w:w="1958"/>
            <w:tcMar>
              <w:top w:w="80" w:type="dxa"/>
              <w:bottom w:w="80" w:type="dxa"/>
              <w:left w:w="120" w:type="dxa"/>
              <w:right w:w="120" w:type="dxa"/>
            </w:tcMar>
            <w:vAlign w:val="center"/>
          </w:tcPr>
          <w:p>
            <w:pPr>
              <w:spacing w:after="0"/>
            </w:pPr>
            <w:r>
              <w:rPr>
                <w:color w:val="282C34"/>
                <w:sz w:val="18"/>
              </w:rPr>
              <w:t>Undoped / Lightly Doped</w:t>
            </w:r>
          </w:p>
        </w:tc>
        <w:tc>
          <w:tcPr>
            <w:tcW w:type="dxa" w:w="1958"/>
            <w:tcMar>
              <w:top w:w="80" w:type="dxa"/>
              <w:bottom w:w="80" w:type="dxa"/>
              <w:left w:w="120" w:type="dxa"/>
              <w:right w:w="120" w:type="dxa"/>
            </w:tcMar>
            <w:vAlign w:val="center"/>
          </w:tcPr>
          <w:p>
            <w:pPr>
              <w:spacing w:after="0"/>
            </w:pPr>
            <w:r>
              <w:rPr>
                <w:b/>
                <w:color w:val="282C34"/>
                <w:sz w:val="18"/>
              </w:rPr>
              <w:t>Undoped (High Mobility)</w:t>
            </w:r>
          </w:p>
        </w:tc>
        <w:tc>
          <w:tcPr>
            <w:tcW w:type="dxa" w:w="1958"/>
            <w:tcMar>
              <w:top w:w="80" w:type="dxa"/>
              <w:bottom w:w="80" w:type="dxa"/>
              <w:left w:w="120" w:type="dxa"/>
              <w:right w:w="120" w:type="dxa"/>
            </w:tcMar>
            <w:vAlign w:val="center"/>
          </w:tcPr>
          <w:p>
            <w:pPr>
              <w:spacing w:after="0"/>
            </w:pPr>
            <w:r>
              <w:rPr>
                <w:color w:val="282C34"/>
                <w:sz w:val="18"/>
              </w:rPr>
              <w:t>Undoped Pure Silicon</w:t>
            </w:r>
          </w:p>
        </w:tc>
      </w:tr>
      <w:tr>
        <w:tc>
          <w:tcPr>
            <w:tcW w:type="dxa" w:w="1958"/>
            <w:shd w:fill="F4F7F9"/>
            <w:tcMar>
              <w:top w:w="80" w:type="dxa"/>
              <w:bottom w:w="80" w:type="dxa"/>
              <w:left w:w="120" w:type="dxa"/>
              <w:right w:w="120" w:type="dxa"/>
            </w:tcMar>
            <w:vAlign w:val="center"/>
          </w:tcPr>
          <w:p>
            <w:pPr>
              <w:spacing w:after="0"/>
            </w:pPr>
            <w:r>
              <w:rPr>
                <w:b/>
                <w:color w:val="282C34"/>
                <w:sz w:val="18"/>
              </w:rPr>
              <w:t>DIBL Metric</w:t>
            </w:r>
          </w:p>
        </w:tc>
        <w:tc>
          <w:tcPr>
            <w:tcW w:type="dxa" w:w="1958"/>
            <w:shd w:fill="F4F7F9"/>
            <w:tcMar>
              <w:top w:w="80" w:type="dxa"/>
              <w:bottom w:w="80" w:type="dxa"/>
              <w:left w:w="120" w:type="dxa"/>
              <w:right w:w="120" w:type="dxa"/>
            </w:tcMar>
            <w:vAlign w:val="center"/>
          </w:tcPr>
          <w:p>
            <w:pPr>
              <w:spacing w:after="0"/>
            </w:pPr>
            <w:r>
              <w:rPr>
                <w:color w:val="282C34"/>
                <w:sz w:val="18"/>
              </w:rPr>
              <w:t>Poor (&gt; 100 mV/V)</w:t>
            </w:r>
          </w:p>
        </w:tc>
        <w:tc>
          <w:tcPr>
            <w:tcW w:type="dxa" w:w="1958"/>
            <w:shd w:fill="F4F7F9"/>
            <w:tcMar>
              <w:top w:w="80" w:type="dxa"/>
              <w:bottom w:w="80" w:type="dxa"/>
              <w:left w:w="120" w:type="dxa"/>
              <w:right w:w="120" w:type="dxa"/>
            </w:tcMar>
            <w:vAlign w:val="center"/>
          </w:tcPr>
          <w:p>
            <w:pPr>
              <w:spacing w:after="0"/>
            </w:pPr>
            <w:r>
              <w:rPr>
                <w:color w:val="282C34"/>
                <w:sz w:val="18"/>
              </w:rPr>
              <w:t>Excellent (&lt; 35 mV/V)</w:t>
            </w:r>
          </w:p>
        </w:tc>
        <w:tc>
          <w:tcPr>
            <w:tcW w:type="dxa" w:w="1958"/>
            <w:shd w:fill="F4F7F9"/>
            <w:tcMar>
              <w:top w:w="80" w:type="dxa"/>
              <w:bottom w:w="80" w:type="dxa"/>
              <w:left w:w="120" w:type="dxa"/>
              <w:right w:w="120" w:type="dxa"/>
            </w:tcMar>
            <w:vAlign w:val="center"/>
          </w:tcPr>
          <w:p>
            <w:pPr>
              <w:spacing w:after="0"/>
            </w:pPr>
            <w:r>
              <w:rPr>
                <w:b/>
                <w:color w:val="282C34"/>
                <w:sz w:val="18"/>
              </w:rPr>
              <w:t>Outstanding (&lt; 25 mV/V)</w:t>
            </w:r>
          </w:p>
        </w:tc>
        <w:tc>
          <w:tcPr>
            <w:tcW w:type="dxa" w:w="1958"/>
            <w:shd w:fill="F4F7F9"/>
            <w:tcMar>
              <w:top w:w="80" w:type="dxa"/>
              <w:bottom w:w="80" w:type="dxa"/>
              <w:left w:w="120" w:type="dxa"/>
              <w:right w:w="120" w:type="dxa"/>
            </w:tcMar>
            <w:vAlign w:val="center"/>
          </w:tcPr>
          <w:p>
            <w:pPr>
              <w:spacing w:after="0"/>
            </w:pPr>
            <w:r>
              <w:rPr>
                <w:color w:val="282C34"/>
                <w:sz w:val="18"/>
              </w:rPr>
              <w:t>Excellent (&lt; 40 mV/V)</w:t>
            </w:r>
          </w:p>
        </w:tc>
      </w:tr>
      <w:tr>
        <w:tc>
          <w:tcPr>
            <w:tcW w:type="dxa" w:w="1958"/>
            <w:tcMar>
              <w:top w:w="80" w:type="dxa"/>
              <w:bottom w:w="80" w:type="dxa"/>
              <w:left w:w="120" w:type="dxa"/>
              <w:right w:w="120" w:type="dxa"/>
            </w:tcMar>
            <w:vAlign w:val="center"/>
          </w:tcPr>
          <w:p>
            <w:pPr>
              <w:spacing w:after="0"/>
            </w:pPr>
            <w:r>
              <w:rPr>
                <w:b/>
                <w:color w:val="282C34"/>
                <w:sz w:val="18"/>
              </w:rPr>
              <w:t>Drive Current per Footprint</w:t>
            </w:r>
          </w:p>
        </w:tc>
        <w:tc>
          <w:tcPr>
            <w:tcW w:type="dxa" w:w="1958"/>
            <w:tcMar>
              <w:top w:w="80" w:type="dxa"/>
              <w:bottom w:w="80" w:type="dxa"/>
              <w:left w:w="120" w:type="dxa"/>
              <w:right w:w="120" w:type="dxa"/>
            </w:tcMar>
            <w:vAlign w:val="center"/>
          </w:tcPr>
          <w:p>
            <w:pPr>
              <w:spacing w:after="0"/>
            </w:pPr>
            <w:r>
              <w:rPr>
                <w:color w:val="282C34"/>
                <w:sz w:val="18"/>
              </w:rPr>
              <w:t>Baseline (1*)</w:t>
            </w:r>
          </w:p>
        </w:tc>
        <w:tc>
          <w:tcPr>
            <w:tcW w:type="dxa" w:w="1958"/>
            <w:tcMar>
              <w:top w:w="80" w:type="dxa"/>
              <w:bottom w:w="80" w:type="dxa"/>
              <w:left w:w="120" w:type="dxa"/>
              <w:right w:w="120" w:type="dxa"/>
            </w:tcMar>
            <w:vAlign w:val="center"/>
          </w:tcPr>
          <w:p>
            <w:pPr>
              <w:spacing w:after="0"/>
            </w:pPr>
            <w:r>
              <w:rPr>
                <w:color w:val="282C34"/>
                <w:sz w:val="18"/>
              </w:rPr>
              <w:t>High (2.5*)</w:t>
            </w:r>
          </w:p>
        </w:tc>
        <w:tc>
          <w:tcPr>
            <w:tcW w:type="dxa" w:w="1958"/>
            <w:tcMar>
              <w:top w:w="80" w:type="dxa"/>
              <w:bottom w:w="80" w:type="dxa"/>
              <w:left w:w="120" w:type="dxa"/>
              <w:right w:w="120" w:type="dxa"/>
            </w:tcMar>
            <w:vAlign w:val="center"/>
          </w:tcPr>
          <w:p>
            <w:pPr>
              <w:spacing w:after="0"/>
            </w:pPr>
            <w:r>
              <w:rPr>
                <w:b/>
                <w:color w:val="282C34"/>
                <w:sz w:val="18"/>
              </w:rPr>
              <w:t>Extreme (3.5*)</w:t>
            </w:r>
          </w:p>
        </w:tc>
        <w:tc>
          <w:tcPr>
            <w:tcW w:type="dxa" w:w="1958"/>
            <w:tcMar>
              <w:top w:w="80" w:type="dxa"/>
              <w:bottom w:w="80" w:type="dxa"/>
              <w:left w:w="120" w:type="dxa"/>
              <w:right w:w="120" w:type="dxa"/>
            </w:tcMar>
            <w:vAlign w:val="center"/>
          </w:tcPr>
          <w:p>
            <w:pPr>
              <w:spacing w:after="0"/>
            </w:pPr>
            <w:r>
              <w:rPr>
                <w:color w:val="282C34"/>
                <w:sz w:val="18"/>
              </w:rPr>
              <w:t>Moderate (1.2*)</w:t>
            </w:r>
          </w:p>
        </w:tc>
      </w:tr>
      <w:tr>
        <w:tc>
          <w:tcPr>
            <w:tcW w:type="dxa" w:w="1958"/>
            <w:shd w:fill="F4F7F9"/>
            <w:tcMar>
              <w:top w:w="80" w:type="dxa"/>
              <w:bottom w:w="80" w:type="dxa"/>
              <w:left w:w="120" w:type="dxa"/>
              <w:right w:w="120" w:type="dxa"/>
            </w:tcMar>
            <w:vAlign w:val="center"/>
          </w:tcPr>
          <w:p>
            <w:pPr>
              <w:spacing w:after="0"/>
            </w:pPr>
            <w:r>
              <w:rPr>
                <w:b/>
                <w:color w:val="282C34"/>
                <w:sz w:val="18"/>
              </w:rPr>
              <w:t>Key Commercial Deployments</w:t>
            </w:r>
          </w:p>
        </w:tc>
        <w:tc>
          <w:tcPr>
            <w:tcW w:type="dxa" w:w="1958"/>
            <w:shd w:fill="F4F7F9"/>
            <w:tcMar>
              <w:top w:w="80" w:type="dxa"/>
              <w:bottom w:w="80" w:type="dxa"/>
              <w:left w:w="120" w:type="dxa"/>
              <w:right w:w="120" w:type="dxa"/>
            </w:tcMar>
            <w:vAlign w:val="center"/>
          </w:tcPr>
          <w:p>
            <w:pPr>
              <w:spacing w:after="0"/>
            </w:pPr>
            <w:r>
              <w:rPr>
                <w:color w:val="282C34"/>
                <w:sz w:val="18"/>
              </w:rPr>
              <w:t>Legacy MCUs, PMICs</w:t>
            </w:r>
          </w:p>
        </w:tc>
        <w:tc>
          <w:tcPr>
            <w:tcW w:type="dxa" w:w="1958"/>
            <w:shd w:fill="F4F7F9"/>
            <w:tcMar>
              <w:top w:w="80" w:type="dxa"/>
              <w:bottom w:w="80" w:type="dxa"/>
              <w:left w:w="120" w:type="dxa"/>
              <w:right w:w="120" w:type="dxa"/>
            </w:tcMar>
            <w:vAlign w:val="center"/>
          </w:tcPr>
          <w:p>
            <w:pPr>
              <w:spacing w:after="0"/>
            </w:pPr>
            <w:r>
              <w:rPr>
                <w:color w:val="282C34"/>
                <w:sz w:val="18"/>
              </w:rPr>
              <w:t>Apple A11-A16, AMD Zen 2/3/4</w:t>
            </w:r>
          </w:p>
        </w:tc>
        <w:tc>
          <w:tcPr>
            <w:tcW w:type="dxa" w:w="1958"/>
            <w:shd w:fill="F4F7F9"/>
            <w:tcMar>
              <w:top w:w="80" w:type="dxa"/>
              <w:bottom w:w="80" w:type="dxa"/>
              <w:left w:w="120" w:type="dxa"/>
              <w:right w:w="120" w:type="dxa"/>
            </w:tcMar>
            <w:vAlign w:val="center"/>
          </w:tcPr>
          <w:p>
            <w:pPr>
              <w:spacing w:after="0"/>
            </w:pPr>
            <w:r>
              <w:rPr>
                <w:color w:val="282C34"/>
                <w:sz w:val="18"/>
              </w:rPr>
              <w:t>Apple A17 Pro (N3), Intel 20A/18A</w:t>
            </w:r>
          </w:p>
        </w:tc>
        <w:tc>
          <w:tcPr>
            <w:tcW w:type="dxa" w:w="1958"/>
            <w:shd w:fill="F4F7F9"/>
            <w:tcMar>
              <w:top w:w="80" w:type="dxa"/>
              <w:bottom w:w="80" w:type="dxa"/>
              <w:left w:w="120" w:type="dxa"/>
              <w:right w:w="120" w:type="dxa"/>
            </w:tcMar>
            <w:vAlign w:val="center"/>
          </w:tcPr>
          <w:p>
            <w:pPr>
              <w:spacing w:after="0"/>
            </w:pPr>
            <w:r>
              <w:rPr>
                <w:color w:val="282C34"/>
                <w:sz w:val="18"/>
              </w:rPr>
              <w:t>NXP i.MX7/8, Automotive Radar</w:t>
            </w:r>
          </w:p>
        </w:tc>
      </w:tr>
    </w:tbl>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E7D"/>
        <w:sz w:val="17"/>
      </w:rPr>
      <w:t>VVDN Engineering Hub  |  README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Segoe UI" w:hAnsi="Segoe UI"/>
      <w:color w:val="282C3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