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SPI Protocol: Architecture, Standards &amp; Engineering Guide</w:t>
      </w:r>
    </w:p>
    <w:p>
      <w:pPr>
        <w:spacing w:after="80"/>
      </w:pPr>
      <w:r>
        <w:rPr>
          <w:color w:val="282C34"/>
          <w:sz w:val="21"/>
        </w:rPr>
        <w:t xml:space="preserve">Welcome to the </w:t>
      </w:r>
      <w:r>
        <w:rPr>
          <w:b/>
          <w:color w:val="282C34"/>
          <w:sz w:val="21"/>
        </w:rPr>
        <w:t>VVDN Engineering Hub SPI Protocol Knowledge Base</w:t>
      </w:r>
      <w:r>
        <w:rPr>
          <w:color w:val="282C34"/>
          <w:sz w:val="21"/>
        </w:rPr>
        <w:t>. This documentation suite provides an exhaustive, industry-grade reference covering the Serial Peripheral Interface (SPI), CPOL/CPHA clock modes, shift register mechanics, multi-slave topologies (independent Chip-Select vs. Daisy-Chain), AC timing budgets, round-trip PCB propagation delays, high-speed Quad/Octal SPI (QSPI/OSPI), and bench troubleshooting for embedded board bring-up.</w:t>
      </w:r>
    </w:p>
    <w:p>
      <w:pPr>
        <w:spacing w:before="80" w:after="80"/>
        <w:pBdr>
          <w:bottom w:val="single" w:sz="6" w:space="1" w:color="E2E8F0"/>
        </w:pBdr>
      </w:pPr>
    </w:p>
    <w:p>
      <w:pPr>
        <w:spacing w:before="240" w:after="120"/>
      </w:pPr>
      <w:r>
        <w:rPr>
          <w:b/>
          <w:color w:val="184C78"/>
          <w:sz w:val="28"/>
        </w:rPr>
        <w:t>1. Executive Summary &amp; Bus Overview</w:t>
      </w:r>
    </w:p>
    <w:p>
      <w:pPr>
        <w:spacing w:after="80"/>
      </w:pPr>
      <w:r>
        <w:rPr>
          <w:b/>
          <w:color w:val="282C34"/>
          <w:sz w:val="21"/>
        </w:rPr>
        <w:t>SPI</w:t>
      </w:r>
      <w:r>
        <w:rPr>
          <w:color w:val="282C34"/>
          <w:sz w:val="21"/>
        </w:rPr>
        <w:t xml:space="preserve"> (</w:t>
      </w:r>
      <w:r>
        <w:rPr>
          <w:b/>
          <w:color w:val="282C34"/>
          <w:sz w:val="21"/>
        </w:rPr>
        <w:t>Serial Peripheral Interface</w:t>
      </w:r>
      <w:r>
        <w:rPr>
          <w:color w:val="282C34"/>
          <w:sz w:val="21"/>
        </w:rPr>
        <w:t xml:space="preserve">) is a de facto synchronous serial communication standard originally developed by Motorola in the mid-1980s. Designed for high-speed, short-distance, board-level communication between a central processor/microcontroller and peripheral integrated circuits, SPI dominates applications requiring </w:t>
      </w:r>
      <w:r>
        <w:rPr>
          <w:b/>
          <w:color w:val="282C34"/>
          <w:sz w:val="21"/>
        </w:rPr>
        <w:t>massive data throughput, predictable low latency, and zero protocol addressing overhead</w:t>
      </w:r>
      <w:r>
        <w:rPr>
          <w:color w:val="282C34"/>
          <w:sz w:val="21"/>
        </w:rPr>
        <w:t>.</w:t>
      </w:r>
    </w:p>
    <w:p>
      <w:pPr>
        <w:spacing w:after="80"/>
      </w:pPr>
      <w:r>
        <w:rPr>
          <w:color w:val="282C34"/>
          <w:sz w:val="21"/>
        </w:rPr>
        <w:t xml:space="preserve">Unlike asynchronous protocols (UART) or half-duplex addressing buses (I2C), SPI operates on a </w:t>
      </w:r>
      <w:r>
        <w:rPr>
          <w:b/>
          <w:color w:val="282C34"/>
          <w:sz w:val="21"/>
        </w:rPr>
        <w:t>synchronous, full-duplex, controller-target architecture</w:t>
      </w:r>
      <w:r>
        <w:rPr>
          <w:color w:val="282C34"/>
          <w:sz w:val="21"/>
        </w:rPr>
        <w:t>:</w:t>
      </w:r>
    </w:p>
    <w:p>
      <w:pPr>
        <w:pStyle w:val="ListBullet"/>
        <w:spacing w:after="40"/>
        <w:ind w:left="360"/>
      </w:pPr>
      <w:r>
        <w:rPr>
          <w:b/>
          <w:color w:val="282C34"/>
          <w:sz w:val="21"/>
        </w:rPr>
        <w:t>Explicit Shared Clock (SCLK)</w:t>
      </w:r>
      <w:r>
        <w:rPr>
          <w:color w:val="282C34"/>
          <w:sz w:val="21"/>
        </w:rPr>
        <w:t>: Generated exclusively by the bus controller. Clock drift and framing errors are physically eliminated.</w:t>
      </w:r>
    </w:p>
    <w:p>
      <w:pPr>
        <w:pStyle w:val="ListBullet"/>
        <w:spacing w:after="40"/>
        <w:ind w:left="360"/>
      </w:pPr>
      <w:r>
        <w:rPr>
          <w:b/>
          <w:color w:val="282C34"/>
          <w:sz w:val="21"/>
        </w:rPr>
        <w:t>Concurrent Full-Duplex Streaming</w:t>
      </w:r>
      <w:r>
        <w:rPr>
          <w:color w:val="282C34"/>
          <w:sz w:val="21"/>
        </w:rPr>
        <w:t>: Dedicated transmission (</w:t>
      </w:r>
      <w:r>
        <w:rPr>
          <w:b/>
          <w:color w:val="282C34"/>
          <w:sz w:val="21"/>
        </w:rPr>
        <w:t>MOSI / COPI</w:t>
      </w:r>
      <w:r>
        <w:rPr>
          <w:color w:val="282C34"/>
          <w:sz w:val="21"/>
        </w:rPr>
        <w:t>) and reception (</w:t>
      </w:r>
      <w:r>
        <w:rPr>
          <w:b/>
          <w:color w:val="282C34"/>
          <w:sz w:val="21"/>
        </w:rPr>
        <w:t>MISO / CIPO</w:t>
      </w:r>
      <w:r>
        <w:rPr>
          <w:color w:val="282C34"/>
          <w:sz w:val="21"/>
        </w:rPr>
        <w:t>) lines permit continuous two-way data streaming on every single clock edge.</w:t>
      </w:r>
    </w:p>
    <w:p>
      <w:pPr>
        <w:pStyle w:val="ListBullet"/>
        <w:spacing w:after="40"/>
        <w:ind w:left="360"/>
      </w:pPr>
      <w:r>
        <w:rPr>
          <w:b/>
          <w:color w:val="282C34"/>
          <w:sz w:val="21"/>
        </w:rPr>
        <w:t>Physical Hardware Addressing</w:t>
      </w:r>
      <w:r>
        <w:rPr>
          <w:color w:val="282C34"/>
          <w:sz w:val="21"/>
        </w:rPr>
        <w:t xml:space="preserve">: Target peripherals are enabled via dedicated active-LOW </w:t>
      </w:r>
      <w:r>
        <w:rPr>
          <w:b/>
          <w:color w:val="282C34"/>
          <w:sz w:val="21"/>
        </w:rPr>
        <w:t>Chip Select ($\overline{\text{CS}}$ / $\overline{\text{SS}}$)</w:t>
      </w:r>
      <w:r>
        <w:rPr>
          <w:color w:val="282C34"/>
          <w:sz w:val="21"/>
        </w:rPr>
        <w:t xml:space="preserve"> lines, eliminating in-band addressing bytes and ACK/NACK overhead.</w:t>
      </w:r>
    </w:p>
    <w:p>
      <w:pPr>
        <w:pStyle w:val="ListBullet"/>
        <w:spacing w:after="40"/>
        <w:ind w:left="360"/>
      </w:pPr>
      <w:r>
        <w:rPr>
          <w:b/>
          <w:color w:val="282C34"/>
          <w:sz w:val="21"/>
        </w:rPr>
        <w:t>Extreme Throughput</w:t>
      </w:r>
      <w:r>
        <w:rPr>
          <w:color w:val="282C34"/>
          <w:sz w:val="21"/>
        </w:rPr>
        <w:t xml:space="preserve">: Readily operates from </w:t>
      </w:r>
      <w:r>
        <w:rPr>
          <w:b/>
          <w:color w:val="282C34"/>
          <w:sz w:val="21"/>
        </w:rPr>
        <w:t>$1\,\text{MHz}$ up to $50\,\text{MHz}, 80\,\text{MHz}, \text{and } 100+\,\text{MHz}$</w:t>
      </w:r>
      <w:r>
        <w:rPr>
          <w:color w:val="282C34"/>
          <w:sz w:val="21"/>
        </w:rPr>
        <w:t>, constrained primarily by PCB trace parasitics, propagation delay, and peripheral setup times.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Controller (Master MCU)                                 Target (Peripheral Sensor / Flash)</w:t>
              <w:br/>
              <w:t xml:space="preserve">       ┌─────────────────────┐                                 ┌─────────────────────┐</w:t>
              <w:br/>
              <w:t xml:space="preserve">       │                SCLK ├────────────────────────────────►│ SCLK                │</w:t>
              <w:br/>
              <w:t xml:space="preserve">       │         MOSI / COPI ├────────────────────────────────►│ MOSI / SDI          │</w:t>
              <w:br/>
              <w:t xml:space="preserve">       │         MISO / CIPO │◄────────────────────────────────┤ MISO / SDO          │</w:t>
              <w:br/>
              <w:t xml:space="preserve">       │      CS0# / NSS_0   ├────────────────────────────────►│ CS# / SS#           │</w:t>
              <w:br/>
              <w:t xml:space="preserve">       └─────────────────────┘                                 └─────────────────────┘</w:t>
            </w:r>
          </w:p>
        </w:tc>
      </w:tr>
    </w:tbl>
    <w:p/>
    <w:p>
      <w:pPr>
        <w:spacing w:before="80" w:after="80"/>
        <w:pBdr>
          <w:bottom w:val="single" w:sz="6" w:space="1" w:color="E2E8F0"/>
        </w:pBdr>
      </w:pPr>
    </w:p>
    <w:p>
      <w:pPr>
        <w:spacing w:before="240" w:after="120"/>
      </w:pPr>
      <w:r>
        <w:rPr>
          <w:b/>
          <w:color w:val="184C78"/>
          <w:sz w:val="28"/>
        </w:rPr>
        <w:t>2. The Four Standard SPI Modes (CPOL &amp; CPHA)</w:t>
      </w:r>
    </w:p>
    <w:p>
      <w:pPr>
        <w:spacing w:after="80"/>
      </w:pPr>
      <w:r>
        <w:rPr>
          <w:color w:val="282C34"/>
          <w:sz w:val="21"/>
        </w:rPr>
        <w:t xml:space="preserve">SPI transmission timing is governed by two electrical configuration bits: </w:t>
      </w:r>
      <w:r>
        <w:rPr>
          <w:b/>
          <w:color w:val="282C34"/>
          <w:sz w:val="21"/>
        </w:rPr>
        <w:t>Clock Polarity (CPOL)</w:t>
      </w:r>
      <w:r>
        <w:rPr>
          <w:color w:val="282C34"/>
          <w:sz w:val="21"/>
        </w:rPr>
        <w:t xml:space="preserve"> and </w:t>
      </w:r>
      <w:r>
        <w:rPr>
          <w:b/>
          <w:color w:val="282C34"/>
          <w:sz w:val="21"/>
        </w:rPr>
        <w:t>Clock Phase (CPHA)</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SPI Mode Summary Table</w:t>
              <w:br/>
              <w:t xml:space="preserve">   ┌──────┬──────┬──────┬────────────────────────┬─────────────────────┬───────────────────────────┐</w:t>
              <w:br/>
              <w:t xml:space="preserve">   │ Mode │ CPOL │ CPHA │ SCLK Idle State        │ Data Shift Edge     │ Data Capture (Sample) Edge│</w:t>
              <w:br/>
              <w:t xml:space="preserve">   ├──────┬──────┬──────┼────────────────────────┼─────────────────────┼───────────────────────────┤</w:t>
              <w:br/>
              <w:t xml:space="preserve">   │  0   │  0   │  0   │ Low (0V)               │ Falling Edge (1-&gt;0) │ Rising Edge (0-&gt;1)        │</w:t>
              <w:br/>
              <w:t xml:space="preserve">   │  1   │  0   │  1   │ Low (0V)               │ Rising Edge (0-&gt;1)  │ Falling Edge (1-&gt;0)       │</w:t>
              <w:br/>
              <w:t xml:space="preserve">   │  2   │  1   │  0   │ High (Vdd)             │ Rising Edge (0-&gt;1)  │ Falling Edge (1-&gt;0)       │</w:t>
              <w:br/>
              <w:t xml:space="preserve">   │  3   │  1   │  1   │ High (Vdd)             │ Falling Edge (1-&gt;0) │ Rising Edge (0-&gt;1)        │</w:t>
              <w:br/>
              <w:t xml:space="preserve">   └──────┴──────┴──────┴────────────────────────┴─────────────────────┴───────────────────────────┘</w:t>
            </w:r>
          </w:p>
        </w:tc>
      </w:tr>
    </w:tbl>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2B6CB0"/>
              <w:bottom w:val="none"/>
              <w:right w:val="none"/>
            </w:tcBorders>
          </w:tcPr>
          <w:p>
            <w:pPr>
              <w:spacing w:line="276" w:lineRule="auto" w:after="0"/>
            </w:pPr>
            <w:r>
              <w:rPr>
                <w:b/>
                <w:color w:val="2B6CB0"/>
                <w:sz w:val="20"/>
              </w:rPr>
              <w:t xml:space="preserve">[NOTE] </w:t>
            </w:r>
            <w:r>
              <w:rPr>
                <w:b/>
                <w:color w:val="282C34"/>
                <w:sz w:val="20"/>
              </w:rPr>
              <w:t>Industry Dominance</w:t>
            </w:r>
            <w:r>
              <w:rPr>
                <w:color w:val="282C34"/>
                <w:sz w:val="20"/>
              </w:rPr>
              <w:t xml:space="preserve">: </w:t>
            </w:r>
            <w:r>
              <w:rPr>
                <w:b/>
                <w:color w:val="282C34"/>
                <w:sz w:val="20"/>
              </w:rPr>
              <w:t>Mode 0</w:t>
            </w:r>
            <w:r>
              <w:rPr>
                <w:color w:val="282C34"/>
                <w:sz w:val="20"/>
              </w:rPr>
              <w:t xml:space="preserve"> (</w:t>
            </w:r>
            <w:r>
              <w:rPr>
                <w:rFonts w:ascii="Consolas" w:hAnsi="Consolas"/>
                <w:color w:val="B4283C"/>
                <w:sz w:val="18"/>
              </w:rPr>
              <w:t>CPOL=0, CPHA=0</w:t>
            </w:r>
            <w:r>
              <w:rPr>
                <w:color w:val="282C34"/>
                <w:sz w:val="20"/>
              </w:rPr>
              <w:t xml:space="preserve">) and </w:t>
            </w:r>
            <w:r>
              <w:rPr>
                <w:b/>
                <w:color w:val="282C34"/>
                <w:sz w:val="20"/>
              </w:rPr>
              <w:t>Mode 3</w:t>
            </w:r>
            <w:r>
              <w:rPr>
                <w:color w:val="282C34"/>
                <w:sz w:val="20"/>
              </w:rPr>
              <w:t xml:space="preserve"> (</w:t>
            </w:r>
            <w:r>
              <w:rPr>
                <w:rFonts w:ascii="Consolas" w:hAnsi="Consolas"/>
                <w:color w:val="B4283C"/>
                <w:sz w:val="18"/>
              </w:rPr>
              <w:t>CPOL=1, CPHA=1</w:t>
            </w:r>
            <w:r>
              <w:rPr>
                <w:color w:val="282C34"/>
                <w:sz w:val="20"/>
              </w:rPr>
              <w:t xml:space="preserve">) account for over </w:t>
            </w:r>
            <w:r>
              <w:rPr>
                <w:i/>
                <w:color w:val="145AA0"/>
                <w:sz w:val="20"/>
              </w:rPr>
              <w:t>95\%</w:t>
            </w:r>
            <w:r>
              <w:rPr>
                <w:color w:val="282C34"/>
                <w:sz w:val="20"/>
              </w:rPr>
              <w:t xml:space="preserve"> of all commercial sensors, Flash memories, and microcontrollers. Both modes share the critical property of </w:t>
            </w:r>
            <w:r>
              <w:rPr>
                <w:b/>
                <w:color w:val="282C34"/>
                <w:sz w:val="20"/>
              </w:rPr>
              <w:t>sampling incoming data on the rising clock edge</w:t>
            </w:r>
            <w:r>
              <w:rPr>
                <w:color w:val="282C34"/>
                <w:sz w:val="20"/>
              </w:rPr>
              <w:t>.</w:t>
            </w:r>
          </w:p>
        </w:tc>
      </w:tr>
    </w:tbl>
    <w:p/>
    <w:p>
      <w:pPr>
        <w:spacing w:before="80" w:after="80"/>
        <w:pBdr>
          <w:bottom w:val="single" w:sz="6" w:space="1" w:color="E2E8F0"/>
        </w:pBdr>
      </w:pPr>
    </w:p>
    <w:p>
      <w:pPr>
        <w:spacing w:before="240" w:after="120"/>
      </w:pPr>
      <w:r>
        <w:rPr>
          <w:b/>
          <w:color w:val="184C78"/>
          <w:sz w:val="28"/>
        </w:rPr>
        <w:t>3. Bus Topologies &amp; High-Speed Extensions</w:t>
      </w:r>
    </w:p>
    <w:p>
      <w:pPr>
        <w:spacing w:before="160" w:after="80"/>
      </w:pPr>
      <w:r>
        <w:rPr>
          <w:b/>
          <w:color w:val="4682B4"/>
          <w:sz w:val="24"/>
        </w:rPr>
        <w:t>1. Multi-Target Topologies: Independent CS vs. Daisy-Chain:</w:t>
      </w:r>
    </w:p>
    <w:p>
      <w:pPr>
        <w:pStyle w:val="ListBullet"/>
        <w:spacing w:after="40"/>
        <w:ind w:left="360"/>
      </w:pPr>
      <w:r>
        <w:rPr>
          <w:b/>
          <w:color w:val="282C34"/>
          <w:sz w:val="21"/>
        </w:rPr>
        <w:t>Independent Chip Select (Star Topology)</w:t>
      </w:r>
      <w:r>
        <w:rPr>
          <w:color w:val="282C34"/>
          <w:sz w:val="21"/>
        </w:rPr>
        <w:t>: The controller provides an independent CS GPIO for each peripheral. All devices share SCLK, MOSI, and MISO. Highest throughput and simplest debugging.</w:t>
      </w:r>
    </w:p>
    <w:p>
      <w:pPr>
        <w:pStyle w:val="ListBullet"/>
        <w:spacing w:after="40"/>
        <w:ind w:left="360"/>
      </w:pPr>
      <w:r>
        <w:rPr>
          <w:b/>
          <w:color w:val="282C34"/>
          <w:sz w:val="21"/>
        </w:rPr>
        <w:t>Daisy-Chain Topology</w:t>
      </w:r>
      <w:r>
        <w:rPr>
          <w:color w:val="282C34"/>
          <w:sz w:val="21"/>
        </w:rPr>
        <w:t>: The MISO of Target 1 feeds into the MOSI of Target 2, forming an extended serial shift register. Drastically reduces GPIO count (1 CS line for all targets), commonly used in LED drivers (74HC595, TLC5940) and multi-channel relay banks.</w:t>
      </w:r>
    </w:p>
    <w:p>
      <w:pPr>
        <w:spacing w:before="160" w:after="80"/>
      </w:pPr>
      <w:r>
        <w:rPr>
          <w:b/>
          <w:color w:val="4682B4"/>
          <w:sz w:val="24"/>
        </w:rPr>
        <w:t>2. High-Throughput Multi-I/O Extensions:</w:t>
      </w:r>
    </w:p>
    <w:p>
      <w:pPr>
        <w:spacing w:after="80"/>
      </w:pPr>
      <w:r>
        <w:rPr>
          <w:color w:val="282C34"/>
          <w:sz w:val="21"/>
        </w:rPr>
        <w:t>To satisfy high-density NOR/NAND Flash boot memory bandwidth requirements, SPI expanded beyond traditional single-bit architectures:</w:t>
      </w:r>
    </w:p>
    <w:p>
      <w:pPr>
        <w:pStyle w:val="ListBullet"/>
        <w:spacing w:after="40"/>
        <w:ind w:left="360"/>
      </w:pPr>
      <w:r>
        <w:rPr>
          <w:b/>
          <w:color w:val="282C34"/>
          <w:sz w:val="21"/>
        </w:rPr>
        <w:t>Dual SPI (DIO)</w:t>
      </w:r>
      <w:r>
        <w:rPr>
          <w:color w:val="282C34"/>
          <w:sz w:val="21"/>
        </w:rPr>
        <w:t>: Reconfigures MOSI and MISO as bidirectional data lines (</w:t>
      </w:r>
      <w:r>
        <w:rPr>
          <w:i/>
          <w:color w:val="145AA0"/>
          <w:sz w:val="21"/>
        </w:rPr>
        <w:t>IO_0, IO_1</w:t>
      </w:r>
      <w:r>
        <w:rPr>
          <w:color w:val="282C34"/>
          <w:sz w:val="21"/>
        </w:rPr>
        <w:t>) to double transfer throughput.</w:t>
      </w:r>
    </w:p>
    <w:p>
      <w:pPr>
        <w:pStyle w:val="ListBullet"/>
        <w:spacing w:after="40"/>
        <w:ind w:left="360"/>
      </w:pPr>
      <w:r>
        <w:rPr>
          <w:b/>
          <w:color w:val="282C34"/>
          <w:sz w:val="21"/>
        </w:rPr>
        <w:t>Quad SPI (QSPI)</w:t>
      </w:r>
      <w:r>
        <w:rPr>
          <w:color w:val="282C34"/>
          <w:sz w:val="21"/>
        </w:rPr>
        <w:t>: Utilizes 4 bidirectional data lines (</w:t>
      </w:r>
      <w:r>
        <w:rPr>
          <w:i/>
          <w:color w:val="145AA0"/>
          <w:sz w:val="21"/>
        </w:rPr>
        <w:t>IO_0 \dots IO_3</w:t>
      </w:r>
      <w:r>
        <w:rPr>
          <w:color w:val="282C34"/>
          <w:sz w:val="21"/>
        </w:rPr>
        <w:t xml:space="preserve">) to stream a 32-bit word in just 8 clock cycles. Enables </w:t>
      </w:r>
      <w:r>
        <w:rPr>
          <w:b/>
          <w:color w:val="282C34"/>
          <w:sz w:val="21"/>
        </w:rPr>
        <w:t>Execute-in-Place (XiP)</w:t>
      </w:r>
      <w:r>
        <w:rPr>
          <w:color w:val="282C34"/>
          <w:sz w:val="21"/>
        </w:rPr>
        <w:t>, executing firmware directly from external Flash without loading into internal SRAM.</w:t>
      </w:r>
    </w:p>
    <w:p>
      <w:pPr>
        <w:pStyle w:val="ListBullet"/>
        <w:spacing w:after="40"/>
        <w:ind w:left="360"/>
      </w:pPr>
      <w:r>
        <w:rPr>
          <w:b/>
          <w:color w:val="282C34"/>
          <w:sz w:val="21"/>
        </w:rPr>
        <w:t>Octal SPI (OSPI) &amp; Hexa-SPI</w:t>
      </w:r>
      <w:r>
        <w:rPr>
          <w:color w:val="282C34"/>
          <w:sz w:val="21"/>
        </w:rPr>
        <w:t>: Employs 8 bidirectional data lines (</w:t>
      </w:r>
      <w:r>
        <w:rPr>
          <w:i/>
          <w:color w:val="145AA0"/>
          <w:sz w:val="21"/>
        </w:rPr>
        <w:t>IO_0 \dots IO_7</w:t>
      </w:r>
      <w:r>
        <w:rPr>
          <w:color w:val="282C34"/>
          <w:sz w:val="21"/>
        </w:rPr>
        <w:t xml:space="preserve">) operating in </w:t>
      </w:r>
      <w:r>
        <w:rPr>
          <w:b/>
          <w:color w:val="282C34"/>
          <w:sz w:val="21"/>
        </w:rPr>
        <w:t>Double Data Rate (DDR)</w:t>
      </w:r>
      <w:r>
        <w:rPr>
          <w:color w:val="282C34"/>
          <w:sz w:val="21"/>
        </w:rPr>
        <w:t xml:space="preserve">, achieving throughputs exceeding </w:t>
      </w:r>
      <w:r>
        <w:rPr>
          <w:b/>
          <w:color w:val="282C34"/>
          <w:sz w:val="21"/>
        </w:rPr>
        <w:t>$200\,\text{MB/s} \dots 400\,\text{MB/s}$</w:t>
      </w:r>
      <w:r>
        <w:rPr>
          <w:color w:val="282C34"/>
          <w:sz w:val="21"/>
        </w:rPr>
        <w:t>.</w:t>
      </w:r>
    </w:p>
    <w:p>
      <w:pPr>
        <w:spacing w:before="80" w:after="80"/>
        <w:pBdr>
          <w:bottom w:val="single" w:sz="6" w:space="1" w:color="E2E8F0"/>
        </w:pBdr>
      </w:pPr>
    </w:p>
    <w:p>
      <w:pPr>
        <w:spacing w:before="240" w:after="120"/>
      </w:pPr>
      <w:r>
        <w:rPr>
          <w:b/>
          <w:color w:val="184C78"/>
          <w:sz w:val="28"/>
        </w:rPr>
        <w:t>4. Protocol Benchmark Matrix</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632"/>
        <w:gridCol w:w="1632"/>
        <w:gridCol w:w="1632"/>
        <w:gridCol w:w="1632"/>
        <w:gridCol w:w="1632"/>
        <w:gridCol w:w="1632"/>
      </w:tblGrid>
      <w:tr>
        <w:tc>
          <w:tcPr>
            <w:tcW w:type="dxa" w:w="1632"/>
            <w:shd w:fill="204A6E"/>
            <w:tcMar>
              <w:top w:w="100" w:type="dxa"/>
              <w:bottom w:w="100" w:type="dxa"/>
              <w:left w:w="120" w:type="dxa"/>
              <w:right w:w="120" w:type="dxa"/>
            </w:tcMar>
            <w:vAlign w:val="center"/>
          </w:tcPr>
          <w:p>
            <w:pPr>
              <w:spacing w:after="0"/>
            </w:pPr>
            <w:r>
              <w:rPr>
                <w:b/>
                <w:color w:val="FFFFFF"/>
                <w:sz w:val="19"/>
              </w:rPr>
              <w:t>Metric / Parameter</w:t>
            </w:r>
          </w:p>
        </w:tc>
        <w:tc>
          <w:tcPr>
            <w:tcW w:type="dxa" w:w="1632"/>
            <w:shd w:fill="204A6E"/>
            <w:tcMar>
              <w:top w:w="100" w:type="dxa"/>
              <w:bottom w:w="100" w:type="dxa"/>
              <w:left w:w="120" w:type="dxa"/>
              <w:right w:w="120" w:type="dxa"/>
            </w:tcMar>
            <w:vAlign w:val="center"/>
          </w:tcPr>
          <w:p>
            <w:pPr>
              <w:spacing w:after="0"/>
            </w:pPr>
            <w:r>
              <w:rPr>
                <w:b/>
                <w:color w:val="FFFFFF"/>
                <w:sz w:val="19"/>
              </w:rPr>
              <w:t>SPI</w:t>
            </w:r>
          </w:p>
        </w:tc>
        <w:tc>
          <w:tcPr>
            <w:tcW w:type="dxa" w:w="1632"/>
            <w:shd w:fill="204A6E"/>
            <w:tcMar>
              <w:top w:w="100" w:type="dxa"/>
              <w:bottom w:w="100" w:type="dxa"/>
              <w:left w:w="120" w:type="dxa"/>
              <w:right w:w="120" w:type="dxa"/>
            </w:tcMar>
            <w:vAlign w:val="center"/>
          </w:tcPr>
          <w:p>
            <w:pPr>
              <w:spacing w:after="0"/>
            </w:pPr>
            <w:r>
              <w:rPr>
                <w:b/>
                <w:color w:val="FFFFFF"/>
                <w:sz w:val="19"/>
              </w:rPr>
              <w:t>I2C</w:t>
            </w:r>
          </w:p>
        </w:tc>
        <w:tc>
          <w:tcPr>
            <w:tcW w:type="dxa" w:w="1632"/>
            <w:shd w:fill="204A6E"/>
            <w:tcMar>
              <w:top w:w="100" w:type="dxa"/>
              <w:bottom w:w="100" w:type="dxa"/>
              <w:left w:w="120" w:type="dxa"/>
              <w:right w:w="120" w:type="dxa"/>
            </w:tcMar>
            <w:vAlign w:val="center"/>
          </w:tcPr>
          <w:p>
            <w:pPr>
              <w:spacing w:after="0"/>
            </w:pPr>
            <w:r>
              <w:rPr>
                <w:b/>
                <w:color w:val="FFFFFF"/>
                <w:sz w:val="19"/>
              </w:rPr>
              <w:t>UART</w:t>
            </w:r>
          </w:p>
        </w:tc>
        <w:tc>
          <w:tcPr>
            <w:tcW w:type="dxa" w:w="1632"/>
            <w:shd w:fill="204A6E"/>
            <w:tcMar>
              <w:top w:w="100" w:type="dxa"/>
              <w:bottom w:w="100" w:type="dxa"/>
              <w:left w:w="120" w:type="dxa"/>
              <w:right w:w="120" w:type="dxa"/>
            </w:tcMar>
            <w:vAlign w:val="center"/>
          </w:tcPr>
          <w:p>
            <w:pPr>
              <w:spacing w:after="0"/>
            </w:pPr>
            <w:r>
              <w:rPr>
                <w:b/>
                <w:color w:val="FFFFFF"/>
                <w:sz w:val="19"/>
              </w:rPr>
              <w:t>CAN (CAN FD)</w:t>
            </w:r>
          </w:p>
        </w:tc>
        <w:tc>
          <w:tcPr>
            <w:tcW w:type="dxa" w:w="1632"/>
            <w:shd w:fill="204A6E"/>
            <w:tcMar>
              <w:top w:w="100" w:type="dxa"/>
              <w:bottom w:w="100" w:type="dxa"/>
              <w:left w:w="120" w:type="dxa"/>
              <w:right w:w="120" w:type="dxa"/>
            </w:tcMar>
            <w:vAlign w:val="center"/>
          </w:tcPr>
          <w:p>
            <w:pPr>
              <w:spacing w:after="0"/>
            </w:pPr>
            <w:r>
              <w:rPr>
                <w:b/>
                <w:color w:val="FFFFFF"/>
                <w:sz w:val="19"/>
              </w:rPr>
              <w:t>USB (Full-Speed)</w:t>
            </w:r>
          </w:p>
        </w:tc>
      </w:tr>
      <w:tr>
        <w:tc>
          <w:tcPr>
            <w:tcW w:type="dxa" w:w="1632"/>
            <w:tcMar>
              <w:top w:w="80" w:type="dxa"/>
              <w:bottom w:w="80" w:type="dxa"/>
              <w:left w:w="120" w:type="dxa"/>
              <w:right w:w="120" w:type="dxa"/>
            </w:tcMar>
            <w:vAlign w:val="center"/>
          </w:tcPr>
          <w:p>
            <w:pPr>
              <w:spacing w:after="0"/>
            </w:pPr>
            <w:r>
              <w:rPr>
                <w:b/>
                <w:color w:val="282C34"/>
                <w:sz w:val="18"/>
              </w:rPr>
              <w:t>Clock Architecture</w:t>
            </w:r>
          </w:p>
        </w:tc>
        <w:tc>
          <w:tcPr>
            <w:tcW w:type="dxa" w:w="1632"/>
            <w:tcMar>
              <w:top w:w="80" w:type="dxa"/>
              <w:bottom w:w="80" w:type="dxa"/>
              <w:left w:w="120" w:type="dxa"/>
              <w:right w:w="120" w:type="dxa"/>
            </w:tcMar>
            <w:vAlign w:val="center"/>
          </w:tcPr>
          <w:p>
            <w:pPr>
              <w:spacing w:after="0"/>
            </w:pPr>
            <w:r>
              <w:rPr>
                <w:color w:val="282C34"/>
                <w:sz w:val="18"/>
              </w:rPr>
              <w:t>Synchronous (SCLK)</w:t>
            </w:r>
          </w:p>
        </w:tc>
        <w:tc>
          <w:tcPr>
            <w:tcW w:type="dxa" w:w="1632"/>
            <w:tcMar>
              <w:top w:w="80" w:type="dxa"/>
              <w:bottom w:w="80" w:type="dxa"/>
              <w:left w:w="120" w:type="dxa"/>
              <w:right w:w="120" w:type="dxa"/>
            </w:tcMar>
            <w:vAlign w:val="center"/>
          </w:tcPr>
          <w:p>
            <w:pPr>
              <w:spacing w:after="0"/>
            </w:pPr>
            <w:r>
              <w:rPr>
                <w:color w:val="282C34"/>
                <w:sz w:val="18"/>
              </w:rPr>
              <w:t>Synchronous (SCL)</w:t>
            </w:r>
          </w:p>
        </w:tc>
        <w:tc>
          <w:tcPr>
            <w:tcW w:type="dxa" w:w="1632"/>
            <w:tcMar>
              <w:top w:w="80" w:type="dxa"/>
              <w:bottom w:w="80" w:type="dxa"/>
              <w:left w:w="120" w:type="dxa"/>
              <w:right w:w="120" w:type="dxa"/>
            </w:tcMar>
            <w:vAlign w:val="center"/>
          </w:tcPr>
          <w:p>
            <w:pPr>
              <w:spacing w:after="0"/>
            </w:pPr>
            <w:r>
              <w:rPr>
                <w:color w:val="282C34"/>
                <w:sz w:val="18"/>
              </w:rPr>
              <w:t>Asynchronous</w:t>
            </w:r>
          </w:p>
        </w:tc>
        <w:tc>
          <w:tcPr>
            <w:tcW w:type="dxa" w:w="1632"/>
            <w:tcMar>
              <w:top w:w="80" w:type="dxa"/>
              <w:bottom w:w="80" w:type="dxa"/>
              <w:left w:w="120" w:type="dxa"/>
              <w:right w:w="120" w:type="dxa"/>
            </w:tcMar>
            <w:vAlign w:val="center"/>
          </w:tcPr>
          <w:p>
            <w:pPr>
              <w:spacing w:after="0"/>
            </w:pPr>
            <w:r>
              <w:rPr>
                <w:color w:val="282C34"/>
                <w:sz w:val="18"/>
              </w:rPr>
              <w:t>Asynchronous (Sync)</w:t>
            </w:r>
          </w:p>
        </w:tc>
        <w:tc>
          <w:tcPr>
            <w:tcW w:type="dxa" w:w="1632"/>
            <w:tcMar>
              <w:top w:w="80" w:type="dxa"/>
              <w:bottom w:w="80" w:type="dxa"/>
              <w:left w:w="120" w:type="dxa"/>
              <w:right w:w="120" w:type="dxa"/>
            </w:tcMar>
            <w:vAlign w:val="center"/>
          </w:tcPr>
          <w:p>
            <w:pPr>
              <w:spacing w:after="0"/>
            </w:pPr>
            <w:r>
              <w:rPr>
                <w:color w:val="282C34"/>
                <w:sz w:val="18"/>
              </w:rPr>
              <w:t>Asynchronous (DPLL)</w:t>
            </w:r>
          </w:p>
        </w:tc>
      </w:tr>
      <w:tr>
        <w:tc>
          <w:tcPr>
            <w:tcW w:type="dxa" w:w="1632"/>
            <w:shd w:fill="F4F7F9"/>
            <w:tcMar>
              <w:top w:w="80" w:type="dxa"/>
              <w:bottom w:w="80" w:type="dxa"/>
              <w:left w:w="120" w:type="dxa"/>
              <w:right w:w="120" w:type="dxa"/>
            </w:tcMar>
            <w:vAlign w:val="center"/>
          </w:tcPr>
          <w:p>
            <w:pPr>
              <w:spacing w:after="0"/>
            </w:pPr>
            <w:r>
              <w:rPr>
                <w:b/>
                <w:color w:val="282C34"/>
                <w:sz w:val="18"/>
              </w:rPr>
              <w:t>Wires Required</w:t>
            </w:r>
          </w:p>
        </w:tc>
        <w:tc>
          <w:tcPr>
            <w:tcW w:type="dxa" w:w="1632"/>
            <w:shd w:fill="F4F7F9"/>
            <w:tcMar>
              <w:top w:w="80" w:type="dxa"/>
              <w:bottom w:w="80" w:type="dxa"/>
              <w:left w:w="120" w:type="dxa"/>
              <w:right w:w="120" w:type="dxa"/>
            </w:tcMar>
            <w:vAlign w:val="center"/>
          </w:tcPr>
          <w:p>
            <w:pPr>
              <w:spacing w:after="0"/>
            </w:pPr>
            <w:r>
              <w:rPr>
                <w:color w:val="282C34"/>
                <w:sz w:val="18"/>
              </w:rPr>
              <w:t>4+ (SCLK, MOSI, MISO, CS)</w:t>
            </w:r>
          </w:p>
        </w:tc>
        <w:tc>
          <w:tcPr>
            <w:tcW w:type="dxa" w:w="1632"/>
            <w:shd w:fill="F4F7F9"/>
            <w:tcMar>
              <w:top w:w="80" w:type="dxa"/>
              <w:bottom w:w="80" w:type="dxa"/>
              <w:left w:w="120" w:type="dxa"/>
              <w:right w:w="120" w:type="dxa"/>
            </w:tcMar>
            <w:vAlign w:val="center"/>
          </w:tcPr>
          <w:p>
            <w:pPr>
              <w:spacing w:after="0"/>
            </w:pPr>
            <w:r>
              <w:rPr>
                <w:color w:val="282C34"/>
                <w:sz w:val="18"/>
              </w:rPr>
              <w:t>2 (SDA, SCL)</w:t>
            </w:r>
          </w:p>
        </w:tc>
        <w:tc>
          <w:tcPr>
            <w:tcW w:type="dxa" w:w="1632"/>
            <w:shd w:fill="F4F7F9"/>
            <w:tcMar>
              <w:top w:w="80" w:type="dxa"/>
              <w:bottom w:w="80" w:type="dxa"/>
              <w:left w:w="120" w:type="dxa"/>
              <w:right w:w="120" w:type="dxa"/>
            </w:tcMar>
            <w:vAlign w:val="center"/>
          </w:tcPr>
          <w:p>
            <w:pPr>
              <w:spacing w:after="0"/>
            </w:pPr>
            <w:r>
              <w:rPr>
                <w:color w:val="282C34"/>
                <w:sz w:val="18"/>
              </w:rPr>
              <w:t>2 (TX, RX)</w:t>
            </w:r>
          </w:p>
        </w:tc>
        <w:tc>
          <w:tcPr>
            <w:tcW w:type="dxa" w:w="1632"/>
            <w:shd w:fill="F4F7F9"/>
            <w:tcMar>
              <w:top w:w="80" w:type="dxa"/>
              <w:bottom w:w="80" w:type="dxa"/>
              <w:left w:w="120" w:type="dxa"/>
              <w:right w:w="120" w:type="dxa"/>
            </w:tcMar>
            <w:vAlign w:val="center"/>
          </w:tcPr>
          <w:p>
            <w:pPr>
              <w:spacing w:after="0"/>
            </w:pPr>
            <w:r>
              <w:rPr>
                <w:color w:val="282C34"/>
                <w:sz w:val="18"/>
              </w:rPr>
              <w:t>2 (CAN_H, CAN_L)</w:t>
            </w:r>
          </w:p>
        </w:tc>
        <w:tc>
          <w:tcPr>
            <w:tcW w:type="dxa" w:w="1632"/>
            <w:shd w:fill="F4F7F9"/>
            <w:tcMar>
              <w:top w:w="80" w:type="dxa"/>
              <w:bottom w:w="80" w:type="dxa"/>
              <w:left w:w="120" w:type="dxa"/>
              <w:right w:w="120" w:type="dxa"/>
            </w:tcMar>
            <w:vAlign w:val="center"/>
          </w:tcPr>
          <w:p>
            <w:pPr>
              <w:spacing w:after="0"/>
            </w:pPr>
            <w:r>
              <w:rPr>
                <w:color w:val="282C34"/>
                <w:sz w:val="18"/>
              </w:rPr>
              <w:t>2 (D+, D-)</w:t>
            </w:r>
          </w:p>
        </w:tc>
      </w:tr>
      <w:tr>
        <w:tc>
          <w:tcPr>
            <w:tcW w:type="dxa" w:w="1632"/>
            <w:tcMar>
              <w:top w:w="80" w:type="dxa"/>
              <w:bottom w:w="80" w:type="dxa"/>
              <w:left w:w="120" w:type="dxa"/>
              <w:right w:w="120" w:type="dxa"/>
            </w:tcMar>
            <w:vAlign w:val="center"/>
          </w:tcPr>
          <w:p>
            <w:pPr>
              <w:spacing w:after="0"/>
            </w:pPr>
            <w:r>
              <w:rPr>
                <w:b/>
                <w:color w:val="282C34"/>
                <w:sz w:val="18"/>
              </w:rPr>
              <w:t>Duplex</w:t>
            </w:r>
          </w:p>
        </w:tc>
        <w:tc>
          <w:tcPr>
            <w:tcW w:type="dxa" w:w="1632"/>
            <w:tcMar>
              <w:top w:w="80" w:type="dxa"/>
              <w:bottom w:w="80" w:type="dxa"/>
              <w:left w:w="120" w:type="dxa"/>
              <w:right w:w="120" w:type="dxa"/>
            </w:tcMar>
            <w:vAlign w:val="center"/>
          </w:tcPr>
          <w:p>
            <w:pPr>
              <w:spacing w:after="0"/>
            </w:pPr>
            <w:r>
              <w:rPr>
                <w:color w:val="282C34"/>
                <w:sz w:val="18"/>
              </w:rPr>
              <w:t>Full Duplex</w:t>
            </w:r>
          </w:p>
        </w:tc>
        <w:tc>
          <w:tcPr>
            <w:tcW w:type="dxa" w:w="1632"/>
            <w:tcMar>
              <w:top w:w="80" w:type="dxa"/>
              <w:bottom w:w="80" w:type="dxa"/>
              <w:left w:w="120" w:type="dxa"/>
              <w:right w:w="120" w:type="dxa"/>
            </w:tcMar>
            <w:vAlign w:val="center"/>
          </w:tcPr>
          <w:p>
            <w:pPr>
              <w:spacing w:after="0"/>
            </w:pPr>
            <w:r>
              <w:rPr>
                <w:color w:val="282C34"/>
                <w:sz w:val="18"/>
              </w:rPr>
              <w:t>Half Duplex</w:t>
            </w:r>
          </w:p>
        </w:tc>
        <w:tc>
          <w:tcPr>
            <w:tcW w:type="dxa" w:w="1632"/>
            <w:tcMar>
              <w:top w:w="80" w:type="dxa"/>
              <w:bottom w:w="80" w:type="dxa"/>
              <w:left w:w="120" w:type="dxa"/>
              <w:right w:w="120" w:type="dxa"/>
            </w:tcMar>
            <w:vAlign w:val="center"/>
          </w:tcPr>
          <w:p>
            <w:pPr>
              <w:spacing w:after="0"/>
            </w:pPr>
            <w:r>
              <w:rPr>
                <w:color w:val="282C34"/>
                <w:sz w:val="18"/>
              </w:rPr>
              <w:t>Full Duplex</w:t>
            </w:r>
          </w:p>
        </w:tc>
        <w:tc>
          <w:tcPr>
            <w:tcW w:type="dxa" w:w="1632"/>
            <w:tcMar>
              <w:top w:w="80" w:type="dxa"/>
              <w:bottom w:w="80" w:type="dxa"/>
              <w:left w:w="120" w:type="dxa"/>
              <w:right w:w="120" w:type="dxa"/>
            </w:tcMar>
            <w:vAlign w:val="center"/>
          </w:tcPr>
          <w:p>
            <w:pPr>
              <w:spacing w:after="0"/>
            </w:pPr>
            <w:r>
              <w:rPr>
                <w:color w:val="282C34"/>
                <w:sz w:val="18"/>
              </w:rPr>
              <w:t>Half Duplex</w:t>
            </w:r>
          </w:p>
        </w:tc>
        <w:tc>
          <w:tcPr>
            <w:tcW w:type="dxa" w:w="1632"/>
            <w:tcMar>
              <w:top w:w="80" w:type="dxa"/>
              <w:bottom w:w="80" w:type="dxa"/>
              <w:left w:w="120" w:type="dxa"/>
              <w:right w:w="120" w:type="dxa"/>
            </w:tcMar>
            <w:vAlign w:val="center"/>
          </w:tcPr>
          <w:p>
            <w:pPr>
              <w:spacing w:after="0"/>
            </w:pPr>
            <w:r>
              <w:rPr>
                <w:color w:val="282C34"/>
                <w:sz w:val="18"/>
              </w:rPr>
              <w:t>Half Duplex</w:t>
            </w:r>
          </w:p>
        </w:tc>
      </w:tr>
      <w:tr>
        <w:tc>
          <w:tcPr>
            <w:tcW w:type="dxa" w:w="1632"/>
            <w:shd w:fill="F4F7F9"/>
            <w:tcMar>
              <w:top w:w="80" w:type="dxa"/>
              <w:bottom w:w="80" w:type="dxa"/>
              <w:left w:w="120" w:type="dxa"/>
              <w:right w:w="120" w:type="dxa"/>
            </w:tcMar>
            <w:vAlign w:val="center"/>
          </w:tcPr>
          <w:p>
            <w:pPr>
              <w:spacing w:after="0"/>
            </w:pPr>
            <w:r>
              <w:rPr>
                <w:b/>
                <w:color w:val="282C34"/>
                <w:sz w:val="18"/>
              </w:rPr>
              <w:t>Max Throughput</w:t>
            </w:r>
          </w:p>
        </w:tc>
        <w:tc>
          <w:tcPr>
            <w:tcW w:type="dxa" w:w="1632"/>
            <w:shd w:fill="F4F7F9"/>
            <w:tcMar>
              <w:top w:w="80" w:type="dxa"/>
              <w:bottom w:w="80" w:type="dxa"/>
              <w:left w:w="120" w:type="dxa"/>
              <w:right w:w="120" w:type="dxa"/>
            </w:tcMar>
            <w:vAlign w:val="center"/>
          </w:tcPr>
          <w:p>
            <w:pPr>
              <w:spacing w:after="0"/>
            </w:pPr>
            <w:r>
              <w:rPr>
                <w:b/>
                <w:color w:val="282C34"/>
                <w:sz w:val="18"/>
              </w:rPr>
              <w:t>10 to 100+ Mbps</w:t>
            </w:r>
          </w:p>
        </w:tc>
        <w:tc>
          <w:tcPr>
            <w:tcW w:type="dxa" w:w="1632"/>
            <w:shd w:fill="F4F7F9"/>
            <w:tcMar>
              <w:top w:w="80" w:type="dxa"/>
              <w:bottom w:w="80" w:type="dxa"/>
              <w:left w:w="120" w:type="dxa"/>
              <w:right w:w="120" w:type="dxa"/>
            </w:tcMar>
            <w:vAlign w:val="center"/>
          </w:tcPr>
          <w:p>
            <w:pPr>
              <w:spacing w:after="0"/>
            </w:pPr>
            <w:r>
              <w:rPr>
                <w:color w:val="282C34"/>
                <w:sz w:val="18"/>
              </w:rPr>
              <w:t>100k to 3.4 Mbps</w:t>
            </w:r>
          </w:p>
        </w:tc>
        <w:tc>
          <w:tcPr>
            <w:tcW w:type="dxa" w:w="1632"/>
            <w:shd w:fill="F4F7F9"/>
            <w:tcMar>
              <w:top w:w="80" w:type="dxa"/>
              <w:bottom w:w="80" w:type="dxa"/>
              <w:left w:w="120" w:type="dxa"/>
              <w:right w:w="120" w:type="dxa"/>
            </w:tcMar>
            <w:vAlign w:val="center"/>
          </w:tcPr>
          <w:p>
            <w:pPr>
              <w:spacing w:after="0"/>
            </w:pPr>
            <w:r>
              <w:rPr>
                <w:color w:val="282C34"/>
                <w:sz w:val="18"/>
              </w:rPr>
              <w:t>115.2k to 1 Mbps</w:t>
            </w:r>
          </w:p>
        </w:tc>
        <w:tc>
          <w:tcPr>
            <w:tcW w:type="dxa" w:w="1632"/>
            <w:shd w:fill="F4F7F9"/>
            <w:tcMar>
              <w:top w:w="80" w:type="dxa"/>
              <w:bottom w:w="80" w:type="dxa"/>
              <w:left w:w="120" w:type="dxa"/>
              <w:right w:w="120" w:type="dxa"/>
            </w:tcMar>
            <w:vAlign w:val="center"/>
          </w:tcPr>
          <w:p>
            <w:pPr>
              <w:spacing w:after="0"/>
            </w:pPr>
            <w:r>
              <w:rPr>
                <w:color w:val="282C34"/>
                <w:sz w:val="18"/>
              </w:rPr>
              <w:t>1 Mbps / 5 Mbps</w:t>
            </w:r>
          </w:p>
        </w:tc>
        <w:tc>
          <w:tcPr>
            <w:tcW w:type="dxa" w:w="1632"/>
            <w:shd w:fill="F4F7F9"/>
            <w:tcMar>
              <w:top w:w="80" w:type="dxa"/>
              <w:bottom w:w="80" w:type="dxa"/>
              <w:left w:w="120" w:type="dxa"/>
              <w:right w:w="120" w:type="dxa"/>
            </w:tcMar>
            <w:vAlign w:val="center"/>
          </w:tcPr>
          <w:p>
            <w:pPr>
              <w:spacing w:after="0"/>
            </w:pPr>
            <w:r>
              <w:rPr>
                <w:color w:val="282C34"/>
                <w:sz w:val="18"/>
              </w:rPr>
              <w:t>12 Mbps</w:t>
            </w:r>
          </w:p>
        </w:tc>
      </w:tr>
      <w:tr>
        <w:tc>
          <w:tcPr>
            <w:tcW w:type="dxa" w:w="1632"/>
            <w:tcMar>
              <w:top w:w="80" w:type="dxa"/>
              <w:bottom w:w="80" w:type="dxa"/>
              <w:left w:w="120" w:type="dxa"/>
              <w:right w:w="120" w:type="dxa"/>
            </w:tcMar>
            <w:vAlign w:val="center"/>
          </w:tcPr>
          <w:p>
            <w:pPr>
              <w:spacing w:after="0"/>
            </w:pPr>
            <w:r>
              <w:rPr>
                <w:b/>
                <w:color w:val="282C34"/>
                <w:sz w:val="18"/>
              </w:rPr>
              <w:t>Addressing Method</w:t>
            </w:r>
          </w:p>
        </w:tc>
        <w:tc>
          <w:tcPr>
            <w:tcW w:type="dxa" w:w="1632"/>
            <w:tcMar>
              <w:top w:w="80" w:type="dxa"/>
              <w:bottom w:w="80" w:type="dxa"/>
              <w:left w:w="120" w:type="dxa"/>
              <w:right w:w="120" w:type="dxa"/>
            </w:tcMar>
            <w:vAlign w:val="center"/>
          </w:tcPr>
          <w:p>
            <w:pPr>
              <w:spacing w:after="0"/>
            </w:pPr>
            <w:r>
              <w:rPr>
                <w:color w:val="282C34"/>
                <w:sz w:val="18"/>
              </w:rPr>
              <w:t>Hardware Chip Select</w:t>
            </w:r>
          </w:p>
        </w:tc>
        <w:tc>
          <w:tcPr>
            <w:tcW w:type="dxa" w:w="1632"/>
            <w:tcMar>
              <w:top w:w="80" w:type="dxa"/>
              <w:bottom w:w="80" w:type="dxa"/>
              <w:left w:w="120" w:type="dxa"/>
              <w:right w:w="120" w:type="dxa"/>
            </w:tcMar>
            <w:vAlign w:val="center"/>
          </w:tcPr>
          <w:p>
            <w:pPr>
              <w:spacing w:after="0"/>
            </w:pPr>
            <w:r>
              <w:rPr>
                <w:color w:val="282C34"/>
                <w:sz w:val="18"/>
              </w:rPr>
              <w:t>In-band 7/10-bit ID</w:t>
            </w:r>
          </w:p>
        </w:tc>
        <w:tc>
          <w:tcPr>
            <w:tcW w:type="dxa" w:w="1632"/>
            <w:tcMar>
              <w:top w:w="80" w:type="dxa"/>
              <w:bottom w:w="80" w:type="dxa"/>
              <w:left w:w="120" w:type="dxa"/>
              <w:right w:w="120" w:type="dxa"/>
            </w:tcMar>
            <w:vAlign w:val="center"/>
          </w:tcPr>
          <w:p>
            <w:pPr>
              <w:spacing w:after="0"/>
            </w:pPr>
            <w:r>
              <w:rPr>
                <w:color w:val="282C34"/>
                <w:sz w:val="18"/>
              </w:rPr>
              <w:t>Point-to-point</w:t>
            </w:r>
          </w:p>
        </w:tc>
        <w:tc>
          <w:tcPr>
            <w:tcW w:type="dxa" w:w="1632"/>
            <w:tcMar>
              <w:top w:w="80" w:type="dxa"/>
              <w:bottom w:w="80" w:type="dxa"/>
              <w:left w:w="120" w:type="dxa"/>
              <w:right w:w="120" w:type="dxa"/>
            </w:tcMar>
            <w:vAlign w:val="center"/>
          </w:tcPr>
          <w:p>
            <w:pPr>
              <w:spacing w:after="0"/>
            </w:pPr>
            <w:r>
              <w:rPr>
                <w:color w:val="282C34"/>
                <w:sz w:val="18"/>
              </w:rPr>
              <w:t>11/29-bit Message ID</w:t>
            </w:r>
          </w:p>
        </w:tc>
        <w:tc>
          <w:tcPr>
            <w:tcW w:type="dxa" w:w="1632"/>
            <w:tcMar>
              <w:top w:w="80" w:type="dxa"/>
              <w:bottom w:w="80" w:type="dxa"/>
              <w:left w:w="120" w:type="dxa"/>
              <w:right w:w="120" w:type="dxa"/>
            </w:tcMar>
            <w:vAlign w:val="center"/>
          </w:tcPr>
          <w:p>
            <w:pPr>
              <w:spacing w:after="0"/>
            </w:pPr>
            <w:r>
              <w:rPr>
                <w:color w:val="282C34"/>
                <w:sz w:val="18"/>
              </w:rPr>
              <w:t>Token Packet</w:t>
            </w:r>
          </w:p>
        </w:tc>
      </w:tr>
      <w:tr>
        <w:tc>
          <w:tcPr>
            <w:tcW w:type="dxa" w:w="1632"/>
            <w:shd w:fill="F4F7F9"/>
            <w:tcMar>
              <w:top w:w="80" w:type="dxa"/>
              <w:bottom w:w="80" w:type="dxa"/>
              <w:left w:w="120" w:type="dxa"/>
              <w:right w:w="120" w:type="dxa"/>
            </w:tcMar>
            <w:vAlign w:val="center"/>
          </w:tcPr>
          <w:p>
            <w:pPr>
              <w:spacing w:after="0"/>
            </w:pPr>
            <w:r>
              <w:rPr>
                <w:b/>
                <w:color w:val="282C34"/>
                <w:sz w:val="18"/>
              </w:rPr>
              <w:t>Flow Control</w:t>
            </w:r>
          </w:p>
        </w:tc>
        <w:tc>
          <w:tcPr>
            <w:tcW w:type="dxa" w:w="1632"/>
            <w:shd w:fill="F4F7F9"/>
            <w:tcMar>
              <w:top w:w="80" w:type="dxa"/>
              <w:bottom w:w="80" w:type="dxa"/>
              <w:left w:w="120" w:type="dxa"/>
              <w:right w:w="120" w:type="dxa"/>
            </w:tcMar>
            <w:vAlign w:val="center"/>
          </w:tcPr>
          <w:p>
            <w:pPr>
              <w:spacing w:after="0"/>
            </w:pPr>
            <w:r>
              <w:rPr>
                <w:color w:val="282C34"/>
                <w:sz w:val="18"/>
              </w:rPr>
              <w:t>None (Controller paced)</w:t>
            </w:r>
          </w:p>
        </w:tc>
        <w:tc>
          <w:tcPr>
            <w:tcW w:type="dxa" w:w="1632"/>
            <w:shd w:fill="F4F7F9"/>
            <w:tcMar>
              <w:top w:w="80" w:type="dxa"/>
              <w:bottom w:w="80" w:type="dxa"/>
              <w:left w:w="120" w:type="dxa"/>
              <w:right w:w="120" w:type="dxa"/>
            </w:tcMar>
            <w:vAlign w:val="center"/>
          </w:tcPr>
          <w:p>
            <w:pPr>
              <w:spacing w:after="0"/>
            </w:pPr>
            <w:r>
              <w:rPr>
                <w:color w:val="282C34"/>
                <w:sz w:val="18"/>
              </w:rPr>
              <w:t>Clock stretching</w:t>
            </w:r>
          </w:p>
        </w:tc>
        <w:tc>
          <w:tcPr>
            <w:tcW w:type="dxa" w:w="1632"/>
            <w:shd w:fill="F4F7F9"/>
            <w:tcMar>
              <w:top w:w="80" w:type="dxa"/>
              <w:bottom w:w="80" w:type="dxa"/>
              <w:left w:w="120" w:type="dxa"/>
              <w:right w:w="120" w:type="dxa"/>
            </w:tcMar>
            <w:vAlign w:val="center"/>
          </w:tcPr>
          <w:p>
            <w:pPr>
              <w:spacing w:after="0"/>
            </w:pPr>
            <w:r>
              <w:rPr>
                <w:color w:val="282C34"/>
                <w:sz w:val="18"/>
              </w:rPr>
              <w:t>Optional RTS/CTS</w:t>
            </w:r>
          </w:p>
        </w:tc>
        <w:tc>
          <w:tcPr>
            <w:tcW w:type="dxa" w:w="1632"/>
            <w:shd w:fill="F4F7F9"/>
            <w:tcMar>
              <w:top w:w="80" w:type="dxa"/>
              <w:bottom w:w="80" w:type="dxa"/>
              <w:left w:w="120" w:type="dxa"/>
              <w:right w:w="120" w:type="dxa"/>
            </w:tcMar>
            <w:vAlign w:val="center"/>
          </w:tcPr>
          <w:p>
            <w:pPr>
              <w:spacing w:after="0"/>
            </w:pPr>
            <w:r>
              <w:rPr>
                <w:color w:val="282C34"/>
                <w:sz w:val="18"/>
              </w:rPr>
              <w:t>Bitwise arbitration</w:t>
            </w:r>
          </w:p>
        </w:tc>
        <w:tc>
          <w:tcPr>
            <w:tcW w:type="dxa" w:w="1632"/>
            <w:shd w:fill="F4F7F9"/>
            <w:tcMar>
              <w:top w:w="80" w:type="dxa"/>
              <w:bottom w:w="80" w:type="dxa"/>
              <w:left w:w="120" w:type="dxa"/>
              <w:right w:w="120" w:type="dxa"/>
            </w:tcMar>
            <w:vAlign w:val="center"/>
          </w:tcPr>
          <w:p>
            <w:pPr>
              <w:spacing w:after="0"/>
            </w:pPr>
            <w:r>
              <w:rPr>
                <w:color w:val="282C34"/>
                <w:sz w:val="18"/>
              </w:rPr>
              <w:t>NAK / PING handshakes</w:t>
            </w:r>
          </w:p>
        </w:tc>
      </w:tr>
      <w:tr>
        <w:tc>
          <w:tcPr>
            <w:tcW w:type="dxa" w:w="1632"/>
            <w:tcMar>
              <w:top w:w="80" w:type="dxa"/>
              <w:bottom w:w="80" w:type="dxa"/>
              <w:left w:w="120" w:type="dxa"/>
              <w:right w:w="120" w:type="dxa"/>
            </w:tcMar>
            <w:vAlign w:val="center"/>
          </w:tcPr>
          <w:p>
            <w:pPr>
              <w:spacing w:after="0"/>
            </w:pPr>
            <w:r>
              <w:rPr>
                <w:b/>
                <w:color w:val="282C34"/>
                <w:sz w:val="18"/>
              </w:rPr>
              <w:t>Protocol Overhead</w:t>
            </w:r>
          </w:p>
        </w:tc>
        <w:tc>
          <w:tcPr>
            <w:tcW w:type="dxa" w:w="1632"/>
            <w:tcMar>
              <w:top w:w="80" w:type="dxa"/>
              <w:bottom w:w="80" w:type="dxa"/>
              <w:left w:w="120" w:type="dxa"/>
              <w:right w:w="120" w:type="dxa"/>
            </w:tcMar>
            <w:vAlign w:val="center"/>
          </w:tcPr>
          <w:p>
            <w:pPr>
              <w:spacing w:after="0"/>
            </w:pPr>
            <w:r>
              <w:rPr>
                <w:b/>
                <w:color w:val="282C34"/>
                <w:sz w:val="18"/>
              </w:rPr>
              <w:t>Near Zero</w:t>
            </w:r>
          </w:p>
        </w:tc>
        <w:tc>
          <w:tcPr>
            <w:tcW w:type="dxa" w:w="1632"/>
            <w:tcMar>
              <w:top w:w="80" w:type="dxa"/>
              <w:bottom w:w="80" w:type="dxa"/>
              <w:left w:w="120" w:type="dxa"/>
              <w:right w:w="120" w:type="dxa"/>
            </w:tcMar>
            <w:vAlign w:val="center"/>
          </w:tcPr>
          <w:p>
            <w:pPr>
              <w:spacing w:after="0"/>
            </w:pPr>
            <w:r>
              <w:rPr>
                <w:color w:val="282C34"/>
                <w:sz w:val="18"/>
              </w:rPr>
              <w:t>~25% (Addr, ACK)</w:t>
            </w:r>
          </w:p>
        </w:tc>
        <w:tc>
          <w:tcPr>
            <w:tcW w:type="dxa" w:w="1632"/>
            <w:tcMar>
              <w:top w:w="80" w:type="dxa"/>
              <w:bottom w:w="80" w:type="dxa"/>
              <w:left w:w="120" w:type="dxa"/>
              <w:right w:w="120" w:type="dxa"/>
            </w:tcMar>
            <w:vAlign w:val="center"/>
          </w:tcPr>
          <w:p>
            <w:pPr>
              <w:spacing w:after="0"/>
            </w:pPr>
            <w:r>
              <w:rPr>
                <w:color w:val="282C34"/>
                <w:sz w:val="18"/>
              </w:rPr>
              <w:t>20% (Start/Stop)</w:t>
            </w:r>
          </w:p>
        </w:tc>
        <w:tc>
          <w:tcPr>
            <w:tcW w:type="dxa" w:w="1632"/>
            <w:tcMar>
              <w:top w:w="80" w:type="dxa"/>
              <w:bottom w:w="80" w:type="dxa"/>
              <w:left w:w="120" w:type="dxa"/>
              <w:right w:w="120" w:type="dxa"/>
            </w:tcMar>
            <w:vAlign w:val="center"/>
          </w:tcPr>
          <w:p>
            <w:pPr>
              <w:spacing w:after="0"/>
            </w:pPr>
            <w:r>
              <w:rPr>
                <w:color w:val="282C34"/>
                <w:sz w:val="18"/>
              </w:rPr>
              <w:t>~35% (Headers, CRC)</w:t>
            </w:r>
          </w:p>
        </w:tc>
        <w:tc>
          <w:tcPr>
            <w:tcW w:type="dxa" w:w="1632"/>
            <w:tcMar>
              <w:top w:w="80" w:type="dxa"/>
              <w:bottom w:w="80" w:type="dxa"/>
              <w:left w:w="120" w:type="dxa"/>
              <w:right w:w="120" w:type="dxa"/>
            </w:tcMar>
            <w:vAlign w:val="center"/>
          </w:tcPr>
          <w:p>
            <w:pPr>
              <w:spacing w:after="0"/>
            </w:pPr>
            <w:r>
              <w:rPr>
                <w:color w:val="282C34"/>
                <w:sz w:val="18"/>
              </w:rPr>
              <w:t>Packet encapsulation</w:t>
            </w:r>
          </w:p>
        </w:tc>
      </w:tr>
    </w:tbl>
    <w:p/>
    <w:p>
      <w:pPr>
        <w:spacing w:before="80" w:after="80"/>
        <w:pBdr>
          <w:bottom w:val="single" w:sz="6" w:space="1" w:color="E2E8F0"/>
        </w:pBdr>
      </w:pPr>
    </w:p>
    <w:p>
      <w:pPr>
        <w:spacing w:before="240" w:after="120"/>
      </w:pPr>
      <w:r>
        <w:rPr>
          <w:b/>
          <w:color w:val="184C78"/>
          <w:sz w:val="28"/>
        </w:rPr>
        <w:t>5. Documentation Suite Roadmap</w:t>
      </w:r>
    </w:p>
    <w:p>
      <w:pPr>
        <w:spacing w:after="80"/>
      </w:pPr>
      <w:r>
        <w:rPr>
          <w:color w:val="282C34"/>
          <w:sz w:val="21"/>
        </w:rPr>
        <w:t>The SPI knowledge base is structured into dedicated technical dossiers:</w:t>
      </w:r>
    </w:p>
    <w:p>
      <w:pPr>
        <w:pStyle w:val="ListNumber"/>
        <w:spacing w:after="40"/>
        <w:ind w:left="360"/>
      </w:pPr>
      <w:r>
        <w:rPr>
          <w:color w:val="0066CC"/>
          <w:sz w:val="21"/>
          <w:u w:val="single"/>
        </w:rPr>
        <w:t>**`spi-guide.md`**</w:t>
      </w:r>
      <w:r>
        <w:rPr>
          <w:color w:val="282C34"/>
          <w:sz w:val="21"/>
        </w:rPr>
        <w:t xml:space="preserve"> (</w:t>
      </w:r>
      <w:r>
        <w:rPr>
          <w:color w:val="0066CC"/>
          <w:sz w:val="21"/>
          <w:u w:val="single"/>
        </w:rPr>
        <w:t>Word DOCX</w:t>
      </w:r>
      <w:r>
        <w:rPr>
          <w:color w:val="282C34"/>
          <w:sz w:val="21"/>
        </w:rPr>
        <w:t>):</w:t>
      </w:r>
    </w:p>
    <w:p>
      <w:pPr>
        <w:pStyle w:val="ListBullet"/>
        <w:spacing w:after="40"/>
        <w:ind w:left="720"/>
      </w:pPr>
      <w:r>
        <w:rPr>
          <w:color w:val="282C34"/>
          <w:sz w:val="21"/>
        </w:rPr>
        <w:t>Complete architectural overview, signal definitions, CPOL/CPHA truth tables, Linux kernel SPI subsystem (</w:t>
      </w:r>
      <w:r>
        <w:rPr>
          <w:rFonts w:ascii="Consolas" w:hAnsi="Consolas"/>
          <w:color w:val="B4283C"/>
          <w:sz w:val="18"/>
        </w:rPr>
        <w:t>spidev</w:t>
      </w:r>
      <w:r>
        <w:rPr>
          <w:color w:val="282C34"/>
          <w:sz w:val="21"/>
        </w:rPr>
        <w:t>, Device Tree bindings), modular production C drivers, and RCA troubleshooting matrix.</w:t>
      </w:r>
    </w:p>
    <w:p>
      <w:pPr>
        <w:pStyle w:val="ListNumber"/>
        <w:spacing w:after="40"/>
        <w:ind w:left="360"/>
      </w:pPr>
      <w:r>
        <w:rPr>
          <w:color w:val="0066CC"/>
          <w:sz w:val="21"/>
          <w:u w:val="single"/>
        </w:rPr>
        <w:t>**`spi-timing-and-modes.md`**</w:t>
      </w:r>
      <w:r>
        <w:rPr>
          <w:color w:val="282C34"/>
          <w:sz w:val="21"/>
        </w:rPr>
        <w:t xml:space="preserve"> (</w:t>
      </w:r>
      <w:r>
        <w:rPr>
          <w:color w:val="0066CC"/>
          <w:sz w:val="21"/>
          <w:u w:val="single"/>
        </w:rPr>
        <w:t>Word DOCX</w:t>
      </w:r>
      <w:r>
        <w:rPr>
          <w:color w:val="282C34"/>
          <w:sz w:val="21"/>
        </w:rPr>
        <w:t>):</w:t>
      </w:r>
    </w:p>
    <w:p>
      <w:pPr>
        <w:pStyle w:val="ListBullet"/>
        <w:spacing w:after="40"/>
        <w:ind w:left="720"/>
      </w:pPr>
      <w:r>
        <w:rPr>
          <w:color w:val="282C34"/>
          <w:sz w:val="21"/>
        </w:rPr>
        <w:t>AC timing parameter equations (</w:t>
      </w:r>
      <w:r>
        <w:rPr>
          <w:i/>
          <w:color w:val="145AA0"/>
          <w:sz w:val="21"/>
        </w:rPr>
        <w:t>t_{SU, t_H, t_{CO</w:t>
      </w:r>
      <w:r>
        <w:rPr>
          <w:color w:val="282C34"/>
          <w:sz w:val="21"/>
        </w:rPr>
        <w:t>), round-trip propagation delay budgets, maximum safe clock frequency derivation (</w:t>
      </w:r>
      <w:r>
        <w:rPr>
          <w:i/>
          <w:color w:val="145AA0"/>
          <w:sz w:val="21"/>
        </w:rPr>
        <w:t>f_{max</w:t>
      </w:r>
      <w:r>
        <w:rPr>
          <w:color w:val="282C34"/>
          <w:sz w:val="21"/>
        </w:rPr>
        <w:t>), galvanic isolator delays, transmission line reflections, and series damping resistor sizing (</w:t>
      </w:r>
      <w:r>
        <w:rPr>
          <w:i/>
          <w:color w:val="145AA0"/>
          <w:sz w:val="21"/>
        </w:rPr>
        <w:t>22\,\Omega - 47\,\Omega</w:t>
      </w:r>
      <w:r>
        <w:rPr>
          <w:color w:val="282C34"/>
          <w:sz w:val="21"/>
        </w:rPr>
        <w:t>).</w:t>
      </w:r>
    </w:p>
    <w:p>
      <w:pPr>
        <w:pStyle w:val="ListNumber"/>
        <w:spacing w:after="40"/>
        <w:ind w:left="360"/>
      </w:pPr>
      <w:r>
        <w:rPr>
          <w:color w:val="0066CC"/>
          <w:sz w:val="21"/>
          <w:u w:val="single"/>
        </w:rPr>
        <w:t>**`spi-circuit-and-hardware-connections.md`**</w:t>
      </w:r>
      <w:r>
        <w:rPr>
          <w:color w:val="282C34"/>
          <w:sz w:val="21"/>
        </w:rPr>
        <w:t xml:space="preserve"> (</w:t>
      </w:r>
      <w:r>
        <w:rPr>
          <w:color w:val="0066CC"/>
          <w:sz w:val="21"/>
          <w:u w:val="single"/>
        </w:rPr>
        <w:t>Word DOCX</w:t>
      </w:r>
      <w:r>
        <w:rPr>
          <w:color w:val="282C34"/>
          <w:sz w:val="21"/>
        </w:rPr>
        <w:t>):</w:t>
      </w:r>
    </w:p>
    <w:p>
      <w:pPr>
        <w:pStyle w:val="ListBullet"/>
        <w:spacing w:after="40"/>
        <w:ind w:left="720"/>
      </w:pPr>
      <w:r>
        <w:rPr>
          <w:color w:val="282C34"/>
          <w:sz w:val="21"/>
        </w:rPr>
        <w:t>Practical circuit schematics: Single-slave with damping resistors, multi-slave dedicated CS# star routing, multi-slave shift-register daisy-chaining, high-speed Quad-SPI (QSPI) NOR Flash (W25Q128JV), and galvanically isolated SPI barriers (ADuM3401/ISO7741).</w:t>
      </w:r>
    </w:p>
    <w:p>
      <w:pPr>
        <w:pStyle w:val="ListNumber"/>
        <w:spacing w:after="40"/>
        <w:ind w:left="360"/>
      </w:pPr>
      <w:r>
        <w:rPr>
          <w:color w:val="0066CC"/>
          <w:sz w:val="21"/>
          <w:u w:val="single"/>
        </w:rPr>
        <w:t>**`spi-frame-analysis.md`**</w:t>
      </w:r>
      <w:r>
        <w:rPr>
          <w:color w:val="282C34"/>
          <w:sz w:val="21"/>
        </w:rPr>
        <w:t xml:space="preserve"> (</w:t>
      </w:r>
      <w:r>
        <w:rPr>
          <w:color w:val="0066CC"/>
          <w:sz w:val="21"/>
          <w:u w:val="single"/>
        </w:rPr>
        <w:t>Word DOCX</w:t>
      </w:r>
      <w:r>
        <w:rPr>
          <w:color w:val="282C34"/>
          <w:sz w:val="21"/>
        </w:rPr>
        <w:t>):</w:t>
      </w:r>
    </w:p>
    <w:p>
      <w:pPr>
        <w:pStyle w:val="ListBullet"/>
        <w:spacing w:after="40"/>
        <w:ind w:left="720"/>
      </w:pPr>
      <w:r>
        <w:rPr>
          <w:color w:val="282C34"/>
          <w:sz w:val="21"/>
        </w:rPr>
        <w:t>Physical bit-shifting vs. logical framing, command/address/dummy byte phases, standard Flash, IMU sensor, and ADC packet archetypes, hardware CRC-8 verification, and multi-segment Linux transfers.</w:t>
      </w:r>
    </w:p>
    <w:p>
      <w:pPr>
        <w:pStyle w:val="ListNumber"/>
        <w:spacing w:after="40"/>
        <w:ind w:left="360"/>
      </w:pPr>
      <w:r>
        <w:rPr>
          <w:color w:val="0066CC"/>
          <w:sz w:val="21"/>
          <w:u w:val="single"/>
        </w:rPr>
        <w:t>**`tools/spi_calc.py`**</w:t>
      </w:r>
      <w:r>
        <w:rPr>
          <w:color w:val="282C34"/>
          <w:sz w:val="21"/>
        </w:rPr>
        <w:t>:</w:t>
      </w:r>
    </w:p>
    <w:p>
      <w:pPr>
        <w:pStyle w:val="ListBullet"/>
        <w:spacing w:after="40"/>
        <w:ind w:left="720"/>
      </w:pPr>
      <w:r>
        <w:rPr>
          <w:color w:val="282C34"/>
          <w:sz w:val="21"/>
        </w:rPr>
        <w:t>Command-line engineering utility to calculate round-trip propagation delays, maximum safe SCLK frequencies, transmission line critical lengths, and effective continuous throughput for Single, Dual, and Quad SPI buses.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README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