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UART Protocol: Architecture, Transceiver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UART Protocol Knowledge Base</w:t>
      </w:r>
      <w:r>
        <w:rPr>
          <w:color w:val="282C34"/>
          <w:sz w:val="21"/>
        </w:rPr>
        <w:t>. This documentation suite provides an exhaustive, industry-grade reference covering asynchronous serial communications, physical transceiver standards (TTL/CMOS, RS-232, RS-422, RS-485), bit-level frame anatomy, 16x oversampling clock recovery, baud rate generation, hardware flow control, DMA circular ring buffers, and bench troubleshooting for embedded system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Protocol Overview</w:t>
      </w:r>
    </w:p>
    <w:p>
      <w:pPr>
        <w:spacing w:after="80"/>
      </w:pPr>
      <w:r>
        <w:rPr>
          <w:b/>
          <w:color w:val="282C34"/>
          <w:sz w:val="21"/>
        </w:rPr>
        <w:t>UART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Universal Asynchronous Receiver-Transmitter</w:t>
      </w:r>
      <w:r>
        <w:rPr>
          <w:color w:val="282C34"/>
          <w:sz w:val="21"/>
        </w:rPr>
        <w:t xml:space="preserve">) is the foundational serial communication interface in embedded computing. Developed in the early days of computing and standardized in silicon by Western Digital (WD1402A) and National Semiconductor (8250/16550), UART remains the primary interface for </w:t>
      </w:r>
      <w:r>
        <w:rPr>
          <w:b/>
          <w:color w:val="282C34"/>
          <w:sz w:val="21"/>
        </w:rPr>
        <w:t>microcontroller debug consoles, cellular/GPS modems, Bluetooth modules, industrial sensors, and flight controllers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Unlike synchronous buses (SPI, I2C) that transmit an explicit shared clock line, UART is strictly </w:t>
      </w:r>
      <w:r>
        <w:rPr>
          <w:b/>
          <w:color w:val="282C34"/>
          <w:sz w:val="21"/>
        </w:rPr>
        <w:t>asynchronous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Point-to-Point Full-Duplex</w:t>
      </w:r>
      <w:r>
        <w:rPr>
          <w:color w:val="282C34"/>
          <w:sz w:val="21"/>
        </w:rPr>
        <w:t>: Independent Transmit (</w:t>
      </w:r>
      <w:r>
        <w:rPr>
          <w:b/>
          <w:color w:val="282C34"/>
          <w:sz w:val="21"/>
        </w:rPr>
        <w:t>TX</w:t>
      </w:r>
      <w:r>
        <w:rPr>
          <w:color w:val="282C34"/>
          <w:sz w:val="21"/>
        </w:rPr>
        <w:t>) and Receive (</w:t>
      </w:r>
      <w:r>
        <w:rPr>
          <w:b/>
          <w:color w:val="282C34"/>
          <w:sz w:val="21"/>
        </w:rPr>
        <w:t>RX</w:t>
      </w:r>
      <w:r>
        <w:rPr>
          <w:color w:val="282C34"/>
          <w:sz w:val="21"/>
        </w:rPr>
        <w:t>) lines permit simultaneous bidirectional communication.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Clockless Transmission</w:t>
      </w:r>
      <w:r>
        <w:rPr>
          <w:color w:val="282C34"/>
          <w:sz w:val="21"/>
        </w:rPr>
        <w:t>: No clock line connects transmitter and receiver. Both devices must be independently configured to identical communication speeds (</w:t>
      </w:r>
      <w:r>
        <w:rPr>
          <w:b/>
          <w:color w:val="282C34"/>
          <w:sz w:val="21"/>
        </w:rPr>
        <w:t>Baud Rates</w:t>
      </w:r>
      <w:r>
        <w:rPr>
          <w:color w:val="282C34"/>
          <w:sz w:val="21"/>
        </w:rPr>
        <w:t>) prior to data exchange.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Self-Synchronizing Start/Stop Framing</w:t>
      </w:r>
      <w:r>
        <w:rPr>
          <w:color w:val="282C34"/>
          <w:sz w:val="21"/>
        </w:rPr>
        <w:t xml:space="preserve">: Every character frame is framed by an active-LOW </w:t>
      </w:r>
      <w:r>
        <w:rPr>
          <w:b/>
          <w:color w:val="282C34"/>
          <w:sz w:val="21"/>
        </w:rPr>
        <w:t>Start bit</w:t>
      </w:r>
      <w:r>
        <w:rPr>
          <w:color w:val="282C34"/>
          <w:sz w:val="21"/>
        </w:rPr>
        <w:t xml:space="preserve"> that triggers receiver local clock counters, followed by </w:t>
      </w:r>
      <w:r>
        <w:rPr>
          <w:i/>
          <w:color w:val="145AA0"/>
          <w:sz w:val="21"/>
        </w:rPr>
        <w:t>5 \dots 9</w:t>
      </w:r>
      <w:r>
        <w:rPr>
          <w:color w:val="282C34"/>
          <w:sz w:val="21"/>
        </w:rPr>
        <w:t xml:space="preserve"> data bits, an optional </w:t>
      </w:r>
      <w:r>
        <w:rPr>
          <w:b/>
          <w:color w:val="282C34"/>
          <w:sz w:val="21"/>
        </w:rPr>
        <w:t>Parity bit</w:t>
      </w:r>
      <w:r>
        <w:rPr>
          <w:color w:val="282C34"/>
          <w:sz w:val="21"/>
        </w:rPr>
        <w:t xml:space="preserve">, and one or two active-HIGH </w:t>
      </w:r>
      <w:r>
        <w:rPr>
          <w:b/>
          <w:color w:val="282C34"/>
          <w:sz w:val="21"/>
        </w:rPr>
        <w:t>Stop bits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Transmitter (MCU #1)                                    Receiver (MCU #2)</w:t>
              <w:br/>
              <w:t xml:space="preserve">       ┌──────────────────┐                                    ┌──────────────────┐</w:t>
              <w:br/>
              <w:t xml:space="preserve">       │               TX ├───────────────────────────────────►│ RX               │</w:t>
              <w:br/>
              <w:t xml:space="preserve">       │                  │                                    │                  │</w:t>
              <w:br/>
              <w:t xml:space="preserve">       │               RX │◄───────────────────────────────────┤ TX               │</w:t>
              <w:br/>
              <w:t xml:space="preserve">       │                  │                                    │                  │</w:t>
              <w:br/>
              <w:t xml:space="preserve">       │              GND ├────────────────────────────────────┤ GND              │</w:t>
              <w:br/>
              <w:t xml:space="preserve">       └──────────────────┘          Common Ground             └──────────────────┘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Physical Layer Transceiver Standards</w:t>
      </w:r>
    </w:p>
    <w:p>
      <w:pPr>
        <w:spacing w:after="80"/>
      </w:pPr>
      <w:r>
        <w:rPr>
          <w:color w:val="282C34"/>
          <w:sz w:val="21"/>
        </w:rPr>
        <w:t>While microcontrollers generate logic-level signals (</w:t>
      </w:r>
      <w:r>
        <w:rPr>
          <w:i/>
          <w:color w:val="145AA0"/>
          <w:sz w:val="21"/>
        </w:rPr>
        <w:t>0\,V \dots 3.3\,V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5\,V</w:t>
      </w:r>
      <w:r>
        <w:rPr>
          <w:color w:val="282C34"/>
          <w:sz w:val="21"/>
        </w:rPr>
        <w:t xml:space="preserve"> TTL/CMOS), UART frames are frequently translated by external transceiver ICs to withstand harsh industrial environments, severe common-mode offsets, and kilometer-length cables: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Physical Transceiver Comparison</w:t>
              <w:br/>
              <w:t xml:space="preserve">   ┌───────────┬──────────────┬──────────────┬────────────────┬──────────────────────────┐</w:t>
              <w:br/>
              <w:t xml:space="preserve">   │ Standard  │ Signaling    │ Max Distance │ Max Data Rate  │ Topology / Duplex        │</w:t>
              <w:br/>
              <w:t xml:space="preserve">   ├───────────┼──────────────┼──────────────┼────────────────┼──────────────────────────┤</w:t>
              <w:br/>
              <w:t xml:space="preserve">   │ TTL / CMOS│ Single-Ended │ &lt; 30 cm      │ Up to 10 Mbps  │ Point-to-point, Full     │</w:t>
              <w:br/>
              <w:t xml:space="preserve">   │ RS-232    │ Single-Ended │ 15 meters    │ 115.2 kbps     │ Point-to-point, Full     │</w:t>
              <w:br/>
              <w:t xml:space="preserve">   │ RS-422    │ Differential │ 1200 meters  │ 10 Mbps        │ Multi-drop (1 Tx, 10 Rx) │</w:t>
              <w:br/>
              <w:t xml:space="preserve">   │ RS-485    │ Differential │ 1200 meters  │ 10 to 50 Mbps  │ Multi-point (32 Loads)   │</w:t>
              <w:br/>
              <w:t xml:space="preserve">   └───────────┴──────────────┴──────────────┴────────────────┴──────────────────────────┘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Detailed Electrical Profiles: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TTL / CMOS (Logic-Level UART)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0\,V = Logic  0</w:t>
      </w:r>
      <w:r>
        <w:rPr>
          <w:color w:val="282C34"/>
          <w:sz w:val="21"/>
        </w:rPr>
        <w:t xml:space="preserve"> (Space), </w:t>
      </w:r>
      <w:r>
        <w:rPr>
          <w:i/>
          <w:color w:val="145AA0"/>
          <w:sz w:val="21"/>
        </w:rPr>
        <w:t>3.3\,V / 5\,V = Logic  1</w:t>
      </w:r>
      <w:r>
        <w:rPr>
          <w:color w:val="282C34"/>
          <w:sz w:val="21"/>
        </w:rPr>
        <w:t xml:space="preserve"> (Mark / Idle).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Low noise immunity; strictly intended for board-level chip-to-chip or USB-to-UART bridges (FT232R, CP2102, CH340).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RS-232 (EIA/TIA-232-F)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High-voltage bipolar inverted signaling: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0 (Space)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+3\,V \dots +15\,V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1 (Mark / Idle)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-3\,V \dots -15\,V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Generated using internal charge-pump transceivers (MAX232, MAX3232). Provides superior noise margin over logic-level signals for PC COM ports and legacy test equipment.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RS-485 (EIA/TIA-485-A)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Balanced differential signaling over twisted-pair lines (</w:t>
      </w:r>
      <w:r>
        <w:rPr>
          <w:i/>
          <w:color w:val="145AA0"/>
          <w:sz w:val="21"/>
        </w:rPr>
        <w:t>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B</w:t>
      </w:r>
      <w:r>
        <w:rPr>
          <w:color w:val="282C34"/>
          <w:sz w:val="21"/>
        </w:rPr>
        <w:t xml:space="preserve">, or non-inverting </w:t>
      </w:r>
      <w:r>
        <w:rPr>
          <w:i/>
          <w:color w:val="145AA0"/>
          <w:sz w:val="21"/>
        </w:rPr>
        <w:t>Y</w:t>
      </w:r>
      <w:r>
        <w:rPr>
          <w:color w:val="282C34"/>
          <w:sz w:val="21"/>
        </w:rPr>
        <w:t xml:space="preserve"> and inverting </w:t>
      </w:r>
      <w:r>
        <w:rPr>
          <w:i/>
          <w:color w:val="145AA0"/>
          <w:sz w:val="21"/>
        </w:rPr>
        <w:t>Z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1 (Mark / Recessive)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V_A - V_B &lt; -200\,mV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Logic 0 (Space / Dominant)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V_A - V_B &gt; +200\,mV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Handles </w:t>
      </w:r>
      <w:r>
        <w:rPr>
          <w:i/>
          <w:color w:val="145AA0"/>
          <w:sz w:val="21"/>
        </w:rPr>
        <w:t>-7\,V \dots +12\,V</w:t>
      </w:r>
      <w:r>
        <w:rPr>
          <w:color w:val="282C34"/>
          <w:sz w:val="21"/>
        </w:rPr>
        <w:t xml:space="preserve"> ground potential differences across long factory cable runs. Requires </w:t>
      </w:r>
      <w:r>
        <w:rPr>
          <w:i/>
          <w:color w:val="145AA0"/>
          <w:sz w:val="21"/>
        </w:rPr>
        <w:t>120\,\Omega</w:t>
      </w:r>
      <w:r>
        <w:rPr>
          <w:color w:val="282C34"/>
          <w:sz w:val="21"/>
        </w:rPr>
        <w:t xml:space="preserve"> termination resistors at both cable ends.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Benchmark Matrix: UART vs. I2C vs. SPI vs. LIN vs. CAN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Metric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 (Logic)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RS-485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LIN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2.0B / FD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Architecture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(SCL)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(SCLK)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 (Break)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Asynchronous (Sync)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Physical Wires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(TX, RX)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(A, B)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(SDA, SCL)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(SCLK, MOSI, MISO, CS)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(12V VBAT bus)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(CAN_H, CAN_L)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Speed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115.2k – 1M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100k – 10M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100k, 400k, 1M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1M – 50M+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19.2 kbps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500k / 2M – 5M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Topology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Bus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Bus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 / Daisy-Chain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Master-Slave Bus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Broadcast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Overhead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20% (Start/Stop)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20%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(Address/ACK)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(Protected ID)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(Stuffing, CRC)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Hardware Flow Ctrl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Optional RTS/CTS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Enable (DE)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Clock stretching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Schedule table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Bitwise arbitration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UART knowledge base is structured into dedicated engineering dossiers: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**`uart-guide.md`**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Core architecture, pinout conventions, cross-over wiring traps, RS-232/485 transceivers, Linux serial subsystem (</w:t>
      </w:r>
      <w:r>
        <w:rPr>
          <w:rFonts w:ascii="Consolas" w:hAnsi="Consolas"/>
          <w:color w:val="B4283C"/>
          <w:sz w:val="18"/>
        </w:rPr>
        <w:t>/dev/ttyS*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termios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ioctl</w:t>
      </w:r>
      <w:r>
        <w:rPr>
          <w:color w:val="282C34"/>
          <w:sz w:val="21"/>
        </w:rPr>
        <w:t>), production C drivers, and benchbring-up checklists.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**`uart-frame-and-protocol-analysis.md`**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Bit-by-bit frame anatomy, 16x oversampling clock recovery, majority voting, 9-bit addressable multi-drop mode (wake-up on address), BREAK signaling, error flags (FE, OE, PE, NE), hardware RTS/CTS auto-flow dynamics, FIFO watermark thresholds, and DMA circular ring buffers.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**`uart-circuit-and-hardware-connections.md`**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Practical circuit schematics: MCU-to-MCU cross-over, USB Type-C bridge (CP2102/FT232), full bipolar RS-232 transceiver (MAX3232), half-duplex RS-485 transceiver (MAX485/SN65HVD72), TVS surge protection, and BSS138 bidirectional 3.3V-to-5V level shifting.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**`baud-rate-calculations.md`**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Baud rate vs bit rate physics, Baud Rate Generator (BRG) integer and fractional divider equations, 16x vs 8x oversampling trade-offs, cumulative clock error budget analysis (</w:t>
      </w:r>
      <w:r>
        <w:rPr>
          <w:i/>
          <w:color w:val="145AA0"/>
          <w:sz w:val="21"/>
        </w:rPr>
        <w:t>&lt;± 2.0\%</w:t>
      </w:r>
      <w:r>
        <w:rPr>
          <w:color w:val="282C34"/>
          <w:sz w:val="21"/>
        </w:rPr>
        <w:t>), and oscilloscope baud measurement.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**`tools/uart_calc.py`**</w:t>
      </w:r>
      <w:r>
        <w:rPr>
          <w:color w:val="282C34"/>
          <w:sz w:val="21"/>
        </w:rPr>
        <w:t xml:space="preserve"> / </w:t>
      </w:r>
      <w:r>
        <w:rPr>
          <w:color w:val="0066CC"/>
          <w:sz w:val="21"/>
          <w:u w:val="single"/>
        </w:rPr>
        <w:t>**`tools/baud_calc.py`**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Command-line utilities to calculate BRG divisors, clock error percentages, frame timing budgets, payload throughput, and RS-485 cable turnaround budgets.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