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Power Trench MOSFETs (UMOS &amp; Shielded Gate): Physics, Architecture &amp; Applications</w:t>
      </w:r>
    </w:p>
    <w:p>
      <w:pPr>
        <w:spacing w:after="80"/>
      </w:pPr>
      <w:r>
        <w:rPr>
          <w:color w:val="282C34"/>
          <w:sz w:val="21"/>
        </w:rPr>
        <w:t xml:space="preserve">A </w:t>
      </w:r>
      <w:r>
        <w:rPr>
          <w:b/>
          <w:color w:val="282C34"/>
          <w:sz w:val="21"/>
        </w:rPr>
        <w:t>Trench MOSFET</w:t>
      </w:r>
      <w:r>
        <w:rPr>
          <w:color w:val="282C34"/>
          <w:sz w:val="21"/>
        </w:rPr>
        <w:t xml:space="preserve"> (historically termed </w:t>
      </w:r>
      <w:r>
        <w:rPr>
          <w:b/>
          <w:color w:val="282C34"/>
          <w:sz w:val="21"/>
        </w:rPr>
        <w:t>UMOS</w:t>
      </w:r>
      <w:r>
        <w:rPr>
          <w:color w:val="282C34"/>
          <w:sz w:val="21"/>
        </w:rPr>
        <w:t xml:space="preserve"> or </w:t>
      </w:r>
      <w:r>
        <w:rPr>
          <w:b/>
          <w:color w:val="282C34"/>
          <w:sz w:val="21"/>
        </w:rPr>
        <w:t>TrenchFET</w:t>
      </w:r>
      <w:r>
        <w:rPr>
          <w:color w:val="282C34"/>
          <w:sz w:val="21"/>
        </w:rPr>
        <w:t>) is a vertical power transistor architecture designed to minimize on-resistance (</w:t>
      </w:r>
      <w:r>
        <w:rPr>
          <w:i/>
          <w:color w:val="145AA0"/>
          <w:sz w:val="21"/>
        </w:rPr>
        <w:t>R_{DS(on)</w:t>
      </w:r>
      <w:r>
        <w:rPr>
          <w:color w:val="282C34"/>
          <w:sz w:val="21"/>
        </w:rPr>
        <w:t>) in the low-to-medium voltage domain (</w:t>
      </w:r>
      <w:r>
        <w:rPr>
          <w:i/>
          <w:color w:val="145AA0"/>
          <w:sz w:val="21"/>
        </w:rPr>
        <w:t>20\,V \dots 100\,V</w:t>
      </w:r>
      <w:r>
        <w:rPr>
          <w:color w:val="282C34"/>
          <w:sz w:val="21"/>
        </w:rPr>
        <w:t xml:space="preserve">). By etching vertical trenches into the silicon and forming vertical conduction channels along the trench sidewalls, trench technology eliminates the parasitic JFET resistance inherent to planar power MOSFETs and achieves cellular densities exceeding </w:t>
      </w:r>
      <w:r>
        <w:rPr>
          <w:i/>
          <w:color w:val="145AA0"/>
          <w:sz w:val="21"/>
        </w:rPr>
        <w:t>10^8\,cells/cm^2</w:t>
      </w:r>
      <w:r>
        <w:rPr>
          <w:color w:val="282C34"/>
          <w:sz w:val="21"/>
        </w:rPr>
        <w:t>.</w:t>
      </w:r>
    </w:p>
    <w:p>
      <w:pPr>
        <w:spacing w:before="80" w:after="80"/>
        <w:pBdr>
          <w:bottom w:val="single" w:sz="6" w:space="1" w:color="E2E8F0"/>
        </w:pBdr>
      </w:pPr>
    </w:p>
    <w:p>
      <w:pPr>
        <w:spacing w:before="240" w:after="120"/>
      </w:pPr>
      <w:r>
        <w:rPr>
          <w:b/>
          <w:color w:val="184C78"/>
          <w:sz w:val="28"/>
        </w:rPr>
        <w:t>1. Semiconductor Physics &amp; Device Cross-Section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Source Contact (Al)</w:t>
              <w:br/>
              <w:t xml:space="preserve">          ─────────────────────────────</w:t>
              <w:br/>
              <w:t xml:space="preserve">          ┌────────┐         ┌────────┐</w:t>
              <w:br/>
              <w:t xml:space="preserve">          │   n+   │         │   n+   │ Source Diffusions</w:t>
              <w:br/>
              <w:t xml:space="preserve">          ├────────┴─┐     ┌─┴────────┤</w:t>
              <w:br/>
              <w:t xml:space="preserve">          │  p-Body  │     │  p-Body  │ P-Well (Body)</w:t>
              <w:br/>
              <w:t xml:space="preserve">          └──────────┤  G  ├──────────┘</w:t>
              <w:br/>
              <w:t xml:space="preserve">                     │  A  │</w:t>
              <w:br/>
              <w:t xml:space="preserve">                     │  T  │  &lt;-- Trench Gate (Poly-Si)</w:t>
              <w:br/>
              <w:t xml:space="preserve">                     │  E  │      with vertical SiO2 sidewall oxide</w:t>
              <w:br/>
              <w:t xml:space="preserve">                     └─────┘</w:t>
              <w:br/>
              <w:t xml:space="preserve">          ─────────────────────────────</w:t>
              <w:br/>
              <w:t xml:space="preserve">          │                           │</w:t>
              <w:br/>
              <w:t xml:space="preserve">          │     n- Drift Region       │ (Epi Layer: dictates V_BR)</w:t>
              <w:br/>
              <w:t xml:space="preserve">          │                           │</w:t>
              <w:br/>
              <w:t xml:space="preserve">          ─────────────────────────────</w:t>
              <w:br/>
              <w:t xml:space="preserve">          │        n+ Substrate       │</w:t>
              <w:br/>
              <w:t xml:space="preserve">          ─────────────────────────────</w:t>
              <w:br/>
              <w:t xml:space="preserve">          │    Drain Contact (Back)   │</w:t>
            </w:r>
          </w:p>
        </w:tc>
      </w:tr>
    </w:tbl>
    <w:p/>
    <w:p>
      <w:pPr>
        <w:spacing w:before="160" w:after="80"/>
      </w:pPr>
      <w:r>
        <w:rPr>
          <w:b/>
          <w:color w:val="4682B4"/>
          <w:sz w:val="24"/>
        </w:rPr>
        <w:t>The Planar Resistance Bottleneck &amp; Trench Solution:</w:t>
      </w:r>
    </w:p>
    <w:p>
      <w:pPr>
        <w:spacing w:after="80"/>
      </w:pPr>
      <w:r>
        <w:rPr>
          <w:color w:val="282C34"/>
          <w:sz w:val="21"/>
        </w:rPr>
        <w:t>In planar power MOSFETs, the total on-resistance consists of:</w:t>
      </w:r>
    </w:p>
    <w:p>
      <w:pPr>
        <w:spacing w:after="80"/>
      </w:pPr>
      <w:r>
        <w:rPr>
          <w:i/>
          <w:color w:val="145AA0"/>
          <w:sz w:val="21"/>
        </w:rPr>
      </w:r>
      <w:r>
        <w:rPr>
          <w:color w:val="282C34"/>
          <w:sz w:val="21"/>
        </w:rPr>
        <w:t>R_{DS(on)} = R_{source} + R_{ch} + R_{JFET} + R_{drift} + R_{sub} + R_{contact}</w:t>
      </w:r>
      <w:r>
        <w:rPr>
          <w:i/>
          <w:color w:val="145AA0"/>
          <w:sz w:val="21"/>
        </w:rPr>
      </w:r>
    </w:p>
    <w:p>
      <w:pPr>
        <w:spacing w:after="80"/>
      </w:pPr>
      <w:r>
        <w:rPr>
          <w:color w:val="282C34"/>
          <w:sz w:val="21"/>
        </w:rPr>
        <w:t>In low-voltage devices (</w:t>
      </w:r>
      <w:r>
        <w:rPr>
          <w:i/>
          <w:color w:val="145AA0"/>
          <w:sz w:val="21"/>
        </w:rPr>
        <w:t>&lt; 100\,V</w:t>
      </w:r>
      <w:r>
        <w:rPr>
          <w:color w:val="282C34"/>
          <w:sz w:val="21"/>
        </w:rPr>
        <w:t xml:space="preserve">), the drift region resistance </w:t>
      </w:r>
      <w:r>
        <w:rPr>
          <w:i/>
          <w:color w:val="145AA0"/>
          <w:sz w:val="21"/>
        </w:rPr>
        <w:t>R_{drift</w:t>
      </w:r>
      <w:r>
        <w:rPr>
          <w:color w:val="282C34"/>
          <w:sz w:val="21"/>
        </w:rPr>
        <w:t xml:space="preserve"> is very small. Consequently, the channel resistance </w:t>
      </w:r>
      <w:r>
        <w:rPr>
          <w:i/>
          <w:color w:val="145AA0"/>
          <w:sz w:val="21"/>
        </w:rPr>
        <w:t>R_{ch</w:t>
      </w:r>
      <w:r>
        <w:rPr>
          <w:color w:val="282C34"/>
          <w:sz w:val="21"/>
        </w:rPr>
        <w:t xml:space="preserve"> and the </w:t>
      </w:r>
      <w:r>
        <w:rPr>
          <w:b/>
          <w:color w:val="282C34"/>
          <w:sz w:val="21"/>
        </w:rPr>
        <w:t>parasitic JFET neck resistance</w:t>
      </w:r>
      <w:r>
        <w:rPr>
          <w:color w:val="282C34"/>
          <w:sz w:val="21"/>
        </w:rPr>
        <w:t xml:space="preserve"> (</w:t>
      </w:r>
      <w:r>
        <w:rPr>
          <w:i/>
          <w:color w:val="145AA0"/>
          <w:sz w:val="21"/>
        </w:rPr>
        <w:t>R_{JFET</w:t>
      </w:r>
      <w:r>
        <w:rPr>
          <w:color w:val="282C34"/>
          <w:sz w:val="21"/>
        </w:rPr>
        <w:t xml:space="preserve">) between adjacent p-body diffusions accounted for over </w:t>
      </w:r>
      <w:r>
        <w:rPr>
          <w:i/>
          <w:color w:val="145AA0"/>
          <w:sz w:val="21"/>
        </w:rPr>
        <w:t>60\%</w:t>
      </w:r>
      <w:r>
        <w:rPr>
          <w:color w:val="282C34"/>
          <w:sz w:val="21"/>
        </w:rPr>
        <w:t xml:space="preserve"> of total losses.</w:t>
      </w:r>
    </w:p>
    <w:p>
      <w:pPr>
        <w:spacing w:after="80"/>
      </w:pPr>
      <w:r>
        <w:rPr>
          <w:b/>
          <w:color w:val="282C34"/>
          <w:sz w:val="21"/>
        </w:rPr>
        <w:t>The Trench Revolution</w:t>
      </w:r>
      <w:r>
        <w:rPr>
          <w:color w:val="282C34"/>
          <w:sz w:val="21"/>
        </w:rPr>
        <w:t>:</w:t>
      </w:r>
    </w:p>
    <w:p>
      <w:pPr>
        <w:pStyle w:val="ListNumber"/>
        <w:spacing w:after="40"/>
        <w:ind w:left="360"/>
      </w:pPr>
      <w:r>
        <w:rPr>
          <w:color w:val="282C34"/>
          <w:sz w:val="21"/>
        </w:rPr>
        <w:t xml:space="preserve">Channels are formed </w:t>
      </w:r>
      <w:r>
        <w:rPr>
          <w:b/>
          <w:color w:val="282C34"/>
          <w:sz w:val="21"/>
        </w:rPr>
        <w:t>vertically</w:t>
      </w:r>
      <w:r>
        <w:rPr>
          <w:color w:val="282C34"/>
          <w:sz w:val="21"/>
        </w:rPr>
        <w:t xml:space="preserve"> along the etched sidewalls of the trench.</w:t>
      </w:r>
    </w:p>
    <w:p>
      <w:pPr>
        <w:pStyle w:val="ListNumber"/>
        <w:spacing w:after="40"/>
        <w:ind w:left="360"/>
      </w:pPr>
      <w:r>
        <w:rPr>
          <w:color w:val="282C34"/>
          <w:sz w:val="21"/>
        </w:rPr>
        <w:t>The current flows vertically straight down from the top source into the drift region.</w:t>
      </w:r>
    </w:p>
    <w:p>
      <w:pPr>
        <w:pStyle w:val="ListNumber"/>
        <w:spacing w:after="40"/>
        <w:ind w:left="360"/>
      </w:pPr>
      <w:r>
        <w:rPr>
          <w:color w:val="282C34"/>
          <w:sz w:val="21"/>
        </w:rPr>
        <w:t xml:space="preserve">The parasitic JFET constriction region is </w:t>
      </w:r>
      <w:r>
        <w:rPr>
          <w:b/>
          <w:color w:val="282C34"/>
          <w:sz w:val="21"/>
        </w:rPr>
        <w:t>completely eliminated</w:t>
      </w:r>
      <w:r>
        <w:rPr>
          <w:color w:val="282C34"/>
          <w:sz w:val="21"/>
        </w:rPr>
        <w:t xml:space="preserve"> (</w:t>
      </w:r>
      <w:r>
        <w:rPr>
          <w:i/>
          <w:color w:val="145AA0"/>
          <w:sz w:val="21"/>
        </w:rPr>
        <w:t>R_{JFET \rightarrow 0</w:t>
      </w:r>
      <w:r>
        <w:rPr>
          <w:color w:val="282C34"/>
          <w:sz w:val="21"/>
        </w:rPr>
        <w:t>).</w:t>
      </w:r>
    </w:p>
    <w:p>
      <w:pPr>
        <w:pStyle w:val="ListNumber"/>
        <w:spacing w:after="40"/>
        <w:ind w:left="360"/>
      </w:pPr>
      <w:r>
        <w:rPr>
          <w:color w:val="282C34"/>
          <w:sz w:val="21"/>
        </w:rPr>
        <w:t>The horizontal cell pitch can be shrunk aggressively, packing dramatically more channel width per unit silicon die area.</w:t>
      </w:r>
    </w:p>
    <w:p>
      <w:pPr>
        <w:spacing w:before="80" w:after="80"/>
        <w:pBdr>
          <w:bottom w:val="single" w:sz="6" w:space="1" w:color="E2E8F0"/>
        </w:pBdr>
      </w:pPr>
    </w:p>
    <w:p>
      <w:pPr>
        <w:spacing w:before="240" w:after="120"/>
      </w:pPr>
      <w:r>
        <w:rPr>
          <w:b/>
          <w:color w:val="184C78"/>
          <w:sz w:val="28"/>
        </w:rPr>
        <w:t>2. Advanced Evolution: Shielded Gate Trench (SGT / Split-Gate)</w:t>
      </w:r>
    </w:p>
    <w:p>
      <w:pPr>
        <w:spacing w:after="80"/>
      </w:pPr>
      <w:r>
        <w:rPr>
          <w:color w:val="282C34"/>
          <w:sz w:val="21"/>
        </w:rPr>
        <w:t xml:space="preserve">While standard trench MOSFETs drastically reduced </w:t>
      </w:r>
      <w:r>
        <w:rPr>
          <w:i/>
          <w:color w:val="145AA0"/>
          <w:sz w:val="21"/>
        </w:rPr>
        <w:t>R_{DS(on)</w:t>
      </w:r>
      <w:r>
        <w:rPr>
          <w:color w:val="282C34"/>
          <w:sz w:val="21"/>
        </w:rPr>
        <w:t>, they suffered from large gate-to-drain capacitance (</w:t>
      </w:r>
      <w:r>
        <w:rPr>
          <w:i/>
          <w:color w:val="145AA0"/>
          <w:sz w:val="21"/>
        </w:rPr>
        <w:t>C_{gd / C_{rss</w:t>
      </w:r>
      <w:r>
        <w:rPr>
          <w:color w:val="282C34"/>
          <w:sz w:val="21"/>
        </w:rPr>
        <w:t>) because the bottom of the conductive polysilicon gate was in direct capacitive contact with the high-voltage drain drift region:</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Conventional Trench                    Shielded Gate Trench (SGT)</w:t>
              <w:br/>
              <w:t xml:space="preserve">     ┌─────────────────────┐                   ┌─────────────────────┐</w:t>
              <w:br/>
              <w:t xml:space="preserve">     │  Poly-Si Gate       │                   │  Poly-Si Gate (G)   │</w:t>
              <w:br/>
              <w:t xml:space="preserve">     │  (Full Trench)      │                   ├─────────────────────┤ Thin Oxide</w:t>
              <w:br/>
              <w:t xml:space="preserve">     │                     │                   │ Thick Shield Oxide  │</w:t>
              <w:br/>
              <w:t xml:space="preserve">     │                     │                   ├─────────────────────┤</w:t>
              <w:br/>
              <w:t xml:space="preserve">     │                     │                   │  Shield Poly (S)    │ &lt;-- Tied to SOURCE!</w:t>
              <w:br/>
              <w:t xml:space="preserve">     └─────────────────────┘                   └─────────────────────┘</w:t>
              <w:br/>
              <w:t xml:space="preserve">        High Cgd (Crss)                            Ultra-Low Cgd (Crss)</w:t>
              <w:br/>
              <w:t xml:space="preserve">     Severe Miller Plateau                     Slashes Switching Losses by 60%</w:t>
            </w:r>
          </w:p>
        </w:tc>
      </w:tr>
    </w:tbl>
    <w:p/>
    <w:p>
      <w:pPr>
        <w:spacing w:before="160" w:after="80"/>
      </w:pPr>
      <w:r>
        <w:rPr>
          <w:b/>
          <w:color w:val="4682B4"/>
          <w:sz w:val="24"/>
        </w:rPr>
        <w:t>Advantages of Shielded Gate Trench (SGT):</w:t>
      </w:r>
    </w:p>
    <w:p>
      <w:pPr>
        <w:pStyle w:val="ListNumber"/>
        <w:spacing w:after="40"/>
        <w:ind w:left="360"/>
      </w:pPr>
      <w:r>
        <w:rPr>
          <w:b/>
          <w:color w:val="282C34"/>
          <w:sz w:val="21"/>
        </w:rPr>
        <w:t>$C_{gd}$ Decoupling</w:t>
      </w:r>
      <w:r>
        <w:rPr>
          <w:color w:val="282C34"/>
          <w:sz w:val="21"/>
        </w:rPr>
        <w:t xml:space="preserve">: The bottom portion of the trench houses a second polysilicon electrode tied directly to </w:t>
      </w:r>
      <w:r>
        <w:rPr>
          <w:b/>
          <w:color w:val="282C34"/>
          <w:sz w:val="21"/>
        </w:rPr>
        <w:t>Source potential</w:t>
      </w:r>
      <w:r>
        <w:rPr>
          <w:color w:val="282C34"/>
          <w:sz w:val="21"/>
        </w:rPr>
        <w:t xml:space="preserve"> (Ground in low-side switches). This acts as an electrostatic Faraday shield, dropping Miller capacitance </w:t>
      </w:r>
      <w:r>
        <w:rPr>
          <w:i/>
          <w:color w:val="145AA0"/>
          <w:sz w:val="21"/>
        </w:rPr>
        <w:t>C_{gd</w:t>
      </w:r>
      <w:r>
        <w:rPr>
          <w:color w:val="282C34"/>
          <w:sz w:val="21"/>
        </w:rPr>
        <w:t xml:space="preserve"> by up to </w:t>
      </w:r>
      <w:r>
        <w:rPr>
          <w:i/>
          <w:color w:val="145AA0"/>
          <w:sz w:val="21"/>
        </w:rPr>
        <w:t>70\%</w:t>
      </w:r>
      <w:r>
        <w:rPr>
          <w:color w:val="282C34"/>
          <w:sz w:val="21"/>
        </w:rPr>
        <w:t>.</w:t>
      </w:r>
    </w:p>
    <w:p>
      <w:pPr>
        <w:pStyle w:val="ListNumber"/>
        <w:spacing w:after="40"/>
        <w:ind w:left="360"/>
      </w:pPr>
      <w:r>
        <w:rPr>
          <w:b/>
          <w:color w:val="282C34"/>
          <w:sz w:val="21"/>
        </w:rPr>
        <w:t>Reduced Figure-of-Merit ($FOM = R_{DS(on)} \times Q_g$)</w:t>
      </w:r>
      <w:r>
        <w:rPr>
          <w:color w:val="282C34"/>
          <w:sz w:val="21"/>
        </w:rPr>
        <w:t xml:space="preserve">: Allows power converters to switch at frequencies above </w:t>
      </w:r>
      <w:r>
        <w:rPr>
          <w:i/>
          <w:color w:val="145AA0"/>
          <w:sz w:val="21"/>
        </w:rPr>
        <w:t>1\,MHz</w:t>
      </w:r>
      <w:r>
        <w:rPr>
          <w:color w:val="282C34"/>
          <w:sz w:val="21"/>
        </w:rPr>
        <w:t xml:space="preserve"> with high efficiency.</w:t>
      </w:r>
    </w:p>
    <w:p>
      <w:pPr>
        <w:pStyle w:val="ListNumber"/>
        <w:spacing w:after="40"/>
        <w:ind w:left="360"/>
      </w:pPr>
      <w:r>
        <w:rPr>
          <w:b/>
          <w:color w:val="282C34"/>
          <w:sz w:val="21"/>
        </w:rPr>
        <w:t>Reshaped Electric Field</w:t>
      </w:r>
      <w:r>
        <w:rPr>
          <w:color w:val="282C34"/>
          <w:sz w:val="21"/>
        </w:rPr>
        <w:t>: The shield electrode flattens the vertical electric field profile, allowing a higher-doped (lower resistance) epitaxial drift region for the same breakdown voltage rating.</w:t>
      </w:r>
    </w:p>
    <w:p>
      <w:pPr>
        <w:spacing w:before="80" w:after="80"/>
        <w:pBdr>
          <w:bottom w:val="single" w:sz="6" w:space="1" w:color="E2E8F0"/>
        </w:pBdr>
      </w:pPr>
    </w:p>
    <w:p>
      <w:pPr>
        <w:spacing w:before="240" w:after="120"/>
      </w:pPr>
      <w:r>
        <w:rPr>
          <w:b/>
          <w:color w:val="184C78"/>
          <w:sz w:val="28"/>
        </w:rPr>
        <w:t>3. Top-FET vs. Bottom-FET Selection in Synchronous Buck Converters</w:t>
      </w:r>
    </w:p>
    <w:p>
      <w:pPr>
        <w:spacing w:after="80"/>
      </w:pPr>
      <w:r>
        <w:rPr>
          <w:color w:val="282C34"/>
          <w:sz w:val="21"/>
        </w:rPr>
        <w:t xml:space="preserve">In synchronous step-down (buck) DC-DC converters (e.g., </w:t>
      </w:r>
      <w:r>
        <w:rPr>
          <w:i/>
          <w:color w:val="145AA0"/>
          <w:sz w:val="21"/>
        </w:rPr>
        <w:t>12\,V \rightarrow 1.0\,V</w:t>
      </w:r>
      <w:r>
        <w:rPr>
          <w:color w:val="282C34"/>
          <w:sz w:val="21"/>
        </w:rPr>
        <w:t xml:space="preserve"> for CPU/FPGA Core rails at </w:t>
      </w:r>
      <w:r>
        <w:rPr>
          <w:i/>
          <w:color w:val="145AA0"/>
          <w:sz w:val="21"/>
        </w:rPr>
        <w:t>40\,A</w:t>
      </w:r>
      <w:r>
        <w:rPr>
          <w:color w:val="282C34"/>
          <w:sz w:val="21"/>
        </w:rPr>
        <w:t>), the design requirements for the High-Side (Control FET) and Low-Side (Sync FET) are fundamentally divergent: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+12V Input Rail</w:t>
              <w:br/>
              <w:t xml:space="preserve">                 │</w:t>
              <w:br/>
              <w:t xml:space="preserve">             Drain (D)</w:t>
              <w:br/>
              <w:t xml:space="preserve">             ┌───┴───┐</w:t>
              <w:br/>
              <w:t xml:space="preserve">             │       │ High-Side MOSFET (Control FET)</w:t>
              <w:br/>
              <w:t xml:space="preserve">    PWM_HS ──┤  HS   │ Duty cycle D = Vout / Vin = 1V / 12V = 8.3%</w:t>
              <w:br/>
              <w:t xml:space="preserve">             └───┬───┘</w:t>
              <w:br/>
              <w:t xml:space="preserve">                 │</w:t>
              <w:br/>
              <w:t xml:space="preserve">                 ├── Switch Node (SW) ──[ Inductor L ]──┬──&gt; +1.0V Vcore</w:t>
              <w:br/>
              <w:t xml:space="preserve">                 │                                      │</w:t>
              <w:br/>
              <w:t xml:space="preserve">             Drain (D)                                [Cap]</w:t>
              <w:br/>
              <w:t xml:space="preserve">             ┌───┴───┐                                  │</w:t>
              <w:br/>
              <w:t xml:space="preserve">             │       │ Low-Side MOSFET (Sync FET)      GND</w:t>
              <w:br/>
              <w:t xml:space="preserve">    PWM_LS ──┤  LS   │ Duty cycle (1 - D) = 91.7%</w:t>
              <w:br/>
              <w:t xml:space="preserve">             └───┬───┘</w:t>
              <w:br/>
              <w:t xml:space="preserve">                 │ Source (S)</w:t>
              <w:br/>
              <w:t xml:space="preserve">                GND</w:t>
            </w:r>
          </w:p>
        </w:tc>
      </w:tr>
    </w:tbl>
    <w:p/>
    <w:p>
      <w:pPr>
        <w:spacing w:before="160" w:after="80"/>
      </w:pPr>
      <w:r>
        <w:rPr>
          <w:b/>
          <w:color w:val="4682B4"/>
          <w:sz w:val="24"/>
        </w:rPr>
        <w:t>Engineering Trade-Offs:</w:t>
      </w:r>
    </w:p>
    <w:p>
      <w:pPr>
        <w:pStyle w:val="ListNumber"/>
        <w:spacing w:after="40"/>
        <w:ind w:left="360"/>
      </w:pPr>
      <w:r>
        <w:rPr>
          <w:b/>
          <w:color w:val="282C34"/>
          <w:sz w:val="21"/>
        </w:rPr>
        <w:t>High-Side (HS) Control FET</w:t>
      </w:r>
      <w:r>
        <w:rPr>
          <w:color w:val="282C34"/>
          <w:sz w:val="21"/>
        </w:rPr>
        <w:t>:</w:t>
      </w:r>
    </w:p>
    <w:p>
      <w:pPr>
        <w:pStyle w:val="ListBullet"/>
        <w:spacing w:after="40"/>
        <w:ind w:left="720"/>
      </w:pPr>
      <w:r>
        <w:rPr>
          <w:color w:val="282C34"/>
          <w:sz w:val="21"/>
        </w:rPr>
        <w:t xml:space="preserve">Operates for only </w:t>
      </w:r>
      <w:r>
        <w:rPr>
          <w:i/>
          <w:color w:val="145AA0"/>
          <w:sz w:val="21"/>
        </w:rPr>
        <w:t>8.3\%</w:t>
      </w:r>
      <w:r>
        <w:rPr>
          <w:color w:val="282C34"/>
          <w:sz w:val="21"/>
        </w:rPr>
        <w:t xml:space="preserve"> of the time.</w:t>
      </w:r>
    </w:p>
    <w:p>
      <w:pPr>
        <w:pStyle w:val="ListBullet"/>
        <w:spacing w:after="40"/>
        <w:ind w:left="720"/>
      </w:pPr>
      <w:r>
        <w:rPr>
          <w:color w:val="282C34"/>
          <w:sz w:val="21"/>
        </w:rPr>
        <w:t xml:space="preserve">Dominated by </w:t>
      </w:r>
      <w:r>
        <w:rPr>
          <w:b/>
          <w:color w:val="282C34"/>
          <w:sz w:val="21"/>
        </w:rPr>
        <w:t>switching losses</w:t>
      </w:r>
      <w:r>
        <w:rPr>
          <w:color w:val="282C34"/>
          <w:sz w:val="21"/>
        </w:rPr>
        <w:t xml:space="preserve"> (</w:t>
      </w:r>
      <w:r>
        <w:rPr>
          <w:i/>
          <w:color w:val="145AA0"/>
          <w:sz w:val="21"/>
        </w:rPr>
        <w:t>P_{sw \propto Q_g, Q_{gd</w:t>
      </w:r>
      <w:r>
        <w:rPr>
          <w:color w:val="282C34"/>
          <w:sz w:val="21"/>
        </w:rPr>
        <w:t>).</w:t>
      </w:r>
    </w:p>
    <w:p>
      <w:pPr>
        <w:pStyle w:val="ListBullet"/>
        <w:spacing w:after="40"/>
        <w:ind w:left="720"/>
      </w:pPr>
      <w:r>
        <w:rPr>
          <w:b/>
          <w:color w:val="282C34"/>
          <w:sz w:val="21"/>
        </w:rPr>
        <w:t>Optimization Target</w:t>
      </w:r>
      <w:r>
        <w:rPr>
          <w:color w:val="282C34"/>
          <w:sz w:val="21"/>
        </w:rPr>
        <w:t xml:space="preserve">: Choose an SGT trench MOSFET with lowest possible </w:t>
      </w:r>
      <w:r>
        <w:rPr>
          <w:i/>
          <w:color w:val="145AA0"/>
          <w:sz w:val="21"/>
        </w:rPr>
        <w:t>Q_{gd</w:t>
      </w:r>
      <w:r>
        <w:rPr>
          <w:color w:val="282C34"/>
          <w:sz w:val="21"/>
        </w:rPr>
        <w:t xml:space="preserve"> and </w:t>
      </w:r>
      <w:r>
        <w:rPr>
          <w:i/>
          <w:color w:val="145AA0"/>
          <w:sz w:val="21"/>
        </w:rPr>
        <w:t>Q_g</w:t>
      </w:r>
      <w:r>
        <w:rPr>
          <w:color w:val="282C34"/>
          <w:sz w:val="21"/>
        </w:rPr>
        <w:t xml:space="preserve">, even if </w:t>
      </w:r>
      <w:r>
        <w:rPr>
          <w:i/>
          <w:color w:val="145AA0"/>
          <w:sz w:val="21"/>
        </w:rPr>
        <w:t>R_{DS(on)</w:t>
      </w:r>
      <w:r>
        <w:rPr>
          <w:color w:val="282C34"/>
          <w:sz w:val="21"/>
        </w:rPr>
        <w:t xml:space="preserve"> is slightly higher (e.g., </w:t>
      </w:r>
      <w:r>
        <w:rPr>
          <w:i/>
          <w:color w:val="145AA0"/>
          <w:sz w:val="21"/>
        </w:rPr>
        <w:t>5\,m\Omega - 10\,m\Omega</w:t>
      </w:r>
      <w:r>
        <w:rPr>
          <w:color w:val="282C34"/>
          <w:sz w:val="21"/>
        </w:rPr>
        <w:t>).</w:t>
      </w:r>
    </w:p>
    <w:p>
      <w:pPr>
        <w:pStyle w:val="ListNumber"/>
        <w:spacing w:after="40"/>
        <w:ind w:left="360"/>
      </w:pPr>
      <w:r>
        <w:rPr>
          <w:b/>
          <w:color w:val="282C34"/>
          <w:sz w:val="21"/>
        </w:rPr>
        <w:t>Low-Side (LS) Synchronous Rectifier FET</w:t>
      </w:r>
      <w:r>
        <w:rPr>
          <w:color w:val="282C34"/>
          <w:sz w:val="21"/>
        </w:rPr>
        <w:t>:</w:t>
      </w:r>
    </w:p>
    <w:p>
      <w:pPr>
        <w:pStyle w:val="ListBullet"/>
        <w:spacing w:after="40"/>
        <w:ind w:left="720"/>
      </w:pPr>
      <w:r>
        <w:rPr>
          <w:color w:val="282C34"/>
          <w:sz w:val="21"/>
        </w:rPr>
        <w:t xml:space="preserve">Operates for </w:t>
      </w:r>
      <w:r>
        <w:rPr>
          <w:i/>
          <w:color w:val="145AA0"/>
          <w:sz w:val="21"/>
        </w:rPr>
        <w:t>91.7\%</w:t>
      </w:r>
      <w:r>
        <w:rPr>
          <w:color w:val="282C34"/>
          <w:sz w:val="21"/>
        </w:rPr>
        <w:t xml:space="preserve"> of the time.</w:t>
      </w:r>
    </w:p>
    <w:p>
      <w:pPr>
        <w:pStyle w:val="ListBullet"/>
        <w:spacing w:after="40"/>
        <w:ind w:left="720"/>
      </w:pPr>
      <w:r>
        <w:rPr>
          <w:color w:val="282C34"/>
          <w:sz w:val="21"/>
        </w:rPr>
        <w:t xml:space="preserve">Dominated by </w:t>
      </w:r>
      <w:r>
        <w:rPr>
          <w:b/>
          <w:color w:val="282C34"/>
          <w:sz w:val="21"/>
        </w:rPr>
        <w:t>conduction losses</w:t>
      </w:r>
      <w:r>
        <w:rPr>
          <w:color w:val="282C34"/>
          <w:sz w:val="21"/>
        </w:rPr>
        <w:t xml:space="preserve"> (</w:t>
      </w:r>
      <w:r>
        <w:rPr>
          <w:i/>
          <w:color w:val="145AA0"/>
          <w:sz w:val="21"/>
        </w:rPr>
        <w:t>P_{cond = I_{rms^2 \cdot R_{DS(on)</w:t>
      </w:r>
      <w:r>
        <w:rPr>
          <w:color w:val="282C34"/>
          <w:sz w:val="21"/>
        </w:rPr>
        <w:t>).</w:t>
      </w:r>
    </w:p>
    <w:p>
      <w:pPr>
        <w:pStyle w:val="ListBullet"/>
        <w:spacing w:after="40"/>
        <w:ind w:left="720"/>
      </w:pPr>
      <w:r>
        <w:rPr>
          <w:b/>
          <w:color w:val="282C34"/>
          <w:sz w:val="21"/>
        </w:rPr>
        <w:t>Optimization Target</w:t>
      </w:r>
      <w:r>
        <w:rPr>
          <w:color w:val="282C34"/>
          <w:sz w:val="21"/>
        </w:rPr>
        <w:t xml:space="preserve">: Minimize </w:t>
      </w:r>
      <w:r>
        <w:rPr>
          <w:i/>
          <w:color w:val="145AA0"/>
          <w:sz w:val="21"/>
        </w:rPr>
        <w:t>R_{DS(on)</w:t>
      </w:r>
      <w:r>
        <w:rPr>
          <w:color w:val="282C34"/>
          <w:sz w:val="21"/>
        </w:rPr>
        <w:t xml:space="preserve"> at all costs (e.g., </w:t>
      </w:r>
      <w:r>
        <w:rPr>
          <w:i/>
          <w:color w:val="145AA0"/>
          <w:sz w:val="21"/>
        </w:rPr>
        <w:t>&lt; 1.5\,m\Omega</w:t>
      </w:r>
      <w:r>
        <w:rPr>
          <w:color w:val="282C34"/>
          <w:sz w:val="21"/>
        </w:rPr>
        <w:t>).</w:t>
      </w:r>
    </w:p>
    <w:p>
      <w:pPr>
        <w:pStyle w:val="ListBullet"/>
        <w:spacing w:after="40"/>
        <w:ind w:left="720"/>
      </w:pPr>
      <w:r>
        <w:rPr>
          <w:b/>
          <w:color w:val="282C34"/>
          <w:sz w:val="21"/>
        </w:rPr>
        <w:t>Crucial Anti-Shoot-Through Ratio</w:t>
      </w:r>
      <w:r>
        <w:rPr>
          <w:color w:val="282C34"/>
          <w:sz w:val="21"/>
        </w:rPr>
        <w:t xml:space="preserve">: Must guarantee </w:t>
      </w:r>
      <w:r>
        <w:rPr>
          <w:i/>
          <w:color w:val="145AA0"/>
          <w:sz w:val="21"/>
        </w:rPr>
        <w:t>\frac{C_{gs{C_{gd &gt; 2.0</w:t>
      </w:r>
      <w:r>
        <w:rPr>
          <w:color w:val="282C34"/>
          <w:sz w:val="21"/>
        </w:rPr>
        <w:t>. If the switch node swings abruptly (</w:t>
      </w:r>
      <w:r>
        <w:rPr>
          <w:i/>
          <w:color w:val="145AA0"/>
          <w:sz w:val="21"/>
        </w:rPr>
        <w:t>dv/dt &gt; 20\,V/ns</w:t>
      </w:r>
      <w:r>
        <w:rPr>
          <w:color w:val="282C34"/>
          <w:sz w:val="21"/>
        </w:rPr>
        <w:t xml:space="preserve">) when the High-Side FET turns on, displacement current through </w:t>
      </w:r>
      <w:r>
        <w:rPr>
          <w:i/>
          <w:color w:val="145AA0"/>
          <w:sz w:val="21"/>
        </w:rPr>
        <w:t>C_{gd</w:t>
      </w:r>
      <w:r>
        <w:rPr>
          <w:color w:val="282C34"/>
          <w:sz w:val="21"/>
        </w:rPr>
        <w:t xml:space="preserve"> injects charge into the Low-Side gate. If </w:t>
      </w:r>
      <w:r>
        <w:rPr>
          <w:i/>
          <w:color w:val="145AA0"/>
          <w:sz w:val="21"/>
        </w:rPr>
        <w:t>C_{gs</w:t>
      </w:r>
      <w:r>
        <w:rPr>
          <w:color w:val="282C34"/>
          <w:sz w:val="21"/>
        </w:rPr>
        <w:t xml:space="preserve"> is insufficient, </w:t>
      </w:r>
      <w:r>
        <w:rPr>
          <w:i/>
          <w:color w:val="145AA0"/>
          <w:sz w:val="21"/>
        </w:rPr>
        <w:t>V_{GS(LS)</w:t>
      </w:r>
      <w:r>
        <w:rPr>
          <w:color w:val="282C34"/>
          <w:sz w:val="21"/>
        </w:rPr>
        <w:t xml:space="preserve"> bounces above </w:t>
      </w:r>
      <w:r>
        <w:rPr>
          <w:i/>
          <w:color w:val="145AA0"/>
          <w:sz w:val="21"/>
        </w:rPr>
        <w:t>V_{TH</w:t>
      </w:r>
      <w:r>
        <w:rPr>
          <w:color w:val="282C34"/>
          <w:sz w:val="21"/>
        </w:rPr>
        <w:t>, causing instantaneous bridge shoot-through and catastrophic destruction.</w:t>
      </w:r>
    </w:p>
    <w:p>
      <w:pPr>
        <w:spacing w:before="80" w:after="80"/>
        <w:pBdr>
          <w:bottom w:val="single" w:sz="6" w:space="1" w:color="E2E8F0"/>
        </w:pBdr>
      </w:pPr>
    </w:p>
    <w:p>
      <w:pPr>
        <w:spacing w:before="240" w:after="120"/>
      </w:pPr>
      <w:r>
        <w:rPr>
          <w:b/>
          <w:color w:val="184C78"/>
          <w:sz w:val="28"/>
        </w:rPr>
        <w:t>4. Commercial Part Catalog &amp; Selection</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224"/>
        <w:gridCol w:w="1224"/>
        <w:gridCol w:w="1224"/>
        <w:gridCol w:w="1224"/>
        <w:gridCol w:w="1224"/>
        <w:gridCol w:w="1224"/>
        <w:gridCol w:w="1224"/>
        <w:gridCol w:w="1224"/>
      </w:tblGrid>
      <w:tr>
        <w:tc>
          <w:tcPr>
            <w:tcW w:type="dxa" w:w="1224"/>
            <w:shd w:fill="204A6E"/>
            <w:tcMar>
              <w:top w:w="100" w:type="dxa"/>
              <w:bottom w:w="100" w:type="dxa"/>
              <w:left w:w="120" w:type="dxa"/>
              <w:right w:w="120" w:type="dxa"/>
            </w:tcMar>
            <w:vAlign w:val="center"/>
          </w:tcPr>
          <w:p>
            <w:pPr>
              <w:spacing w:after="0"/>
            </w:pPr>
            <w:r>
              <w:rPr>
                <w:b/>
                <w:color w:val="FFFFFF"/>
                <w:sz w:val="19"/>
              </w:rPr>
              <w:t>Part Number</w:t>
            </w:r>
          </w:p>
        </w:tc>
        <w:tc>
          <w:tcPr>
            <w:tcW w:type="dxa" w:w="1224"/>
            <w:shd w:fill="204A6E"/>
            <w:tcMar>
              <w:top w:w="100" w:type="dxa"/>
              <w:bottom w:w="100" w:type="dxa"/>
              <w:left w:w="120" w:type="dxa"/>
              <w:right w:w="120" w:type="dxa"/>
            </w:tcMar>
            <w:vAlign w:val="center"/>
          </w:tcPr>
          <w:p>
            <w:pPr>
              <w:spacing w:after="0"/>
            </w:pPr>
            <w:r>
              <w:rPr>
                <w:b/>
                <w:color w:val="FFFFFF"/>
                <w:sz w:val="19"/>
              </w:rPr>
              <w:t>Manufacturer</w:t>
            </w:r>
          </w:p>
        </w:tc>
        <w:tc>
          <w:tcPr>
            <w:tcW w:type="dxa" w:w="1224"/>
            <w:shd w:fill="204A6E"/>
            <w:tcMar>
              <w:top w:w="100" w:type="dxa"/>
              <w:bottom w:w="100" w:type="dxa"/>
              <w:left w:w="120" w:type="dxa"/>
              <w:right w:w="120" w:type="dxa"/>
            </w:tcMar>
            <w:vAlign w:val="center"/>
          </w:tcPr>
          <w:p>
            <w:pPr>
              <w:spacing w:after="0"/>
            </w:pPr>
            <w:r>
              <w:rPr>
                <w:b/>
                <w:color w:val="FFFFFF"/>
                <w:sz w:val="19"/>
              </w:rPr>
              <w:t>Package</w:t>
            </w:r>
          </w:p>
        </w:tc>
        <w:tc>
          <w:tcPr>
            <w:tcW w:type="dxa" w:w="1224"/>
            <w:shd w:fill="204A6E"/>
            <w:tcMar>
              <w:top w:w="100" w:type="dxa"/>
              <w:bottom w:w="100" w:type="dxa"/>
              <w:left w:w="120" w:type="dxa"/>
              <w:right w:w="120" w:type="dxa"/>
            </w:tcMar>
            <w:vAlign w:val="center"/>
          </w:tcPr>
          <w:p>
            <w:pPr>
              <w:spacing w:after="0"/>
            </w:pPr>
            <w:r>
              <w:rPr>
                <w:b/>
                <w:i/>
                <w:color w:val="145AA0"/>
                <w:sz w:val="19"/>
              </w:rPr>
              <w:t>V_{DS(max)</w:t>
            </w:r>
          </w:p>
        </w:tc>
        <w:tc>
          <w:tcPr>
            <w:tcW w:type="dxa" w:w="1224"/>
            <w:shd w:fill="204A6E"/>
            <w:tcMar>
              <w:top w:w="100" w:type="dxa"/>
              <w:bottom w:w="100" w:type="dxa"/>
              <w:left w:w="120" w:type="dxa"/>
              <w:right w:w="120" w:type="dxa"/>
            </w:tcMar>
            <w:vAlign w:val="center"/>
          </w:tcPr>
          <w:p>
            <w:pPr>
              <w:spacing w:after="0"/>
            </w:pPr>
            <w:r>
              <w:rPr>
                <w:b/>
                <w:i/>
                <w:color w:val="145AA0"/>
                <w:sz w:val="19"/>
              </w:rPr>
              <w:t>I_{D(max)</w:t>
            </w:r>
          </w:p>
        </w:tc>
        <w:tc>
          <w:tcPr>
            <w:tcW w:type="dxa" w:w="1224"/>
            <w:shd w:fill="204A6E"/>
            <w:tcMar>
              <w:top w:w="100" w:type="dxa"/>
              <w:bottom w:w="100" w:type="dxa"/>
              <w:left w:w="120" w:type="dxa"/>
              <w:right w:w="120" w:type="dxa"/>
            </w:tcMar>
            <w:vAlign w:val="center"/>
          </w:tcPr>
          <w:p>
            <w:pPr>
              <w:spacing w:after="0"/>
            </w:pPr>
            <w:r>
              <w:rPr>
                <w:b/>
                <w:i/>
                <w:color w:val="145AA0"/>
                <w:sz w:val="19"/>
              </w:rPr>
              <w:t>R_{DS(on)</w:t>
            </w:r>
            <w:r>
              <w:rPr>
                <w:b/>
                <w:color w:val="FFFFFF"/>
                <w:sz w:val="19"/>
              </w:rPr>
              <w:t xml:space="preserve"> (@10V)</w:t>
            </w:r>
          </w:p>
        </w:tc>
        <w:tc>
          <w:tcPr>
            <w:tcW w:type="dxa" w:w="1224"/>
            <w:shd w:fill="204A6E"/>
            <w:tcMar>
              <w:top w:w="100" w:type="dxa"/>
              <w:bottom w:w="100" w:type="dxa"/>
              <w:left w:w="120" w:type="dxa"/>
              <w:right w:w="120" w:type="dxa"/>
            </w:tcMar>
            <w:vAlign w:val="center"/>
          </w:tcPr>
          <w:p>
            <w:pPr>
              <w:spacing w:after="0"/>
            </w:pPr>
            <w:r>
              <w:rPr>
                <w:b/>
                <w:i/>
                <w:color w:val="145AA0"/>
                <w:sz w:val="19"/>
              </w:rPr>
              <w:t>Q_g</w:t>
            </w:r>
            <w:r>
              <w:rPr>
                <w:b/>
                <w:color w:val="FFFFFF"/>
                <w:sz w:val="19"/>
              </w:rPr>
              <w:t xml:space="preserve"> (Typ)</w:t>
            </w:r>
          </w:p>
        </w:tc>
        <w:tc>
          <w:tcPr>
            <w:tcW w:type="dxa" w:w="1224"/>
            <w:shd w:fill="204A6E"/>
            <w:tcMar>
              <w:top w:w="100" w:type="dxa"/>
              <w:bottom w:w="100" w:type="dxa"/>
              <w:left w:w="120" w:type="dxa"/>
              <w:right w:w="120" w:type="dxa"/>
            </w:tcMar>
            <w:vAlign w:val="center"/>
          </w:tcPr>
          <w:p>
            <w:pPr>
              <w:spacing w:after="0"/>
            </w:pPr>
            <w:r>
              <w:rPr>
                <w:b/>
                <w:color w:val="FFFFFF"/>
                <w:sz w:val="19"/>
              </w:rPr>
              <w:t>Target Application</w:t>
            </w:r>
          </w:p>
        </w:tc>
      </w:tr>
      <w:tr>
        <w:tc>
          <w:tcPr>
            <w:tcW w:type="dxa" w:w="1224"/>
            <w:tcMar>
              <w:top w:w="80" w:type="dxa"/>
              <w:bottom w:w="80" w:type="dxa"/>
              <w:left w:w="120" w:type="dxa"/>
              <w:right w:w="120" w:type="dxa"/>
            </w:tcMar>
            <w:vAlign w:val="center"/>
          </w:tcPr>
          <w:p>
            <w:pPr>
              <w:spacing w:after="0"/>
            </w:pPr>
            <w:r>
              <w:rPr>
                <w:b/>
                <w:color w:val="282C34"/>
                <w:sz w:val="18"/>
              </w:rPr>
              <w:t>CSD18534Q5A</w:t>
            </w:r>
          </w:p>
        </w:tc>
        <w:tc>
          <w:tcPr>
            <w:tcW w:type="dxa" w:w="1224"/>
            <w:tcMar>
              <w:top w:w="80" w:type="dxa"/>
              <w:bottom w:w="80" w:type="dxa"/>
              <w:left w:w="120" w:type="dxa"/>
              <w:right w:w="120" w:type="dxa"/>
            </w:tcMar>
            <w:vAlign w:val="center"/>
          </w:tcPr>
          <w:p>
            <w:pPr>
              <w:spacing w:after="0"/>
            </w:pPr>
            <w:r>
              <w:rPr>
                <w:color w:val="282C34"/>
                <w:sz w:val="18"/>
              </w:rPr>
              <w:t>Texas Instruments</w:t>
            </w:r>
          </w:p>
        </w:tc>
        <w:tc>
          <w:tcPr>
            <w:tcW w:type="dxa" w:w="1224"/>
            <w:tcMar>
              <w:top w:w="80" w:type="dxa"/>
              <w:bottom w:w="80" w:type="dxa"/>
              <w:left w:w="120" w:type="dxa"/>
              <w:right w:w="120" w:type="dxa"/>
            </w:tcMar>
            <w:vAlign w:val="center"/>
          </w:tcPr>
          <w:p>
            <w:pPr>
              <w:spacing w:after="0"/>
            </w:pPr>
            <w:r>
              <w:rPr>
                <w:color w:val="282C34"/>
                <w:sz w:val="18"/>
              </w:rPr>
              <w:t xml:space="preserve">SON </w:t>
            </w:r>
            <w:r>
              <w:rPr>
                <w:i/>
                <w:color w:val="145AA0"/>
                <w:sz w:val="18"/>
              </w:rPr>
              <w:t>5× 6</w:t>
            </w:r>
            <w:r>
              <w:rPr>
                <w:color w:val="282C34"/>
                <w:sz w:val="18"/>
              </w:rPr>
              <w:t xml:space="preserve"> mm</w:t>
            </w:r>
          </w:p>
        </w:tc>
        <w:tc>
          <w:tcPr>
            <w:tcW w:type="dxa" w:w="1224"/>
            <w:tcMar>
              <w:top w:w="80" w:type="dxa"/>
              <w:bottom w:w="80" w:type="dxa"/>
              <w:left w:w="120" w:type="dxa"/>
              <w:right w:w="120" w:type="dxa"/>
            </w:tcMar>
            <w:vAlign w:val="center"/>
          </w:tcPr>
          <w:p>
            <w:pPr>
              <w:spacing w:after="0"/>
            </w:pPr>
            <w:r>
              <w:rPr>
                <w:i/>
                <w:color w:val="145AA0"/>
                <w:sz w:val="18"/>
              </w:rPr>
              <w:t>60\,V</w:t>
            </w:r>
          </w:p>
        </w:tc>
        <w:tc>
          <w:tcPr>
            <w:tcW w:type="dxa" w:w="1224"/>
            <w:tcMar>
              <w:top w:w="80" w:type="dxa"/>
              <w:bottom w:w="80" w:type="dxa"/>
              <w:left w:w="120" w:type="dxa"/>
              <w:right w:w="120" w:type="dxa"/>
            </w:tcMar>
            <w:vAlign w:val="center"/>
          </w:tcPr>
          <w:p>
            <w:pPr>
              <w:spacing w:after="0"/>
            </w:pPr>
            <w:r>
              <w:rPr>
                <w:i/>
                <w:color w:val="145AA0"/>
                <w:sz w:val="18"/>
              </w:rPr>
              <w:t>100\,A</w:t>
            </w:r>
          </w:p>
        </w:tc>
        <w:tc>
          <w:tcPr>
            <w:tcW w:type="dxa" w:w="1224"/>
            <w:tcMar>
              <w:top w:w="80" w:type="dxa"/>
              <w:bottom w:w="80" w:type="dxa"/>
              <w:left w:w="120" w:type="dxa"/>
              <w:right w:w="120" w:type="dxa"/>
            </w:tcMar>
            <w:vAlign w:val="center"/>
          </w:tcPr>
          <w:p>
            <w:pPr>
              <w:spacing w:after="0"/>
            </w:pPr>
            <w:r>
              <w:rPr>
                <w:i/>
                <w:color w:val="145AA0"/>
                <w:sz w:val="18"/>
              </w:rPr>
              <w:t>7.8\,m\Omega</w:t>
            </w:r>
          </w:p>
        </w:tc>
        <w:tc>
          <w:tcPr>
            <w:tcW w:type="dxa" w:w="1224"/>
            <w:tcMar>
              <w:top w:w="80" w:type="dxa"/>
              <w:bottom w:w="80" w:type="dxa"/>
              <w:left w:w="120" w:type="dxa"/>
              <w:right w:w="120" w:type="dxa"/>
            </w:tcMar>
            <w:vAlign w:val="center"/>
          </w:tcPr>
          <w:p>
            <w:pPr>
              <w:spacing w:after="0"/>
            </w:pPr>
            <w:r>
              <w:rPr>
                <w:i/>
                <w:color w:val="145AA0"/>
                <w:sz w:val="18"/>
              </w:rPr>
              <w:t>13.5\,nC</w:t>
            </w:r>
          </w:p>
        </w:tc>
        <w:tc>
          <w:tcPr>
            <w:tcW w:type="dxa" w:w="1224"/>
            <w:tcMar>
              <w:top w:w="80" w:type="dxa"/>
              <w:bottom w:w="80" w:type="dxa"/>
              <w:left w:w="120" w:type="dxa"/>
              <w:right w:w="120" w:type="dxa"/>
            </w:tcMar>
            <w:vAlign w:val="center"/>
          </w:tcPr>
          <w:p>
            <w:pPr>
              <w:spacing w:after="0"/>
            </w:pPr>
            <w:r>
              <w:rPr>
                <w:color w:val="282C34"/>
                <w:sz w:val="18"/>
              </w:rPr>
              <w:t>24V/48V telecom buck, motor drives</w:t>
            </w:r>
          </w:p>
        </w:tc>
      </w:tr>
      <w:tr>
        <w:tc>
          <w:tcPr>
            <w:tcW w:type="dxa" w:w="1224"/>
            <w:shd w:fill="F4F7F9"/>
            <w:tcMar>
              <w:top w:w="80" w:type="dxa"/>
              <w:bottom w:w="80" w:type="dxa"/>
              <w:left w:w="120" w:type="dxa"/>
              <w:right w:w="120" w:type="dxa"/>
            </w:tcMar>
            <w:vAlign w:val="center"/>
          </w:tcPr>
          <w:p>
            <w:pPr>
              <w:spacing w:after="0"/>
            </w:pPr>
            <w:r>
              <w:rPr>
                <w:b/>
                <w:color w:val="282C34"/>
                <w:sz w:val="18"/>
              </w:rPr>
              <w:t>BSC014N04LS</w:t>
            </w:r>
          </w:p>
        </w:tc>
        <w:tc>
          <w:tcPr>
            <w:tcW w:type="dxa" w:w="1224"/>
            <w:shd w:fill="F4F7F9"/>
            <w:tcMar>
              <w:top w:w="80" w:type="dxa"/>
              <w:bottom w:w="80" w:type="dxa"/>
              <w:left w:w="120" w:type="dxa"/>
              <w:right w:w="120" w:type="dxa"/>
            </w:tcMar>
            <w:vAlign w:val="center"/>
          </w:tcPr>
          <w:p>
            <w:pPr>
              <w:spacing w:after="0"/>
            </w:pPr>
            <w:r>
              <w:rPr>
                <w:color w:val="282C34"/>
                <w:sz w:val="18"/>
              </w:rPr>
              <w:t>Infineon (OptiMOS)</w:t>
            </w:r>
          </w:p>
        </w:tc>
        <w:tc>
          <w:tcPr>
            <w:tcW w:type="dxa" w:w="1224"/>
            <w:shd w:fill="F4F7F9"/>
            <w:tcMar>
              <w:top w:w="80" w:type="dxa"/>
              <w:bottom w:w="80" w:type="dxa"/>
              <w:left w:w="120" w:type="dxa"/>
              <w:right w:w="120" w:type="dxa"/>
            </w:tcMar>
            <w:vAlign w:val="center"/>
          </w:tcPr>
          <w:p>
            <w:pPr>
              <w:spacing w:after="0"/>
            </w:pPr>
            <w:r>
              <w:rPr>
                <w:color w:val="282C34"/>
                <w:sz w:val="18"/>
              </w:rPr>
              <w:t>SuperSO8</w:t>
            </w:r>
          </w:p>
        </w:tc>
        <w:tc>
          <w:tcPr>
            <w:tcW w:type="dxa" w:w="1224"/>
            <w:shd w:fill="F4F7F9"/>
            <w:tcMar>
              <w:top w:w="80" w:type="dxa"/>
              <w:bottom w:w="80" w:type="dxa"/>
              <w:left w:w="120" w:type="dxa"/>
              <w:right w:w="120" w:type="dxa"/>
            </w:tcMar>
            <w:vAlign w:val="center"/>
          </w:tcPr>
          <w:p>
            <w:pPr>
              <w:spacing w:after="0"/>
            </w:pPr>
            <w:r>
              <w:rPr>
                <w:i/>
                <w:color w:val="145AA0"/>
                <w:sz w:val="18"/>
              </w:rPr>
              <w:t>40\,V</w:t>
            </w:r>
          </w:p>
        </w:tc>
        <w:tc>
          <w:tcPr>
            <w:tcW w:type="dxa" w:w="1224"/>
            <w:shd w:fill="F4F7F9"/>
            <w:tcMar>
              <w:top w:w="80" w:type="dxa"/>
              <w:bottom w:w="80" w:type="dxa"/>
              <w:left w:w="120" w:type="dxa"/>
              <w:right w:w="120" w:type="dxa"/>
            </w:tcMar>
            <w:vAlign w:val="center"/>
          </w:tcPr>
          <w:p>
            <w:pPr>
              <w:spacing w:after="0"/>
            </w:pPr>
            <w:r>
              <w:rPr>
                <w:i/>
                <w:color w:val="145AA0"/>
                <w:sz w:val="18"/>
              </w:rPr>
              <w:t>198\,A</w:t>
            </w:r>
          </w:p>
        </w:tc>
        <w:tc>
          <w:tcPr>
            <w:tcW w:type="dxa" w:w="1224"/>
            <w:shd w:fill="F4F7F9"/>
            <w:tcMar>
              <w:top w:w="80" w:type="dxa"/>
              <w:bottom w:w="80" w:type="dxa"/>
              <w:left w:w="120" w:type="dxa"/>
              <w:right w:w="120" w:type="dxa"/>
            </w:tcMar>
            <w:vAlign w:val="center"/>
          </w:tcPr>
          <w:p>
            <w:pPr>
              <w:spacing w:after="0"/>
            </w:pPr>
            <w:r>
              <w:rPr>
                <w:i/>
                <w:color w:val="145AA0"/>
                <w:sz w:val="18"/>
              </w:rPr>
              <w:t>1.4\,m\Omega</w:t>
            </w:r>
          </w:p>
        </w:tc>
        <w:tc>
          <w:tcPr>
            <w:tcW w:type="dxa" w:w="1224"/>
            <w:shd w:fill="F4F7F9"/>
            <w:tcMar>
              <w:top w:w="80" w:type="dxa"/>
              <w:bottom w:w="80" w:type="dxa"/>
              <w:left w:w="120" w:type="dxa"/>
              <w:right w:w="120" w:type="dxa"/>
            </w:tcMar>
            <w:vAlign w:val="center"/>
          </w:tcPr>
          <w:p>
            <w:pPr>
              <w:spacing w:after="0"/>
            </w:pPr>
            <w:r>
              <w:rPr>
                <w:i/>
                <w:color w:val="145AA0"/>
                <w:sz w:val="18"/>
              </w:rPr>
              <w:t>49\,nC</w:t>
            </w:r>
          </w:p>
        </w:tc>
        <w:tc>
          <w:tcPr>
            <w:tcW w:type="dxa" w:w="1224"/>
            <w:shd w:fill="F4F7F9"/>
            <w:tcMar>
              <w:top w:w="80" w:type="dxa"/>
              <w:bottom w:w="80" w:type="dxa"/>
              <w:left w:w="120" w:type="dxa"/>
              <w:right w:w="120" w:type="dxa"/>
            </w:tcMar>
            <w:vAlign w:val="center"/>
          </w:tcPr>
          <w:p>
            <w:pPr>
              <w:spacing w:after="0"/>
            </w:pPr>
            <w:r>
              <w:rPr>
                <w:color w:val="282C34"/>
                <w:sz w:val="18"/>
              </w:rPr>
              <w:t>Server CPU VRM low-side sync rectifier</w:t>
            </w:r>
          </w:p>
        </w:tc>
      </w:tr>
      <w:tr>
        <w:tc>
          <w:tcPr>
            <w:tcW w:type="dxa" w:w="1224"/>
            <w:tcMar>
              <w:top w:w="80" w:type="dxa"/>
              <w:bottom w:w="80" w:type="dxa"/>
              <w:left w:w="120" w:type="dxa"/>
              <w:right w:w="120" w:type="dxa"/>
            </w:tcMar>
            <w:vAlign w:val="center"/>
          </w:tcPr>
          <w:p>
            <w:pPr>
              <w:spacing w:after="0"/>
            </w:pPr>
            <w:r>
              <w:rPr>
                <w:b/>
                <w:color w:val="282C34"/>
                <w:sz w:val="18"/>
              </w:rPr>
              <w:t>IPB014N06N</w:t>
            </w:r>
          </w:p>
        </w:tc>
        <w:tc>
          <w:tcPr>
            <w:tcW w:type="dxa" w:w="1224"/>
            <w:tcMar>
              <w:top w:w="80" w:type="dxa"/>
              <w:bottom w:w="80" w:type="dxa"/>
              <w:left w:w="120" w:type="dxa"/>
              <w:right w:w="120" w:type="dxa"/>
            </w:tcMar>
            <w:vAlign w:val="center"/>
          </w:tcPr>
          <w:p>
            <w:pPr>
              <w:spacing w:after="0"/>
            </w:pPr>
            <w:r>
              <w:rPr>
                <w:color w:val="282C34"/>
                <w:sz w:val="18"/>
              </w:rPr>
              <w:t>Infineon (OptiMOS)</w:t>
            </w:r>
          </w:p>
        </w:tc>
        <w:tc>
          <w:tcPr>
            <w:tcW w:type="dxa" w:w="1224"/>
            <w:tcMar>
              <w:top w:w="80" w:type="dxa"/>
              <w:bottom w:w="80" w:type="dxa"/>
              <w:left w:w="120" w:type="dxa"/>
              <w:right w:w="120" w:type="dxa"/>
            </w:tcMar>
            <w:vAlign w:val="center"/>
          </w:tcPr>
          <w:p>
            <w:pPr>
              <w:spacing w:after="0"/>
            </w:pPr>
            <w:r>
              <w:rPr>
                <w:color w:val="282C34"/>
                <w:sz w:val="18"/>
              </w:rPr>
              <w:t>D2PAK</w:t>
            </w:r>
          </w:p>
        </w:tc>
        <w:tc>
          <w:tcPr>
            <w:tcW w:type="dxa" w:w="1224"/>
            <w:tcMar>
              <w:top w:w="80" w:type="dxa"/>
              <w:bottom w:w="80" w:type="dxa"/>
              <w:left w:w="120" w:type="dxa"/>
              <w:right w:w="120" w:type="dxa"/>
            </w:tcMar>
            <w:vAlign w:val="center"/>
          </w:tcPr>
          <w:p>
            <w:pPr>
              <w:spacing w:after="0"/>
            </w:pPr>
            <w:r>
              <w:rPr>
                <w:i/>
                <w:color w:val="145AA0"/>
                <w:sz w:val="18"/>
              </w:rPr>
              <w:t>60\,V</w:t>
            </w:r>
          </w:p>
        </w:tc>
        <w:tc>
          <w:tcPr>
            <w:tcW w:type="dxa" w:w="1224"/>
            <w:tcMar>
              <w:top w:w="80" w:type="dxa"/>
              <w:bottom w:w="80" w:type="dxa"/>
              <w:left w:w="120" w:type="dxa"/>
              <w:right w:w="120" w:type="dxa"/>
            </w:tcMar>
            <w:vAlign w:val="center"/>
          </w:tcPr>
          <w:p>
            <w:pPr>
              <w:spacing w:after="0"/>
            </w:pPr>
            <w:r>
              <w:rPr>
                <w:i/>
                <w:color w:val="145AA0"/>
                <w:sz w:val="18"/>
              </w:rPr>
              <w:t>180\,A</w:t>
            </w:r>
          </w:p>
        </w:tc>
        <w:tc>
          <w:tcPr>
            <w:tcW w:type="dxa" w:w="1224"/>
            <w:tcMar>
              <w:top w:w="80" w:type="dxa"/>
              <w:bottom w:w="80" w:type="dxa"/>
              <w:left w:w="120" w:type="dxa"/>
              <w:right w:w="120" w:type="dxa"/>
            </w:tcMar>
            <w:vAlign w:val="center"/>
          </w:tcPr>
          <w:p>
            <w:pPr>
              <w:spacing w:after="0"/>
            </w:pPr>
            <w:r>
              <w:rPr>
                <w:i/>
                <w:color w:val="145AA0"/>
                <w:sz w:val="18"/>
              </w:rPr>
              <w:t>1.4\,m\Omega</w:t>
            </w:r>
          </w:p>
        </w:tc>
        <w:tc>
          <w:tcPr>
            <w:tcW w:type="dxa" w:w="1224"/>
            <w:tcMar>
              <w:top w:w="80" w:type="dxa"/>
              <w:bottom w:w="80" w:type="dxa"/>
              <w:left w:w="120" w:type="dxa"/>
              <w:right w:w="120" w:type="dxa"/>
            </w:tcMar>
            <w:vAlign w:val="center"/>
          </w:tcPr>
          <w:p>
            <w:pPr>
              <w:spacing w:after="0"/>
            </w:pPr>
            <w:r>
              <w:rPr>
                <w:i/>
                <w:color w:val="145AA0"/>
                <w:sz w:val="18"/>
              </w:rPr>
              <w:t>137\,nC</w:t>
            </w:r>
          </w:p>
        </w:tc>
        <w:tc>
          <w:tcPr>
            <w:tcW w:type="dxa" w:w="1224"/>
            <w:tcMar>
              <w:top w:w="80" w:type="dxa"/>
              <w:bottom w:w="80" w:type="dxa"/>
              <w:left w:w="120" w:type="dxa"/>
              <w:right w:w="120" w:type="dxa"/>
            </w:tcMar>
            <w:vAlign w:val="center"/>
          </w:tcPr>
          <w:p>
            <w:pPr>
              <w:spacing w:after="0"/>
            </w:pPr>
            <w:r>
              <w:rPr>
                <w:color w:val="282C34"/>
                <w:sz w:val="18"/>
              </w:rPr>
              <w:t>48V mild hybrid automotive, battery isolation</w:t>
            </w:r>
          </w:p>
        </w:tc>
      </w:tr>
      <w:tr>
        <w:tc>
          <w:tcPr>
            <w:tcW w:type="dxa" w:w="1224"/>
            <w:shd w:fill="F4F7F9"/>
            <w:tcMar>
              <w:top w:w="80" w:type="dxa"/>
              <w:bottom w:w="80" w:type="dxa"/>
              <w:left w:w="120" w:type="dxa"/>
              <w:right w:w="120" w:type="dxa"/>
            </w:tcMar>
            <w:vAlign w:val="center"/>
          </w:tcPr>
          <w:p>
            <w:pPr>
              <w:spacing w:after="0"/>
            </w:pPr>
            <w:r>
              <w:rPr>
                <w:b/>
                <w:color w:val="282C34"/>
                <w:sz w:val="18"/>
              </w:rPr>
              <w:t>PSMN1R0-40YLD</w:t>
            </w:r>
          </w:p>
        </w:tc>
        <w:tc>
          <w:tcPr>
            <w:tcW w:type="dxa" w:w="1224"/>
            <w:shd w:fill="F4F7F9"/>
            <w:tcMar>
              <w:top w:w="80" w:type="dxa"/>
              <w:bottom w:w="80" w:type="dxa"/>
              <w:left w:w="120" w:type="dxa"/>
              <w:right w:w="120" w:type="dxa"/>
            </w:tcMar>
            <w:vAlign w:val="center"/>
          </w:tcPr>
          <w:p>
            <w:pPr>
              <w:spacing w:after="0"/>
            </w:pPr>
            <w:r>
              <w:rPr>
                <w:color w:val="282C34"/>
                <w:sz w:val="18"/>
              </w:rPr>
              <w:t>Nexperia</w:t>
            </w:r>
          </w:p>
        </w:tc>
        <w:tc>
          <w:tcPr>
            <w:tcW w:type="dxa" w:w="1224"/>
            <w:shd w:fill="F4F7F9"/>
            <w:tcMar>
              <w:top w:w="80" w:type="dxa"/>
              <w:bottom w:w="80" w:type="dxa"/>
              <w:left w:w="120" w:type="dxa"/>
              <w:right w:w="120" w:type="dxa"/>
            </w:tcMar>
            <w:vAlign w:val="center"/>
          </w:tcPr>
          <w:p>
            <w:pPr>
              <w:spacing w:after="0"/>
            </w:pPr>
            <w:r>
              <w:rPr>
                <w:color w:val="282C34"/>
                <w:sz w:val="18"/>
              </w:rPr>
              <w:t>LFPAK56</w:t>
            </w:r>
          </w:p>
        </w:tc>
        <w:tc>
          <w:tcPr>
            <w:tcW w:type="dxa" w:w="1224"/>
            <w:shd w:fill="F4F7F9"/>
            <w:tcMar>
              <w:top w:w="80" w:type="dxa"/>
              <w:bottom w:w="80" w:type="dxa"/>
              <w:left w:w="120" w:type="dxa"/>
              <w:right w:w="120" w:type="dxa"/>
            </w:tcMar>
            <w:vAlign w:val="center"/>
          </w:tcPr>
          <w:p>
            <w:pPr>
              <w:spacing w:after="0"/>
            </w:pPr>
            <w:r>
              <w:rPr>
                <w:i/>
                <w:color w:val="145AA0"/>
                <w:sz w:val="18"/>
              </w:rPr>
              <w:t>40\,V</w:t>
            </w:r>
          </w:p>
        </w:tc>
        <w:tc>
          <w:tcPr>
            <w:tcW w:type="dxa" w:w="1224"/>
            <w:shd w:fill="F4F7F9"/>
            <w:tcMar>
              <w:top w:w="80" w:type="dxa"/>
              <w:bottom w:w="80" w:type="dxa"/>
              <w:left w:w="120" w:type="dxa"/>
              <w:right w:w="120" w:type="dxa"/>
            </w:tcMar>
            <w:vAlign w:val="center"/>
          </w:tcPr>
          <w:p>
            <w:pPr>
              <w:spacing w:after="0"/>
            </w:pPr>
            <w:r>
              <w:rPr>
                <w:i/>
                <w:color w:val="145AA0"/>
                <w:sz w:val="18"/>
              </w:rPr>
              <w:t>300\,A</w:t>
            </w:r>
          </w:p>
        </w:tc>
        <w:tc>
          <w:tcPr>
            <w:tcW w:type="dxa" w:w="1224"/>
            <w:shd w:fill="F4F7F9"/>
            <w:tcMar>
              <w:top w:w="80" w:type="dxa"/>
              <w:bottom w:w="80" w:type="dxa"/>
              <w:left w:w="120" w:type="dxa"/>
              <w:right w:w="120" w:type="dxa"/>
            </w:tcMar>
            <w:vAlign w:val="center"/>
          </w:tcPr>
          <w:p>
            <w:pPr>
              <w:spacing w:after="0"/>
            </w:pPr>
            <w:r>
              <w:rPr>
                <w:i/>
                <w:color w:val="145AA0"/>
                <w:sz w:val="18"/>
              </w:rPr>
              <w:t>1.0\,m\Omega</w:t>
            </w:r>
          </w:p>
        </w:tc>
        <w:tc>
          <w:tcPr>
            <w:tcW w:type="dxa" w:w="1224"/>
            <w:shd w:fill="F4F7F9"/>
            <w:tcMar>
              <w:top w:w="80" w:type="dxa"/>
              <w:bottom w:w="80" w:type="dxa"/>
              <w:left w:w="120" w:type="dxa"/>
              <w:right w:w="120" w:type="dxa"/>
            </w:tcMar>
            <w:vAlign w:val="center"/>
          </w:tcPr>
          <w:p>
            <w:pPr>
              <w:spacing w:after="0"/>
            </w:pPr>
            <w:r>
              <w:rPr>
                <w:i/>
                <w:color w:val="145AA0"/>
                <w:sz w:val="18"/>
              </w:rPr>
              <w:t>65\,nC</w:t>
            </w:r>
          </w:p>
        </w:tc>
        <w:tc>
          <w:tcPr>
            <w:tcW w:type="dxa" w:w="1224"/>
            <w:shd w:fill="F4F7F9"/>
            <w:tcMar>
              <w:top w:w="80" w:type="dxa"/>
              <w:bottom w:w="80" w:type="dxa"/>
              <w:left w:w="120" w:type="dxa"/>
              <w:right w:w="120" w:type="dxa"/>
            </w:tcMar>
            <w:vAlign w:val="center"/>
          </w:tcPr>
          <w:p>
            <w:pPr>
              <w:spacing w:after="0"/>
            </w:pPr>
            <w:r>
              <w:rPr>
                <w:color w:val="282C34"/>
                <w:sz w:val="18"/>
              </w:rPr>
              <w:t>Ultra-dense high-reliability BLDC motor phase</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README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