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Superjunction MOSFETs (CoolMOS &amp; Charge Balance): Physics &amp; Applications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Superjunction MOSFET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SJ-MOSFET</w:t>
      </w:r>
      <w:r>
        <w:rPr>
          <w:color w:val="282C34"/>
          <w:sz w:val="21"/>
        </w:rPr>
        <w:t xml:space="preserve">, commercially recognized under brand names such as Infineon </w:t>
      </w:r>
      <w:r>
        <w:rPr>
          <w:b/>
          <w:color w:val="282C34"/>
          <w:sz w:val="21"/>
        </w:rPr>
        <w:t>CoolMOS™</w:t>
      </w:r>
      <w:r>
        <w:rPr>
          <w:color w:val="282C34"/>
          <w:sz w:val="21"/>
        </w:rPr>
        <w:t xml:space="preserve">, STMicroelectronics </w:t>
      </w:r>
      <w:r>
        <w:rPr>
          <w:b/>
          <w:color w:val="282C34"/>
          <w:sz w:val="21"/>
        </w:rPr>
        <w:t>MDmesh™</w:t>
      </w:r>
      <w:r>
        <w:rPr>
          <w:color w:val="282C34"/>
          <w:sz w:val="21"/>
        </w:rPr>
        <w:t xml:space="preserve">, and onsemi </w:t>
      </w:r>
      <w:r>
        <w:rPr>
          <w:b/>
          <w:color w:val="282C34"/>
          <w:sz w:val="21"/>
        </w:rPr>
        <w:t>SUPERFET®</w:t>
      </w:r>
      <w:r>
        <w:rPr>
          <w:color w:val="282C34"/>
          <w:sz w:val="21"/>
        </w:rPr>
        <w:t>) represents a revolutionary breakthrough in high-voltage (</w:t>
      </w:r>
      <w:r>
        <w:rPr>
          <w:i/>
          <w:color w:val="145AA0"/>
          <w:sz w:val="21"/>
        </w:rPr>
        <w:t>500\,V \dots 900\,V</w:t>
      </w:r>
      <w:r>
        <w:rPr>
          <w:color w:val="282C34"/>
          <w:sz w:val="21"/>
        </w:rPr>
        <w:t xml:space="preserve">) Silicon power semiconductors. By leveraging the principle of </w:t>
      </w:r>
      <w:r>
        <w:rPr>
          <w:b/>
          <w:color w:val="282C34"/>
          <w:sz w:val="21"/>
        </w:rPr>
        <w:t>charge compensation</w:t>
      </w:r>
      <w:r>
        <w:rPr>
          <w:color w:val="282C34"/>
          <w:sz w:val="21"/>
        </w:rPr>
        <w:t xml:space="preserve"> across alternating vertical p- and n-doped semiconductor columns, superjunction technology fundamentally shattered the theoretical "1D Silicon Limit," slashing specific on-resistance (</w:t>
      </w:r>
      <w:r>
        <w:rPr>
          <w:i/>
          <w:color w:val="145AA0"/>
          <w:sz w:val="21"/>
        </w:rPr>
        <w:t>R_{DS(on) × A</w:t>
      </w:r>
      <w:r>
        <w:rPr>
          <w:color w:val="282C34"/>
          <w:sz w:val="21"/>
        </w:rPr>
        <w:t xml:space="preserve">) by up to </w:t>
      </w:r>
      <w:r>
        <w:rPr>
          <w:i/>
          <w:color w:val="145AA0"/>
          <w:sz w:val="21"/>
        </w:rPr>
        <w:t>80\%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The Classical 1D Silicon Limit vs. Superjunction Physics</w:t>
      </w:r>
    </w:p>
    <w:p>
      <w:pPr>
        <w:spacing w:after="80"/>
      </w:pPr>
      <w:r>
        <w:rPr>
          <w:color w:val="282C34"/>
          <w:sz w:val="21"/>
        </w:rPr>
        <w:t>In conventional planar or VDMOS power transistors, blocking a high reverse breakdown voltage (</w:t>
      </w:r>
      <w:r>
        <w:rPr>
          <w:i/>
          <w:color w:val="145AA0"/>
          <w:sz w:val="21"/>
        </w:rPr>
        <w:t>V_{(BR)DSS</w:t>
      </w:r>
      <w:r>
        <w:rPr>
          <w:color w:val="282C34"/>
          <w:sz w:val="21"/>
        </w:rPr>
        <w:t>) requires an epitaxial drift layer that is both physically thick (</w:t>
      </w:r>
      <w:r>
        <w:rPr>
          <w:i/>
          <w:color w:val="145AA0"/>
          <w:sz w:val="21"/>
        </w:rPr>
        <w:t>W_{drift</w:t>
      </w:r>
      <w:r>
        <w:rPr>
          <w:color w:val="282C34"/>
          <w:sz w:val="21"/>
        </w:rPr>
        <w:t>) and lightly doped (</w:t>
      </w:r>
      <w:r>
        <w:rPr>
          <w:i/>
          <w:color w:val="145AA0"/>
          <w:sz w:val="21"/>
        </w:rPr>
        <w:t>N_D</w:t>
      </w:r>
      <w:r>
        <w:rPr>
          <w:color w:val="282C34"/>
          <w:sz w:val="21"/>
        </w:rPr>
        <w:t>). The resulting electric field profile is triangular: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Conventional Planar Drift Region           Superjunction Column Architecture</w:t>
              <w:br/>
              <w:t xml:space="preserve">     ┌────────────────────────────────────┐      ┌───────┬───────┬───────┬───────┐</w:t>
              <w:br/>
              <w:t xml:space="preserve">     │                                    │      │ p-Col │ n-Col │ p-Col │ n-Col │</w:t>
              <w:br/>
              <w:t xml:space="preserve">     │       Lightly Doped n- Drift       │      │ (Boron│(Phos) │ (Boron│(Phos) │</w:t>
              <w:br/>
              <w:t xml:space="preserve">     │             (Low Doping)           │      │   )   │   )   │   )   │   )   │</w:t>
              <w:br/>
              <w:t xml:space="preserve">     │                                    │      │       │       │       │       │</w:t>
              <w:br/>
              <w:t xml:space="preserve">     └────────────────────────────────────┘      └───────┴───────┴───────┴───────┘</w:t>
              <w:br/>
              <w:t xml:space="preserve">          Triangular Electric Field                   Rectangular Flat Electric Field</w:t>
              <w:br/>
              <w:t xml:space="preserve">         Rds(on)*A ∝ V_BR^(2.5) [Severe!]            Rds(on)*A ∝ V_BR^(1.0 - 1.3) [Linear!]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Mathematical Scaling Laws: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Classical 1D Silicon Limit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R_{DS(on)} \times A \approx 5.93 \times 10^{-9} \cdot (V_{(BR)DSS})^{2.5} \quad [\Omega \cdot \text{cm}^2]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600\,V</w:t>
      </w:r>
      <w:r>
        <w:rPr>
          <w:color w:val="282C34"/>
          <w:sz w:val="21"/>
        </w:rPr>
        <w:t>, this power law dictates that Silicon chips had to become enormous and costly, with crippling gate charge and output capacitance.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Superjunction Scaling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R_{DS(on)} \times A \propto (V_{(BR)DSS})^{1.0 \dots 1.32}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By balancing charges precisely: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N_A \cdot W_p = N_D \cdot W_n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When reverse voltage is applied across the Drain, the horizontal electric field between adjacent p- and n-columns completely sweeps away mobile carriers at very low voltage (</w:t>
      </w:r>
      <w:r>
        <w:rPr>
          <w:i/>
          <w:color w:val="145AA0"/>
          <w:sz w:val="21"/>
        </w:rPr>
        <w:t>V_{DS \approx 50\,V</w:t>
      </w:r>
      <w:r>
        <w:rPr>
          <w:color w:val="282C34"/>
          <w:sz w:val="21"/>
        </w:rPr>
        <w:t xml:space="preserve">). The entire drift region becomes fully depleted, creating a </w:t>
      </w:r>
      <w:r>
        <w:rPr>
          <w:b/>
          <w:color w:val="282C34"/>
          <w:sz w:val="21"/>
        </w:rPr>
        <w:t>uniform, rectangular electric field distribution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Because the field is rectangular rather than triangular, the drift region thickness can be halved, and the </w:t>
      </w:r>
      <w:r>
        <w:rPr>
          <w:i/>
          <w:color w:val="145AA0"/>
          <w:sz w:val="21"/>
        </w:rPr>
        <w:t>n</w:t>
      </w:r>
      <w:r>
        <w:rPr>
          <w:color w:val="282C34"/>
          <w:sz w:val="21"/>
        </w:rPr>
        <w:t xml:space="preserve">-columns can be doped </w:t>
      </w:r>
      <w:r>
        <w:rPr>
          <w:b/>
          <w:color w:val="282C34"/>
          <w:sz w:val="21"/>
        </w:rPr>
        <w:t>an order of magnitude more heavily</w:t>
      </w:r>
      <w:r>
        <w:rPr>
          <w:color w:val="282C34"/>
          <w:sz w:val="21"/>
        </w:rPr>
        <w:t>, reducing conduction losses dramatically.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2. Dynamic Switching Behavior: Non-Linear </w:t>
      </w:r>
      <w:r>
        <w:rPr>
          <w:b/>
          <w:i/>
          <w:color w:val="145AA0"/>
          <w:sz w:val="28"/>
        </w:rPr>
        <w:t>C_{oss</w:t>
      </w:r>
      <w:r>
        <w:rPr>
          <w:b/>
          <w:color w:val="184C78"/>
          <w:sz w:val="28"/>
        </w:rPr>
        <w:t xml:space="preserve"> &amp; Extreme </w:t>
      </w:r>
      <w:r>
        <w:rPr>
          <w:b/>
          <w:i/>
          <w:color w:val="145AA0"/>
          <w:sz w:val="28"/>
        </w:rPr>
        <w:t>dv/dt</w:t>
      </w:r>
    </w:p>
    <w:p>
      <w:pPr>
        <w:spacing w:after="80"/>
      </w:pPr>
      <w:r>
        <w:rPr>
          <w:color w:val="282C34"/>
          <w:sz w:val="21"/>
        </w:rPr>
        <w:t>The deep column depletion creates a unique electrical signature: a massively non-linear output capacitance (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Coss vs Drain-to-Source Voltage (Vds)</w:t>
              <w:br/>
              <w:t xml:space="preserve">  Coss ^</w:t>
              <w:br/>
              <w:t xml:space="preserve">       │  10,000 pF (Un-depleted columns at low Vds)</w:t>
              <w:br/>
              <w:t xml:space="preserve">       │  █</w:t>
              <w:br/>
              <w:t xml:space="preserve">       │  █</w:t>
              <w:br/>
              <w:t xml:space="preserve">       │   █</w:t>
              <w:br/>
              <w:t xml:space="preserve">       │    █</w:t>
              <w:br/>
              <w:t xml:space="preserve">       │     █  Colossal drop at ~50V column pinch-off!</w:t>
              <w:br/>
              <w:t xml:space="preserve">       │      ████████████████████████████ 50 pF (High Vds)</w:t>
              <w:br/>
              <w:t xml:space="preserve">       └───────────────────────────────────────────────&gt; Vds</w:t>
              <w:br/>
              <w:t xml:space="preserve">       0V       20V       50V                        400V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High-Speed Switching Traps: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Ultra-Fast Voltage Slewing ($dv/dt &gt; 50\,\text{V/ns}$ to $100\,\text{V/ns}$)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Because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 collapses to mere picofarads at high voltage, the drain node snaps upward with ferocious speed during turn-off.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Parasitic Package Oscillations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This rapid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 xml:space="preserve"> interacts with trace and bondwire parasitic inductances (</w:t>
      </w:r>
      <w:r>
        <w:rPr>
          <w:i/>
          <w:color w:val="145AA0"/>
          <w:sz w:val="21"/>
        </w:rPr>
        <w:t>L_{source, L_{gate</w:t>
      </w:r>
      <w:r>
        <w:rPr>
          <w:color w:val="282C34"/>
          <w:sz w:val="21"/>
        </w:rPr>
        <w:t>), generating high-frequency ringing (</w:t>
      </w:r>
      <w:r>
        <w:rPr>
          <w:i/>
          <w:color w:val="145AA0"/>
          <w:sz w:val="21"/>
        </w:rPr>
        <w:t>50\,MHz - 200\,MHz</w:t>
      </w:r>
      <w:r>
        <w:rPr>
          <w:color w:val="282C34"/>
          <w:sz w:val="21"/>
        </w:rPr>
        <w:t>) and electromagnetic interference (EMI).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Remediation Techniques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Source Kelvin Pin</w:t>
      </w:r>
      <w:r>
        <w:rPr>
          <w:color w:val="282C34"/>
          <w:sz w:val="21"/>
        </w:rPr>
        <w:t xml:space="preserve">: Use 4-pin packages (e.g. TO-247-4 or PG-HDSOP) where the gate driver return has an independent source connection that bypasses high load </w:t>
      </w:r>
      <w:r>
        <w:rPr>
          <w:i/>
          <w:color w:val="145AA0"/>
          <w:sz w:val="21"/>
        </w:rPr>
        <w:t>di/dt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Ferrite Beads</w:t>
      </w:r>
      <w:r>
        <w:rPr>
          <w:color w:val="282C34"/>
          <w:sz w:val="21"/>
        </w:rPr>
        <w:t xml:space="preserve">: Place an SMD ferrite bead (impedance </w:t>
      </w:r>
      <w:r>
        <w:rPr>
          <w:i/>
          <w:color w:val="145AA0"/>
          <w:sz w:val="21"/>
        </w:rPr>
        <w:t>30\,\Omega - 60\,\Omega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100\,MHz</w:t>
      </w:r>
      <w:r>
        <w:rPr>
          <w:color w:val="282C34"/>
          <w:sz w:val="21"/>
        </w:rPr>
        <w:t>) directly adjacent to the gate pin.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Tuned Turn-On Gate Resistor ($R_{G,on}$)</w:t>
      </w:r>
      <w:r>
        <w:rPr>
          <w:color w:val="282C34"/>
          <w:sz w:val="21"/>
        </w:rPr>
        <w:t xml:space="preserve">: Avoid making </w:t>
      </w:r>
      <w:r>
        <w:rPr>
          <w:i/>
          <w:color w:val="145AA0"/>
          <w:sz w:val="21"/>
        </w:rPr>
        <w:t>R_G</w:t>
      </w:r>
      <w:r>
        <w:rPr>
          <w:color w:val="282C34"/>
          <w:sz w:val="21"/>
        </w:rPr>
        <w:t xml:space="preserve"> overly small; damp the turn-on transition to control peak diode recovery current.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Fast-Recovery Body Diode Variants (CFD / DM2)</w:t>
      </w:r>
    </w:p>
    <w:p>
      <w:pPr>
        <w:spacing w:after="80"/>
      </w:pPr>
      <w:r>
        <w:rPr>
          <w:color w:val="282C34"/>
          <w:sz w:val="21"/>
        </w:rPr>
        <w:t>In hard-switched bridge topologies (such as Phase-Shifted Full-Bridge or resonant LLC converters during abnormal transients/start-up), the MOSFET's intrinsic body diode must conduct freewheeling load current: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Topology Compatibility Comparison</w:t>
              <w:br/>
              <w:t xml:space="preserve">   ┌─────────────────────────────────────────────────────────────┐</w:t>
              <w:br/>
              <w:t xml:space="preserve">   │ Standard Superjunction FET  │ Fast-Recovery Body Diode (CFD)│</w:t>
              <w:br/>
              <w:t xml:space="preserve">   ├─────────────────────────────┼───────────────────────────────┤</w:t>
              <w:br/>
              <w:t xml:space="preserve">   │ High Qrr (&gt; 4000 nC)        │ Low Qrr (&lt; 400 nC)            │</w:t>
              <w:br/>
              <w:t xml:space="preserve">   │ Long trr (&gt; 400 ns)         │ Ultra-Fast trr (&lt; 100 ns)     │</w:t>
              <w:br/>
              <w:t xml:space="preserve">   │ Prone to body-diode dv/dt   │ Immune to diode latch-up      │</w:t>
              <w:br/>
              <w:t xml:space="preserve">   │ latch-up in half-bridges    │                               │</w:t>
              <w:br/>
              <w:t xml:space="preserve">   ├─────────────────────────────┼───────────────────────────────┤</w:t>
              <w:br/>
              <w:t xml:space="preserve">   │ Ideal for: Single-switch PFC│ Ideal for: Resonant LLC,      │</w:t>
              <w:br/>
              <w:t xml:space="preserve">   │ Boost, Single-Ended Flyback │ Full-Bridge ZVS, EV Chargers  │</w:t>
              <w:br/>
              <w:t xml:space="preserve">   └─────────────────────────────┴───────────────────────────────┘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By introducing heavy metal lifetime killers (Platinum/Gold doping or Electron Irradiation) into the p-n column junction, manufacturers like Infineon (CoolMOS™ CFD series) crush minority carrier lifetime, preventing disastrous bridge shoot-through.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V_{DS(max)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I_{D(max)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R_{DS(on)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Diode Class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Application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IPW60R099CP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(CoolMOS CP)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TO-247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650\,V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31\,A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99\,m\Omega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High-efficiency CCM Power Factor Correction (PFC)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IPW60R045CFD7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(CoolMOS CFD7)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TO-247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600\,V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50\,A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45\,m\Omega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 CFD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Resonant LLC converter, Server Power, EV On-Board Charger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STW48N60M2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TO-247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600\,V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42\,A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76\,m\Omega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Telecom rectifiers, Solar micro-inverters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TK20A60U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Toshiba (DTMOS)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TO-220SIS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600\,V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165\,m\Omega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Consumer flat-panel TV power supplies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