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pPr>
      <w:r>
        <w:rPr>
          <w:b/>
          <w:color w:val="184C78"/>
          <w:sz w:val="40"/>
        </w:rPr>
        <w:t>NFC Protocol &amp; SPI-Based RFID Implementation Knowledge Base</w:t>
      </w:r>
    </w:p>
    <w:p>
      <w:pPr>
        <w:spacing w:before="240" w:after="120"/>
      </w:pPr>
      <w:r>
        <w:rPr>
          <w:b/>
          <w:color w:val="184C78"/>
          <w:sz w:val="28"/>
        </w:rPr>
        <w:t>1. Executive Overview</w:t>
      </w:r>
    </w:p>
    <w:p>
      <w:pPr>
        <w:spacing w:after="80"/>
      </w:pPr>
      <w:r>
        <w:rPr>
          <w:b/>
          <w:color w:val="282C34"/>
          <w:sz w:val="21"/>
        </w:rPr>
        <w:t>Near Field Communication (NFC)</w:t>
      </w:r>
      <w:r>
        <w:rPr>
          <w:color w:val="282C34"/>
          <w:sz w:val="21"/>
        </w:rPr>
        <w:t xml:space="preserve"> is a specialized subset of High-Frequency (HF) Radio Frequency Identification (RFID) operating at </w:t>
      </w:r>
      <w:r>
        <w:rPr>
          <w:b/>
          <w:color w:val="282C34"/>
          <w:sz w:val="21"/>
        </w:rPr>
        <w:t>13.56 MHz</w:t>
      </w:r>
      <w:r>
        <w:rPr>
          <w:color w:val="282C34"/>
          <w:sz w:val="21"/>
        </w:rPr>
        <w:t xml:space="preserve">. While generic RFID was engineered for one-way identification across ranges from centimeters to meters, NFC was standardized by ISO/IEC, ECMA, and the NFC Forum for </w:t>
      </w:r>
      <w:r>
        <w:rPr>
          <w:b/>
          <w:color w:val="282C34"/>
          <w:sz w:val="21"/>
        </w:rPr>
        <w:t>secure, bidirectional, short-range (typically $\le 4\text{ cm}$) high-integrity interactions</w:t>
      </w:r>
      <w:r>
        <w:rPr>
          <w:color w:val="282C34"/>
          <w:sz w:val="21"/>
        </w:rPr>
        <w:t>.</w:t>
      </w:r>
    </w:p>
    <w:p>
      <w:pPr>
        <w:spacing w:after="80"/>
      </w:pPr>
      <w:r>
        <w:rPr>
          <w:color w:val="282C34"/>
          <w:sz w:val="21"/>
        </w:rPr>
        <w:t xml:space="preserve">In embedded systems, an NFC subsystem is commonly realized as a </w:t>
      </w:r>
      <w:r>
        <w:rPr>
          <w:b/>
          <w:color w:val="282C34"/>
          <w:sz w:val="21"/>
        </w:rPr>
        <w:t>two-tier architecture</w:t>
      </w:r>
      <w:r>
        <w:rPr>
          <w:color w:val="282C34"/>
          <w:sz w:val="21"/>
        </w:rPr>
        <w:t>:</w:t>
      </w:r>
    </w:p>
    <w:p>
      <w:pPr>
        <w:pStyle w:val="ListNumber"/>
        <w:spacing w:after="40"/>
        <w:ind w:left="360"/>
      </w:pPr>
      <w:r>
        <w:rPr>
          <w:b/>
          <w:color w:val="282C34"/>
          <w:sz w:val="21"/>
        </w:rPr>
        <w:t>Host Microcontroller / SoC</w:t>
      </w:r>
      <w:r>
        <w:rPr>
          <w:color w:val="282C34"/>
          <w:sz w:val="21"/>
        </w:rPr>
        <w:t xml:space="preserve"> (e.g., STM32, ESP32, NXP i.MX, Nordic nRF5340): Executes application logic, NFC Forum protocol stacks, NDEF parsing, cryptographic authentication (Crypto1, AES-128, ECC), and host card emulation (HCE).</w:t>
      </w:r>
    </w:p>
    <w:p>
      <w:pPr>
        <w:pStyle w:val="ListNumber"/>
        <w:spacing w:after="40"/>
        <w:ind w:left="360"/>
      </w:pPr>
      <w:r>
        <w:rPr>
          <w:b/>
          <w:color w:val="282C34"/>
          <w:sz w:val="21"/>
        </w:rPr>
        <w:t>NFC Transceiver / Front-End Controller</w:t>
      </w:r>
      <w:r>
        <w:rPr>
          <w:color w:val="282C34"/>
          <w:sz w:val="21"/>
        </w:rPr>
        <w:t xml:space="preserve"> (e.g., NXP PN532, STMicroelectronics ST25R3916, NXP MFRC522, TI TRF7970A): Bridges the digital host domain to the analog 13.56 MHz electromagnetic field.</w:t>
      </w:r>
    </w:p>
    <w:p>
      <w:pPr>
        <w:pStyle w:val="ListNumber"/>
        <w:spacing w:after="40"/>
        <w:ind w:left="360"/>
      </w:pPr>
      <w:r>
        <w:rPr>
          <w:b/>
          <w:color w:val="282C34"/>
          <w:sz w:val="21"/>
        </w:rPr>
        <w:t>SPI Interconnect Bus</w:t>
      </w:r>
      <w:r>
        <w:rPr>
          <w:color w:val="282C34"/>
          <w:sz w:val="21"/>
        </w:rPr>
        <w:t>: Synchronous, full-duplex serial interface that provides high data throughput, deterministic timing, and low CPU overhead for transferring raw modulation bits, FIFO buffers, and command frames between the Host MCU and the RF front-end.</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                     +------------------+</w:t>
              <w:br/>
              <w:t>|    Host MCU       |                      |  NFC Transceiver IC     |                     |  Matching &amp; EMC  |</w:t>
              <w:br/>
              <w:t>| (Application,     |      SPI Interface   | (Framing, FIFO, Mod/Dem)|   13.56 MHz TX/RX   |     Network      |</w:t>
              <w:br/>
              <w:t>|  Protocol Stack,  |======================| (PN532 / ST25R3916 /    |====================&gt;| (Low-pass filter,|==+</w:t>
              <w:br/>
              <w:t>|  Crypto Engine)   |  MOSI, MISO, SCLK,   |  MFRC522)               |   TX1, TX2, RX      |  Matching caps,  |  |</w:t>
              <w:br/>
              <w:t>|                   |  CS#, IRQ, RST       |                         |                     |  Damping R)      |  |</w:t>
              <w:br/>
              <w:t>+-------------------+                      +-------------------------+                     +------------------+  |</w:t>
              <w:br/>
              <w:t xml:space="preserve">                                                                                                                 |</w:t>
              <w:br/>
              <w:t xml:space="preserve">                                                   Inductive Magnetic Coupling (H-field)                         |</w:t>
              <w:br/>
              <w:t xml:space="preserve">                                                   Carrier: 13.56 MHz, d &lt;= 4 cm                                 v</w:t>
              <w:br/>
              <w:t xml:space="preserve">                                              + - - - - - - - - - - - - - - - - - - - - - - +              +----------+</w:t>
              <w:br/>
              <w:t xml:space="preserve">                                              |                                             |              | PCB Loop |</w:t>
              <w:br/>
              <w:t xml:space="preserve">                                              |       +-----------------------------+       |&lt;=============| Antenna  |</w:t>
              <w:br/>
              <w:t xml:space="preserve">                                              |       |   Target NFC Tag / Phone    |       |              +----------+</w:t>
              <w:br/>
              <w:t xml:space="preserve">                                              |       |  (NTAG21x, MIFARE, HCE)     |       |</w:t>
              <w:br/>
              <w:t xml:space="preserve">                                              |       | - Resonant LC Tank (13.56M) |       |</w:t>
              <w:br/>
              <w:t xml:space="preserve">                                              |       | - Power Harvester / Rect    |       |</w:t>
              <w:br/>
              <w:t xml:space="preserve">                                              |       | - Load Modulator (848 kHz)  |       |</w:t>
              <w:br/>
              <w:t xml:space="preserve">                                              + - - - +-----------------------------+ - - - +</w:t>
            </w:r>
          </w:p>
        </w:tc>
      </w:tr>
    </w:tbl>
    <w:p/>
    <w:p>
      <w:pPr>
        <w:spacing w:before="80" w:after="80"/>
        <w:pBdr>
          <w:bottom w:val="single" w:sz="6" w:space="1" w:color="E2E8F0"/>
        </w:pBdr>
      </w:pPr>
    </w:p>
    <w:p>
      <w:pPr>
        <w:spacing w:before="240" w:after="120"/>
      </w:pPr>
      <w:r>
        <w:rPr>
          <w:b/>
          <w:color w:val="184C78"/>
          <w:sz w:val="28"/>
        </w:rPr>
        <w:t>2. Directory Structure &amp; Documentation Suite</w:t>
      </w:r>
    </w:p>
    <w:p>
      <w:pPr>
        <w:spacing w:after="80"/>
      </w:pPr>
      <w:r>
        <w:rPr>
          <w:color w:val="282C34"/>
          <w:sz w:val="21"/>
        </w:rPr>
        <w:t>This knowledge base is organized into focused, mathematically rigorous engineering modules:</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3264"/>
        <w:gridCol w:w="3264"/>
        <w:gridCol w:w="3264"/>
      </w:tblGrid>
      <w:tr>
        <w:tc>
          <w:tcPr>
            <w:tcW w:type="dxa" w:w="3264"/>
            <w:shd w:fill="204A6E"/>
            <w:tcMar>
              <w:top w:w="100" w:type="dxa"/>
              <w:bottom w:w="100" w:type="dxa"/>
              <w:left w:w="120" w:type="dxa"/>
              <w:right w:w="120" w:type="dxa"/>
            </w:tcMar>
            <w:vAlign w:val="center"/>
          </w:tcPr>
          <w:p>
            <w:pPr>
              <w:spacing w:after="0"/>
            </w:pPr>
            <w:r>
              <w:rPr>
                <w:b/>
                <w:color w:val="FFFFFF"/>
                <w:sz w:val="19"/>
              </w:rPr>
              <w:t>Document</w:t>
            </w:r>
          </w:p>
        </w:tc>
        <w:tc>
          <w:tcPr>
            <w:tcW w:type="dxa" w:w="3264"/>
            <w:shd w:fill="204A6E"/>
            <w:tcMar>
              <w:top w:w="100" w:type="dxa"/>
              <w:bottom w:w="100" w:type="dxa"/>
              <w:left w:w="120" w:type="dxa"/>
              <w:right w:w="120" w:type="dxa"/>
            </w:tcMar>
            <w:vAlign w:val="center"/>
          </w:tcPr>
          <w:p>
            <w:pPr>
              <w:spacing w:after="0"/>
            </w:pPr>
            <w:r>
              <w:rPr>
                <w:b/>
                <w:color w:val="FFFFFF"/>
                <w:sz w:val="19"/>
              </w:rPr>
              <w:t>Primary Focus</w:t>
            </w:r>
          </w:p>
        </w:tc>
        <w:tc>
          <w:tcPr>
            <w:tcW w:type="dxa" w:w="3264"/>
            <w:shd w:fill="204A6E"/>
            <w:tcMar>
              <w:top w:w="100" w:type="dxa"/>
              <w:bottom w:w="100" w:type="dxa"/>
              <w:left w:w="120" w:type="dxa"/>
              <w:right w:w="120" w:type="dxa"/>
            </w:tcMar>
            <w:vAlign w:val="center"/>
          </w:tcPr>
          <w:p>
            <w:pPr>
              <w:spacing w:after="0"/>
            </w:pPr>
            <w:r>
              <w:rPr>
                <w:b/>
                <w:color w:val="FFFFFF"/>
                <w:sz w:val="19"/>
              </w:rPr>
              <w:t>Key Standards / Topics Covered</w:t>
            </w:r>
          </w:p>
        </w:tc>
      </w:tr>
      <w:tr>
        <w:tc>
          <w:tcPr>
            <w:tcW w:type="dxa" w:w="3264"/>
            <w:tcMar>
              <w:top w:w="80" w:type="dxa"/>
              <w:bottom w:w="80" w:type="dxa"/>
              <w:left w:w="120" w:type="dxa"/>
              <w:right w:w="120" w:type="dxa"/>
            </w:tcMar>
            <w:vAlign w:val="center"/>
          </w:tcPr>
          <w:p>
            <w:pPr>
              <w:spacing w:after="0"/>
            </w:pPr>
            <w:r>
              <w:rPr>
                <w:b/>
                <w:color w:val="282C34"/>
                <w:sz w:val="18"/>
              </w:rPr>
              <w:t>[spi-rfid-nfc-interaction-guide.md](file:///home/tthhongs/build_tthongs/tasks_aa_ii/vvdn/protocols/nfc/spi-rfid-nfc-interaction-guide.md)</w:t>
            </w:r>
          </w:p>
        </w:tc>
        <w:tc>
          <w:tcPr>
            <w:tcW w:type="dxa" w:w="3264"/>
            <w:tcMar>
              <w:top w:w="80" w:type="dxa"/>
              <w:bottom w:w="80" w:type="dxa"/>
              <w:left w:w="120" w:type="dxa"/>
              <w:right w:w="120" w:type="dxa"/>
            </w:tcMar>
            <w:vAlign w:val="center"/>
          </w:tcPr>
          <w:p>
            <w:pPr>
              <w:spacing w:after="0"/>
            </w:pPr>
            <w:r>
              <w:rPr>
                <w:b/>
                <w:color w:val="282C34"/>
                <w:sz w:val="18"/>
              </w:rPr>
              <w:t>Mentor Briefing &amp; Conceptual Explainer</w:t>
            </w:r>
          </w:p>
        </w:tc>
        <w:tc>
          <w:tcPr>
            <w:tcW w:type="dxa" w:w="3264"/>
            <w:tcMar>
              <w:top w:w="80" w:type="dxa"/>
              <w:bottom w:w="80" w:type="dxa"/>
              <w:left w:w="120" w:type="dxa"/>
              <w:right w:w="120" w:type="dxa"/>
            </w:tcMar>
            <w:vAlign w:val="center"/>
          </w:tcPr>
          <w:p>
            <w:pPr>
              <w:spacing w:after="0"/>
            </w:pPr>
            <w:r>
              <w:rPr>
                <w:b/>
                <w:color w:val="282C34"/>
                <w:sz w:val="18"/>
              </w:rPr>
              <w:t>How SPI &amp; RFID interact to create NFC, the 3-tier mental model, step-by-step transaction walkthrough, why SPI over I2C, and mentor Q&amp;A cheat sheet</w:t>
            </w:r>
          </w:p>
        </w:tc>
      </w:tr>
      <w:tr>
        <w:tc>
          <w:tcPr>
            <w:tcW w:type="dxa" w:w="3264"/>
            <w:shd w:fill="F4F7F9"/>
            <w:tcMar>
              <w:top w:w="80" w:type="dxa"/>
              <w:bottom w:w="80" w:type="dxa"/>
              <w:left w:w="120" w:type="dxa"/>
              <w:right w:w="120" w:type="dxa"/>
            </w:tcMar>
            <w:vAlign w:val="center"/>
          </w:tcPr>
          <w:p>
            <w:pPr>
              <w:spacing w:after="0"/>
            </w:pPr>
            <w:r>
              <w:rPr>
                <w:b/>
                <w:color w:val="282C34"/>
                <w:sz w:val="18"/>
              </w:rPr>
              <w:t>[nfc-rf-and-physical-layer.md](file:///home/tthhongs/build_tthongs/tasks_aa_ii/vvdn/protocols/nfc/nfc-rf-and-physical-layer.md)</w:t>
            </w:r>
          </w:p>
        </w:tc>
        <w:tc>
          <w:tcPr>
            <w:tcW w:type="dxa" w:w="3264"/>
            <w:shd w:fill="F4F7F9"/>
            <w:tcMar>
              <w:top w:w="80" w:type="dxa"/>
              <w:bottom w:w="80" w:type="dxa"/>
              <w:left w:w="120" w:type="dxa"/>
              <w:right w:w="120" w:type="dxa"/>
            </w:tcMar>
            <w:vAlign w:val="center"/>
          </w:tcPr>
          <w:p>
            <w:pPr>
              <w:spacing w:after="0"/>
            </w:pPr>
            <w:r>
              <w:rPr>
                <w:color w:val="282C34"/>
                <w:sz w:val="18"/>
              </w:rPr>
              <w:t>RF Physics, Modulation, Antenna &amp; Matching</w:t>
            </w:r>
          </w:p>
        </w:tc>
        <w:tc>
          <w:tcPr>
            <w:tcW w:type="dxa" w:w="3264"/>
            <w:shd w:fill="F4F7F9"/>
            <w:tcMar>
              <w:top w:w="80" w:type="dxa"/>
              <w:bottom w:w="80" w:type="dxa"/>
              <w:left w:w="120" w:type="dxa"/>
              <w:right w:w="120" w:type="dxa"/>
            </w:tcMar>
            <w:vAlign w:val="center"/>
          </w:tcPr>
          <w:p>
            <w:pPr>
              <w:spacing w:after="0"/>
            </w:pPr>
            <w:r>
              <w:rPr>
                <w:color w:val="282C34"/>
                <w:sz w:val="18"/>
              </w:rPr>
              <w:t xml:space="preserve">13.56 MHz carrier, inductive coupling, Biot-Savart, 100% vs 10% ASK, Modified Miller, Manchester, 848 kHz subcarrier load modulation, EMC filter design, antenna </w:t>
            </w:r>
            <w:r>
              <w:rPr>
                <w:i/>
                <w:color w:val="145AA0"/>
                <w:sz w:val="18"/>
              </w:rPr>
              <w:t>Q</w:t>
            </w:r>
            <w:r>
              <w:rPr>
                <w:color w:val="282C34"/>
                <w:sz w:val="18"/>
              </w:rPr>
              <w:t>-factor, tuning networks</w:t>
            </w:r>
          </w:p>
        </w:tc>
      </w:tr>
      <w:tr>
        <w:tc>
          <w:tcPr>
            <w:tcW w:type="dxa" w:w="3264"/>
            <w:tcMar>
              <w:top w:w="80" w:type="dxa"/>
              <w:bottom w:w="80" w:type="dxa"/>
              <w:left w:w="120" w:type="dxa"/>
              <w:right w:w="120" w:type="dxa"/>
            </w:tcMar>
            <w:vAlign w:val="center"/>
          </w:tcPr>
          <w:p>
            <w:pPr>
              <w:spacing w:after="0"/>
            </w:pPr>
            <w:r>
              <w:rPr>
                <w:b/>
                <w:color w:val="282C34"/>
                <w:sz w:val="18"/>
              </w:rPr>
              <w:t>[spi-rfid-transceiver-interface.md](file:///home/tthhongs/build_tthongs/tasks_aa_ii/vvdn/protocols/nfc/spi-rfid-transceiver-interface.md)</w:t>
            </w:r>
          </w:p>
        </w:tc>
        <w:tc>
          <w:tcPr>
            <w:tcW w:type="dxa" w:w="3264"/>
            <w:tcMar>
              <w:top w:w="80" w:type="dxa"/>
              <w:bottom w:w="80" w:type="dxa"/>
              <w:left w:w="120" w:type="dxa"/>
              <w:right w:w="120" w:type="dxa"/>
            </w:tcMar>
            <w:vAlign w:val="center"/>
          </w:tcPr>
          <w:p>
            <w:pPr>
              <w:spacing w:after="0"/>
            </w:pPr>
            <w:r>
              <w:rPr>
                <w:color w:val="282C34"/>
                <w:sz w:val="18"/>
              </w:rPr>
              <w:t>SPI Hardware Bridge &amp; Controller Architecture</w:t>
            </w:r>
          </w:p>
        </w:tc>
        <w:tc>
          <w:tcPr>
            <w:tcW w:type="dxa" w:w="3264"/>
            <w:tcMar>
              <w:top w:w="80" w:type="dxa"/>
              <w:bottom w:w="80" w:type="dxa"/>
              <w:left w:w="120" w:type="dxa"/>
              <w:right w:w="120" w:type="dxa"/>
            </w:tcMar>
            <w:vAlign w:val="center"/>
          </w:tcPr>
          <w:p>
            <w:pPr>
              <w:spacing w:after="0"/>
            </w:pPr>
            <w:r>
              <w:rPr>
                <w:color w:val="282C34"/>
                <w:sz w:val="18"/>
              </w:rPr>
              <w:t>4-wire SPI + IRQ/RST, Register-driven (MFRC522/ST25R) vs Packet-driven (PN532), CPOL/CPHA modes, LSB-first vs MSB-first bit order trap, FIFO watermark interrupts, timing budgets</w:t>
            </w:r>
          </w:p>
        </w:tc>
      </w:tr>
      <w:tr>
        <w:tc>
          <w:tcPr>
            <w:tcW w:type="dxa" w:w="3264"/>
            <w:shd w:fill="F4F7F9"/>
            <w:tcMar>
              <w:top w:w="80" w:type="dxa"/>
              <w:bottom w:w="80" w:type="dxa"/>
              <w:left w:w="120" w:type="dxa"/>
              <w:right w:w="120" w:type="dxa"/>
            </w:tcMar>
            <w:vAlign w:val="center"/>
          </w:tcPr>
          <w:p>
            <w:pPr>
              <w:spacing w:after="0"/>
            </w:pPr>
            <w:r>
              <w:rPr>
                <w:b/>
                <w:color w:val="282C34"/>
                <w:sz w:val="18"/>
              </w:rPr>
              <w:t>[iso14443-framing-and-anticollision.md](file:///home/tthhongs/build_tthongs/tasks_aa_ii/vvdn/protocols/nfc/iso14443-framing-and-anticollision.md)</w:t>
            </w:r>
          </w:p>
        </w:tc>
        <w:tc>
          <w:tcPr>
            <w:tcW w:type="dxa" w:w="3264"/>
            <w:shd w:fill="F4F7F9"/>
            <w:tcMar>
              <w:top w:w="80" w:type="dxa"/>
              <w:bottom w:w="80" w:type="dxa"/>
              <w:left w:w="120" w:type="dxa"/>
              <w:right w:w="120" w:type="dxa"/>
            </w:tcMar>
            <w:vAlign w:val="center"/>
          </w:tcPr>
          <w:p>
            <w:pPr>
              <w:spacing w:after="0"/>
            </w:pPr>
            <w:r>
              <w:rPr>
                <w:color w:val="282C34"/>
                <w:sz w:val="18"/>
              </w:rPr>
              <w:t>Lower Protocol Stack &amp; Anti-Collision</w:t>
            </w:r>
          </w:p>
        </w:tc>
        <w:tc>
          <w:tcPr>
            <w:tcW w:type="dxa" w:w="3264"/>
            <w:shd w:fill="F4F7F9"/>
            <w:tcMar>
              <w:top w:w="80" w:type="dxa"/>
              <w:bottom w:w="80" w:type="dxa"/>
              <w:left w:w="120" w:type="dxa"/>
              <w:right w:w="120" w:type="dxa"/>
            </w:tcMar>
            <w:vAlign w:val="center"/>
          </w:tcPr>
          <w:p>
            <w:pPr>
              <w:spacing w:after="0"/>
            </w:pPr>
            <w:r>
              <w:rPr>
                <w:color w:val="282C34"/>
                <w:sz w:val="18"/>
              </w:rPr>
              <w:t>ISO/IEC 14443 Type A/B, REQA/WUPA 7-bit unaligned short frames, ATQA, Cascade Levels 1/2/3, bit-oriented anti-collision walk, SAK parsing, RATS/ATS, ISO 14443-4 T=CL APDU transport</w:t>
            </w:r>
          </w:p>
        </w:tc>
      </w:tr>
      <w:tr>
        <w:tc>
          <w:tcPr>
            <w:tcW w:type="dxa" w:w="3264"/>
            <w:tcMar>
              <w:top w:w="80" w:type="dxa"/>
              <w:bottom w:w="80" w:type="dxa"/>
              <w:left w:w="120" w:type="dxa"/>
              <w:right w:w="120" w:type="dxa"/>
            </w:tcMar>
            <w:vAlign w:val="center"/>
          </w:tcPr>
          <w:p>
            <w:pPr>
              <w:spacing w:after="0"/>
            </w:pPr>
            <w:r>
              <w:rPr>
                <w:b/>
                <w:color w:val="282C34"/>
                <w:sz w:val="18"/>
              </w:rPr>
              <w:t>[ndef-and-card-emulation.md](file:///home/tthhongs/build_tthongs/tasks_aa_ii/vvdn/protocols/nfc/ndef-and-card-emulation.md)</w:t>
            </w:r>
          </w:p>
        </w:tc>
        <w:tc>
          <w:tcPr>
            <w:tcW w:type="dxa" w:w="3264"/>
            <w:tcMar>
              <w:top w:w="80" w:type="dxa"/>
              <w:bottom w:w="80" w:type="dxa"/>
              <w:left w:w="120" w:type="dxa"/>
              <w:right w:w="120" w:type="dxa"/>
            </w:tcMar>
            <w:vAlign w:val="center"/>
          </w:tcPr>
          <w:p>
            <w:pPr>
              <w:spacing w:after="0"/>
            </w:pPr>
            <w:r>
              <w:rPr>
                <w:color w:val="282C34"/>
                <w:sz w:val="18"/>
              </w:rPr>
              <w:t>High-Level Data &amp; Operating Modes</w:t>
            </w:r>
          </w:p>
        </w:tc>
        <w:tc>
          <w:tcPr>
            <w:tcW w:type="dxa" w:w="3264"/>
            <w:tcMar>
              <w:top w:w="80" w:type="dxa"/>
              <w:bottom w:w="80" w:type="dxa"/>
              <w:left w:w="120" w:type="dxa"/>
              <w:right w:w="120" w:type="dxa"/>
            </w:tcMar>
            <w:vAlign w:val="center"/>
          </w:tcPr>
          <w:p>
            <w:pPr>
              <w:spacing w:after="0"/>
            </w:pPr>
            <w:r>
              <w:rPr>
                <w:color w:val="282C34"/>
                <w:sz w:val="18"/>
              </w:rPr>
              <w:t>NFC Forum Tag Types 1–5, Capability Container (CC), NDEF message framing, Record headers (TNF, RTD), URI/Text/MIME, P2P (LLCP/SNEP), Host Card Emulation (HCE) via SPI</w:t>
            </w:r>
          </w:p>
        </w:tc>
      </w:tr>
      <w:tr>
        <w:tc>
          <w:tcPr>
            <w:tcW w:type="dxa" w:w="3264"/>
            <w:shd w:fill="F4F7F9"/>
            <w:tcMar>
              <w:top w:w="80" w:type="dxa"/>
              <w:bottom w:w="80" w:type="dxa"/>
              <w:left w:w="120" w:type="dxa"/>
              <w:right w:w="120" w:type="dxa"/>
            </w:tcMar>
            <w:vAlign w:val="center"/>
          </w:tcPr>
          <w:p>
            <w:pPr>
              <w:spacing w:after="0"/>
            </w:pPr>
            <w:r>
              <w:rPr>
                <w:b/>
                <w:color w:val="282C34"/>
                <w:sz w:val="18"/>
              </w:rPr>
              <w:t>[nfc-firmware-and-driver-guide.md](file:///home/tthhongs/build_tthongs/tasks_aa_ii/vvdn/protocols/nfc/nfc-firmware-and-driver-guide.md)</w:t>
            </w:r>
          </w:p>
        </w:tc>
        <w:tc>
          <w:tcPr>
            <w:tcW w:type="dxa" w:w="3264"/>
            <w:shd w:fill="F4F7F9"/>
            <w:tcMar>
              <w:top w:w="80" w:type="dxa"/>
              <w:bottom w:w="80" w:type="dxa"/>
              <w:left w:w="120" w:type="dxa"/>
              <w:right w:w="120" w:type="dxa"/>
            </w:tcMar>
            <w:vAlign w:val="center"/>
          </w:tcPr>
          <w:p>
            <w:pPr>
              <w:spacing w:after="0"/>
            </w:pPr>
            <w:r>
              <w:rPr>
                <w:color w:val="282C34"/>
                <w:sz w:val="18"/>
              </w:rPr>
              <w:t>Embedded Firmware, Linux &amp; Diagnostics</w:t>
            </w:r>
          </w:p>
        </w:tc>
        <w:tc>
          <w:tcPr>
            <w:tcW w:type="dxa" w:w="3264"/>
            <w:shd w:fill="F4F7F9"/>
            <w:tcMar>
              <w:top w:w="80" w:type="dxa"/>
              <w:bottom w:w="80" w:type="dxa"/>
              <w:left w:w="120" w:type="dxa"/>
              <w:right w:w="120" w:type="dxa"/>
            </w:tcMar>
            <w:vAlign w:val="center"/>
          </w:tcPr>
          <w:p>
            <w:pPr>
              <w:spacing w:after="0"/>
            </w:pPr>
            <w:r>
              <w:rPr>
                <w:color w:val="282C34"/>
                <w:sz w:val="18"/>
              </w:rPr>
              <w:t>Modular C driver (HAL, register abstraction, anti-collision engine), Linux kernel NFC subsystem (</w:t>
            </w:r>
            <w:r>
              <w:rPr>
                <w:rFonts w:ascii="Consolas" w:hAnsi="Consolas"/>
                <w:color w:val="B4283C"/>
                <w:sz w:val="16"/>
              </w:rPr>
              <w:t>drivers/nfc</w:t>
            </w:r>
            <w:r>
              <w:rPr>
                <w:color w:val="282C34"/>
                <w:sz w:val="18"/>
              </w:rPr>
              <w:t>, Device Tree), oscilloscope/logic analyzer debug traces, RCA troubleshooting matrix</w:t>
            </w:r>
          </w:p>
        </w:tc>
      </w:tr>
      <w:tr>
        <w:tc>
          <w:tcPr>
            <w:tcW w:type="dxa" w:w="3264"/>
            <w:tcMar>
              <w:top w:w="80" w:type="dxa"/>
              <w:bottom w:w="80" w:type="dxa"/>
              <w:left w:w="120" w:type="dxa"/>
              <w:right w:w="120" w:type="dxa"/>
            </w:tcMar>
            <w:vAlign w:val="center"/>
          </w:tcPr>
          <w:p>
            <w:pPr>
              <w:spacing w:after="0"/>
            </w:pPr>
            <w:r>
              <w:rPr>
                <w:b/>
                <w:color w:val="282C34"/>
                <w:sz w:val="18"/>
              </w:rPr>
              <w:t>[tools/nfc_calc.py](file:///home/tthhongs/build_tthongs/tasks_aa_ii/vvdn/tools/nfc_calc.py)</w:t>
            </w:r>
          </w:p>
        </w:tc>
        <w:tc>
          <w:tcPr>
            <w:tcW w:type="dxa" w:w="3264"/>
            <w:tcMar>
              <w:top w:w="80" w:type="dxa"/>
              <w:bottom w:w="80" w:type="dxa"/>
              <w:left w:w="120" w:type="dxa"/>
              <w:right w:w="120" w:type="dxa"/>
            </w:tcMar>
            <w:vAlign w:val="center"/>
          </w:tcPr>
          <w:p>
            <w:pPr>
              <w:spacing w:after="0"/>
            </w:pPr>
            <w:r>
              <w:rPr>
                <w:color w:val="282C34"/>
                <w:sz w:val="18"/>
              </w:rPr>
              <w:t>Engineering CLI Calculator Tool</w:t>
            </w:r>
          </w:p>
        </w:tc>
        <w:tc>
          <w:tcPr>
            <w:tcW w:type="dxa" w:w="3264"/>
            <w:tcMar>
              <w:top w:w="80" w:type="dxa"/>
              <w:bottom w:w="80" w:type="dxa"/>
              <w:left w:w="120" w:type="dxa"/>
              <w:right w:w="120" w:type="dxa"/>
            </w:tcMar>
            <w:vAlign w:val="center"/>
          </w:tcPr>
          <w:p>
            <w:pPr>
              <w:spacing w:after="0"/>
            </w:pPr>
            <w:r>
              <w:rPr>
                <w:color w:val="282C34"/>
                <w:sz w:val="18"/>
              </w:rPr>
              <w:t>Loop antenna inductance (</w:t>
            </w:r>
            <w:r>
              <w:rPr>
                <w:i/>
                <w:color w:val="145AA0"/>
                <w:sz w:val="18"/>
              </w:rPr>
              <w:t>L_{ant</w:t>
            </w:r>
            <w:r>
              <w:rPr>
                <w:color w:val="282C34"/>
                <w:sz w:val="18"/>
              </w:rPr>
              <w:t xml:space="preserve">), resonance frequency, </w:t>
            </w:r>
            <w:r>
              <w:rPr>
                <w:i/>
                <w:color w:val="145AA0"/>
                <w:sz w:val="18"/>
              </w:rPr>
              <w:t>Q</w:t>
            </w:r>
            <w:r>
              <w:rPr>
                <w:color w:val="282C34"/>
                <w:sz w:val="18"/>
              </w:rPr>
              <w:t>-factor, matching capacitors (</w:t>
            </w:r>
            <w:r>
              <w:rPr>
                <w:i/>
                <w:color w:val="145AA0"/>
                <w:sz w:val="18"/>
              </w:rPr>
              <w:t>C_{series</w:t>
            </w:r>
            <w:r>
              <w:rPr>
                <w:color w:val="282C34"/>
                <w:sz w:val="18"/>
              </w:rPr>
              <w:t xml:space="preserve">, </w:t>
            </w:r>
            <w:r>
              <w:rPr>
                <w:i/>
                <w:color w:val="145AA0"/>
                <w:sz w:val="18"/>
              </w:rPr>
              <w:t>C_{parallel</w:t>
            </w:r>
            <w:r>
              <w:rPr>
                <w:color w:val="282C34"/>
                <w:sz w:val="18"/>
              </w:rPr>
              <w:t>), damping resistor (</w:t>
            </w:r>
            <w:r>
              <w:rPr>
                <w:i/>
                <w:color w:val="145AA0"/>
                <w:sz w:val="18"/>
              </w:rPr>
              <w:t>R_Q</w:t>
            </w:r>
            <w:r>
              <w:rPr>
                <w:color w:val="282C34"/>
                <w:sz w:val="18"/>
              </w:rPr>
              <w:t>), and NDEF payload encoding</w:t>
            </w:r>
          </w:p>
        </w:tc>
      </w:tr>
    </w:tbl>
    <w:p/>
    <w:p>
      <w:pPr>
        <w:spacing w:before="80" w:after="80"/>
        <w:pBdr>
          <w:bottom w:val="single" w:sz="6" w:space="1" w:color="E2E8F0"/>
        </w:pBdr>
      </w:pPr>
    </w:p>
    <w:p>
      <w:pPr>
        <w:spacing w:before="240" w:after="120"/>
      </w:pPr>
      <w:r>
        <w:rPr>
          <w:b/>
          <w:color w:val="184C78"/>
          <w:sz w:val="28"/>
        </w:rPr>
        <w:t>3. High-Level Comparison: Generic RFID vs. NFC</w:t>
      </w:r>
    </w:p>
    <w:p>
      <w:pPr>
        <w:spacing w:after="80"/>
      </w:pPr>
      <w:r>
        <w:rPr>
          <w:color w:val="282C34"/>
          <w:sz w:val="21"/>
        </w:rPr>
        <w:t>RFID encompasses multiple frequency bands and air interface protocols. NFC is specifically an HF technology operating strictly under standardized contactless communication protocols:</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958"/>
        <w:gridCol w:w="1958"/>
        <w:gridCol w:w="1958"/>
        <w:gridCol w:w="1958"/>
        <w:gridCol w:w="1958"/>
      </w:tblGrid>
      <w:tr>
        <w:tc>
          <w:tcPr>
            <w:tcW w:type="dxa" w:w="1958"/>
            <w:shd w:fill="204A6E"/>
            <w:tcMar>
              <w:top w:w="100" w:type="dxa"/>
              <w:bottom w:w="100" w:type="dxa"/>
              <w:left w:w="120" w:type="dxa"/>
              <w:right w:w="120" w:type="dxa"/>
            </w:tcMar>
            <w:vAlign w:val="center"/>
          </w:tcPr>
          <w:p>
            <w:pPr>
              <w:spacing w:after="0"/>
            </w:pPr>
            <w:r>
              <w:rPr>
                <w:b/>
                <w:color w:val="FFFFFF"/>
                <w:sz w:val="19"/>
              </w:rPr>
              <w:t>Parameter</w:t>
            </w:r>
          </w:p>
        </w:tc>
        <w:tc>
          <w:tcPr>
            <w:tcW w:type="dxa" w:w="1958"/>
            <w:shd w:fill="204A6E"/>
            <w:tcMar>
              <w:top w:w="100" w:type="dxa"/>
              <w:bottom w:w="100" w:type="dxa"/>
              <w:left w:w="120" w:type="dxa"/>
              <w:right w:w="120" w:type="dxa"/>
            </w:tcMar>
            <w:vAlign w:val="center"/>
          </w:tcPr>
          <w:p>
            <w:pPr>
              <w:spacing w:after="0"/>
            </w:pPr>
            <w:r>
              <w:rPr>
                <w:b/>
                <w:color w:val="FFFFFF"/>
                <w:sz w:val="19"/>
              </w:rPr>
              <w:t>Low Frequency (LF) RFID</w:t>
            </w:r>
          </w:p>
        </w:tc>
        <w:tc>
          <w:tcPr>
            <w:tcW w:type="dxa" w:w="1958"/>
            <w:shd w:fill="204A6E"/>
            <w:tcMar>
              <w:top w:w="100" w:type="dxa"/>
              <w:bottom w:w="100" w:type="dxa"/>
              <w:left w:w="120" w:type="dxa"/>
              <w:right w:w="120" w:type="dxa"/>
            </w:tcMar>
            <w:vAlign w:val="center"/>
          </w:tcPr>
          <w:p>
            <w:pPr>
              <w:spacing w:after="0"/>
            </w:pPr>
            <w:r>
              <w:rPr>
                <w:b/>
                <w:color w:val="FFFFFF"/>
                <w:sz w:val="19"/>
              </w:rPr>
              <w:t>High Frequency (HF) RFID</w:t>
            </w:r>
          </w:p>
        </w:tc>
        <w:tc>
          <w:tcPr>
            <w:tcW w:type="dxa" w:w="1958"/>
            <w:shd w:fill="204A6E"/>
            <w:tcMar>
              <w:top w:w="100" w:type="dxa"/>
              <w:bottom w:w="100" w:type="dxa"/>
              <w:left w:w="120" w:type="dxa"/>
              <w:right w:w="120" w:type="dxa"/>
            </w:tcMar>
            <w:vAlign w:val="center"/>
          </w:tcPr>
          <w:p>
            <w:pPr>
              <w:spacing w:after="0"/>
            </w:pPr>
            <w:r>
              <w:rPr>
                <w:b/>
                <w:color w:val="FFFFFF"/>
                <w:sz w:val="19"/>
              </w:rPr>
              <w:t>Near Field Communication (NFC)</w:t>
            </w:r>
          </w:p>
        </w:tc>
        <w:tc>
          <w:tcPr>
            <w:tcW w:type="dxa" w:w="1958"/>
            <w:shd w:fill="204A6E"/>
            <w:tcMar>
              <w:top w:w="100" w:type="dxa"/>
              <w:bottom w:w="100" w:type="dxa"/>
              <w:left w:w="120" w:type="dxa"/>
              <w:right w:w="120" w:type="dxa"/>
            </w:tcMar>
            <w:vAlign w:val="center"/>
          </w:tcPr>
          <w:p>
            <w:pPr>
              <w:spacing w:after="0"/>
            </w:pPr>
            <w:r>
              <w:rPr>
                <w:b/>
                <w:color w:val="FFFFFF"/>
                <w:sz w:val="19"/>
              </w:rPr>
              <w:t>Ultra-High Frequency (UHF) RFID</w:t>
            </w:r>
          </w:p>
        </w:tc>
      </w:tr>
      <w:tr>
        <w:tc>
          <w:tcPr>
            <w:tcW w:type="dxa" w:w="1958"/>
            <w:tcMar>
              <w:top w:w="80" w:type="dxa"/>
              <w:bottom w:w="80" w:type="dxa"/>
              <w:left w:w="120" w:type="dxa"/>
              <w:right w:w="120" w:type="dxa"/>
            </w:tcMar>
            <w:vAlign w:val="center"/>
          </w:tcPr>
          <w:p>
            <w:pPr>
              <w:spacing w:after="0"/>
            </w:pPr>
            <w:r>
              <w:rPr>
                <w:b/>
                <w:color w:val="282C34"/>
                <w:sz w:val="18"/>
              </w:rPr>
              <w:t>Frequency Band</w:t>
            </w:r>
          </w:p>
        </w:tc>
        <w:tc>
          <w:tcPr>
            <w:tcW w:type="dxa" w:w="1958"/>
            <w:tcMar>
              <w:top w:w="80" w:type="dxa"/>
              <w:bottom w:w="80" w:type="dxa"/>
              <w:left w:w="120" w:type="dxa"/>
              <w:right w:w="120" w:type="dxa"/>
            </w:tcMar>
            <w:vAlign w:val="center"/>
          </w:tcPr>
          <w:p>
            <w:pPr>
              <w:spacing w:after="0"/>
            </w:pPr>
            <w:r>
              <w:rPr>
                <w:color w:val="282C34"/>
                <w:sz w:val="18"/>
              </w:rPr>
              <w:t>125 kHz – 134.2 kHz</w:t>
            </w:r>
          </w:p>
        </w:tc>
        <w:tc>
          <w:tcPr>
            <w:tcW w:type="dxa" w:w="1958"/>
            <w:tcMar>
              <w:top w:w="80" w:type="dxa"/>
              <w:bottom w:w="80" w:type="dxa"/>
              <w:left w:w="120" w:type="dxa"/>
              <w:right w:w="120" w:type="dxa"/>
            </w:tcMar>
            <w:vAlign w:val="center"/>
          </w:tcPr>
          <w:p>
            <w:pPr>
              <w:spacing w:after="0"/>
            </w:pPr>
            <w:r>
              <w:rPr>
                <w:color w:val="282C34"/>
                <w:sz w:val="18"/>
              </w:rPr>
              <w:t>13.56 MHz</w:t>
            </w:r>
          </w:p>
        </w:tc>
        <w:tc>
          <w:tcPr>
            <w:tcW w:type="dxa" w:w="1958"/>
            <w:tcMar>
              <w:top w:w="80" w:type="dxa"/>
              <w:bottom w:w="80" w:type="dxa"/>
              <w:left w:w="120" w:type="dxa"/>
              <w:right w:w="120" w:type="dxa"/>
            </w:tcMar>
            <w:vAlign w:val="center"/>
          </w:tcPr>
          <w:p>
            <w:pPr>
              <w:spacing w:after="0"/>
            </w:pPr>
            <w:r>
              <w:rPr>
                <w:b/>
                <w:color w:val="282C34"/>
                <w:sz w:val="18"/>
              </w:rPr>
              <w:t>13.56 MHz</w:t>
            </w:r>
          </w:p>
        </w:tc>
        <w:tc>
          <w:tcPr>
            <w:tcW w:type="dxa" w:w="1958"/>
            <w:tcMar>
              <w:top w:w="80" w:type="dxa"/>
              <w:bottom w:w="80" w:type="dxa"/>
              <w:left w:w="120" w:type="dxa"/>
              <w:right w:w="120" w:type="dxa"/>
            </w:tcMar>
            <w:vAlign w:val="center"/>
          </w:tcPr>
          <w:p>
            <w:pPr>
              <w:spacing w:after="0"/>
            </w:pPr>
            <w:r>
              <w:rPr>
                <w:color w:val="282C34"/>
                <w:sz w:val="18"/>
              </w:rPr>
              <w:t>860 MHz – 960 MHz</w:t>
            </w:r>
          </w:p>
        </w:tc>
      </w:tr>
      <w:tr>
        <w:tc>
          <w:tcPr>
            <w:tcW w:type="dxa" w:w="1958"/>
            <w:shd w:fill="F4F7F9"/>
            <w:tcMar>
              <w:top w:w="80" w:type="dxa"/>
              <w:bottom w:w="80" w:type="dxa"/>
              <w:left w:w="120" w:type="dxa"/>
              <w:right w:w="120" w:type="dxa"/>
            </w:tcMar>
            <w:vAlign w:val="center"/>
          </w:tcPr>
          <w:p>
            <w:pPr>
              <w:spacing w:after="0"/>
            </w:pPr>
            <w:r>
              <w:rPr>
                <w:b/>
                <w:color w:val="282C34"/>
                <w:sz w:val="18"/>
              </w:rPr>
              <w:t>Primary Standard</w:t>
            </w:r>
          </w:p>
        </w:tc>
        <w:tc>
          <w:tcPr>
            <w:tcW w:type="dxa" w:w="1958"/>
            <w:shd w:fill="F4F7F9"/>
            <w:tcMar>
              <w:top w:w="80" w:type="dxa"/>
              <w:bottom w:w="80" w:type="dxa"/>
              <w:left w:w="120" w:type="dxa"/>
              <w:right w:w="120" w:type="dxa"/>
            </w:tcMar>
            <w:vAlign w:val="center"/>
          </w:tcPr>
          <w:p>
            <w:pPr>
              <w:spacing w:after="0"/>
            </w:pPr>
            <w:r>
              <w:rPr>
                <w:color w:val="282C34"/>
                <w:sz w:val="18"/>
              </w:rPr>
              <w:t>ISO 11784 / ISO 11785</w:t>
            </w:r>
          </w:p>
        </w:tc>
        <w:tc>
          <w:tcPr>
            <w:tcW w:type="dxa" w:w="1958"/>
            <w:shd w:fill="F4F7F9"/>
            <w:tcMar>
              <w:top w:w="80" w:type="dxa"/>
              <w:bottom w:w="80" w:type="dxa"/>
              <w:left w:w="120" w:type="dxa"/>
              <w:right w:w="120" w:type="dxa"/>
            </w:tcMar>
            <w:vAlign w:val="center"/>
          </w:tcPr>
          <w:p>
            <w:pPr>
              <w:spacing w:after="0"/>
            </w:pPr>
            <w:r>
              <w:rPr>
                <w:color w:val="282C34"/>
                <w:sz w:val="18"/>
              </w:rPr>
              <w:t>ISO/IEC 15693, ISO 14443</w:t>
            </w:r>
          </w:p>
        </w:tc>
        <w:tc>
          <w:tcPr>
            <w:tcW w:type="dxa" w:w="1958"/>
            <w:shd w:fill="F4F7F9"/>
            <w:tcMar>
              <w:top w:w="80" w:type="dxa"/>
              <w:bottom w:w="80" w:type="dxa"/>
              <w:left w:w="120" w:type="dxa"/>
              <w:right w:w="120" w:type="dxa"/>
            </w:tcMar>
            <w:vAlign w:val="center"/>
          </w:tcPr>
          <w:p>
            <w:pPr>
              <w:spacing w:after="0"/>
            </w:pPr>
            <w:r>
              <w:rPr>
                <w:b/>
                <w:color w:val="282C34"/>
                <w:sz w:val="18"/>
              </w:rPr>
              <w:t>ISO/IEC 18092, ISO 14443A/B, JIS X 6319-4</w:t>
            </w:r>
          </w:p>
        </w:tc>
        <w:tc>
          <w:tcPr>
            <w:tcW w:type="dxa" w:w="1958"/>
            <w:shd w:fill="F4F7F9"/>
            <w:tcMar>
              <w:top w:w="80" w:type="dxa"/>
              <w:bottom w:w="80" w:type="dxa"/>
              <w:left w:w="120" w:type="dxa"/>
              <w:right w:w="120" w:type="dxa"/>
            </w:tcMar>
            <w:vAlign w:val="center"/>
          </w:tcPr>
          <w:p>
            <w:pPr>
              <w:spacing w:after="0"/>
            </w:pPr>
            <w:r>
              <w:rPr>
                <w:color w:val="282C34"/>
                <w:sz w:val="18"/>
              </w:rPr>
              <w:t>ISO/IEC 18000-6C (EPC Gen2)</w:t>
            </w:r>
          </w:p>
        </w:tc>
      </w:tr>
      <w:tr>
        <w:tc>
          <w:tcPr>
            <w:tcW w:type="dxa" w:w="1958"/>
            <w:tcMar>
              <w:top w:w="80" w:type="dxa"/>
              <w:bottom w:w="80" w:type="dxa"/>
              <w:left w:w="120" w:type="dxa"/>
              <w:right w:w="120" w:type="dxa"/>
            </w:tcMar>
            <w:vAlign w:val="center"/>
          </w:tcPr>
          <w:p>
            <w:pPr>
              <w:spacing w:after="0"/>
            </w:pPr>
            <w:r>
              <w:rPr>
                <w:b/>
                <w:color w:val="282C34"/>
                <w:sz w:val="18"/>
              </w:rPr>
              <w:t>Operating Range</w:t>
            </w:r>
          </w:p>
        </w:tc>
        <w:tc>
          <w:tcPr>
            <w:tcW w:type="dxa" w:w="1958"/>
            <w:tcMar>
              <w:top w:w="80" w:type="dxa"/>
              <w:bottom w:w="80" w:type="dxa"/>
              <w:left w:w="120" w:type="dxa"/>
              <w:right w:w="120" w:type="dxa"/>
            </w:tcMar>
            <w:vAlign w:val="center"/>
          </w:tcPr>
          <w:p>
            <w:pPr>
              <w:spacing w:after="0"/>
            </w:pPr>
            <w:r>
              <w:rPr>
                <w:color w:val="282C34"/>
                <w:sz w:val="18"/>
              </w:rPr>
              <w:t>Up to 10 cm</w:t>
            </w:r>
          </w:p>
        </w:tc>
        <w:tc>
          <w:tcPr>
            <w:tcW w:type="dxa" w:w="1958"/>
            <w:tcMar>
              <w:top w:w="80" w:type="dxa"/>
              <w:bottom w:w="80" w:type="dxa"/>
              <w:left w:w="120" w:type="dxa"/>
              <w:right w:w="120" w:type="dxa"/>
            </w:tcMar>
            <w:vAlign w:val="center"/>
          </w:tcPr>
          <w:p>
            <w:pPr>
              <w:spacing w:after="0"/>
            </w:pPr>
            <w:r>
              <w:rPr>
                <w:color w:val="282C34"/>
                <w:sz w:val="18"/>
              </w:rPr>
              <w:t>Up to 1 meter (Vicinity)</w:t>
            </w:r>
          </w:p>
        </w:tc>
        <w:tc>
          <w:tcPr>
            <w:tcW w:type="dxa" w:w="1958"/>
            <w:tcMar>
              <w:top w:w="80" w:type="dxa"/>
              <w:bottom w:w="80" w:type="dxa"/>
              <w:left w:w="120" w:type="dxa"/>
              <w:right w:w="120" w:type="dxa"/>
            </w:tcMar>
            <w:vAlign w:val="center"/>
          </w:tcPr>
          <w:p>
            <w:pPr>
              <w:spacing w:after="0"/>
            </w:pPr>
            <w:r>
              <w:rPr>
                <w:b/>
                <w:color w:val="282C34"/>
                <w:sz w:val="18"/>
              </w:rPr>
              <w:t>Up to 4 – 10 cm (Proximity)</w:t>
            </w:r>
          </w:p>
        </w:tc>
        <w:tc>
          <w:tcPr>
            <w:tcW w:type="dxa" w:w="1958"/>
            <w:tcMar>
              <w:top w:w="80" w:type="dxa"/>
              <w:bottom w:w="80" w:type="dxa"/>
              <w:left w:w="120" w:type="dxa"/>
              <w:right w:w="120" w:type="dxa"/>
            </w:tcMar>
            <w:vAlign w:val="center"/>
          </w:tcPr>
          <w:p>
            <w:pPr>
              <w:spacing w:after="0"/>
            </w:pPr>
            <w:r>
              <w:rPr>
                <w:color w:val="282C34"/>
                <w:sz w:val="18"/>
              </w:rPr>
              <w:t>Up to 10 – 15 meters</w:t>
            </w:r>
          </w:p>
        </w:tc>
      </w:tr>
      <w:tr>
        <w:tc>
          <w:tcPr>
            <w:tcW w:type="dxa" w:w="1958"/>
            <w:shd w:fill="F4F7F9"/>
            <w:tcMar>
              <w:top w:w="80" w:type="dxa"/>
              <w:bottom w:w="80" w:type="dxa"/>
              <w:left w:w="120" w:type="dxa"/>
              <w:right w:w="120" w:type="dxa"/>
            </w:tcMar>
            <w:vAlign w:val="center"/>
          </w:tcPr>
          <w:p>
            <w:pPr>
              <w:spacing w:after="0"/>
            </w:pPr>
            <w:r>
              <w:rPr>
                <w:b/>
                <w:color w:val="282C34"/>
                <w:sz w:val="18"/>
              </w:rPr>
              <w:t>Coupling Mechanism</w:t>
            </w:r>
          </w:p>
        </w:tc>
        <w:tc>
          <w:tcPr>
            <w:tcW w:type="dxa" w:w="1958"/>
            <w:shd w:fill="F4F7F9"/>
            <w:tcMar>
              <w:top w:w="80" w:type="dxa"/>
              <w:bottom w:w="80" w:type="dxa"/>
              <w:left w:w="120" w:type="dxa"/>
              <w:right w:w="120" w:type="dxa"/>
            </w:tcMar>
            <w:vAlign w:val="center"/>
          </w:tcPr>
          <w:p>
            <w:pPr>
              <w:spacing w:after="0"/>
            </w:pPr>
            <w:r>
              <w:rPr>
                <w:color w:val="282C34"/>
                <w:sz w:val="18"/>
              </w:rPr>
              <w:t xml:space="preserve">Inductive (Magnetic </w:t>
            </w:r>
            <w:r>
              <w:rPr>
                <w:i/>
                <w:color w:val="145AA0"/>
                <w:sz w:val="18"/>
              </w:rPr>
              <w:t>H</w:t>
            </w:r>
            <w:r>
              <w:rPr>
                <w:color w:val="282C34"/>
                <w:sz w:val="18"/>
              </w:rPr>
              <w:t>-field)</w:t>
            </w:r>
          </w:p>
        </w:tc>
        <w:tc>
          <w:tcPr>
            <w:tcW w:type="dxa" w:w="1958"/>
            <w:shd w:fill="F4F7F9"/>
            <w:tcMar>
              <w:top w:w="80" w:type="dxa"/>
              <w:bottom w:w="80" w:type="dxa"/>
              <w:left w:w="120" w:type="dxa"/>
              <w:right w:w="120" w:type="dxa"/>
            </w:tcMar>
            <w:vAlign w:val="center"/>
          </w:tcPr>
          <w:p>
            <w:pPr>
              <w:spacing w:after="0"/>
            </w:pPr>
            <w:r>
              <w:rPr>
                <w:color w:val="282C34"/>
                <w:sz w:val="18"/>
              </w:rPr>
              <w:t xml:space="preserve">Inductive (Magnetic </w:t>
            </w:r>
            <w:r>
              <w:rPr>
                <w:i/>
                <w:color w:val="145AA0"/>
                <w:sz w:val="18"/>
              </w:rPr>
              <w:t>H</w:t>
            </w:r>
            <w:r>
              <w:rPr>
                <w:color w:val="282C34"/>
                <w:sz w:val="18"/>
              </w:rPr>
              <w:t>-field)</w:t>
            </w:r>
          </w:p>
        </w:tc>
        <w:tc>
          <w:tcPr>
            <w:tcW w:type="dxa" w:w="1958"/>
            <w:shd w:fill="F4F7F9"/>
            <w:tcMar>
              <w:top w:w="80" w:type="dxa"/>
              <w:bottom w:w="80" w:type="dxa"/>
              <w:left w:w="120" w:type="dxa"/>
              <w:right w:w="120" w:type="dxa"/>
            </w:tcMar>
            <w:vAlign w:val="center"/>
          </w:tcPr>
          <w:p>
            <w:pPr>
              <w:spacing w:after="0"/>
            </w:pPr>
            <w:r>
              <w:rPr>
                <w:b/>
                <w:color w:val="282C34"/>
                <w:sz w:val="18"/>
              </w:rPr>
              <w:t>Inductive (Magnetic $H$-field)</w:t>
            </w:r>
          </w:p>
        </w:tc>
        <w:tc>
          <w:tcPr>
            <w:tcW w:type="dxa" w:w="1958"/>
            <w:shd w:fill="F4F7F9"/>
            <w:tcMar>
              <w:top w:w="80" w:type="dxa"/>
              <w:bottom w:w="80" w:type="dxa"/>
              <w:left w:w="120" w:type="dxa"/>
              <w:right w:w="120" w:type="dxa"/>
            </w:tcMar>
            <w:vAlign w:val="center"/>
          </w:tcPr>
          <w:p>
            <w:pPr>
              <w:spacing w:after="0"/>
            </w:pPr>
            <w:r>
              <w:rPr>
                <w:color w:val="282C34"/>
                <w:sz w:val="18"/>
              </w:rPr>
              <w:t xml:space="preserve">Electromagnetic radiative (Far-field </w:t>
            </w:r>
            <w:r>
              <w:rPr>
                <w:i/>
                <w:color w:val="145AA0"/>
                <w:sz w:val="18"/>
              </w:rPr>
              <w:t>E</w:t>
            </w:r>
            <w:r>
              <w:rPr>
                <w:color w:val="282C34"/>
                <w:sz w:val="18"/>
              </w:rPr>
              <w:t>-field)</w:t>
            </w:r>
          </w:p>
        </w:tc>
      </w:tr>
      <w:tr>
        <w:tc>
          <w:tcPr>
            <w:tcW w:type="dxa" w:w="1958"/>
            <w:tcMar>
              <w:top w:w="80" w:type="dxa"/>
              <w:bottom w:w="80" w:type="dxa"/>
              <w:left w:w="120" w:type="dxa"/>
              <w:right w:w="120" w:type="dxa"/>
            </w:tcMar>
            <w:vAlign w:val="center"/>
          </w:tcPr>
          <w:p>
            <w:pPr>
              <w:spacing w:after="0"/>
            </w:pPr>
            <w:r>
              <w:rPr>
                <w:b/>
                <w:color w:val="282C34"/>
                <w:sz w:val="18"/>
              </w:rPr>
              <w:t>Data Rates</w:t>
            </w:r>
          </w:p>
        </w:tc>
        <w:tc>
          <w:tcPr>
            <w:tcW w:type="dxa" w:w="1958"/>
            <w:tcMar>
              <w:top w:w="80" w:type="dxa"/>
              <w:bottom w:w="80" w:type="dxa"/>
              <w:left w:w="120" w:type="dxa"/>
              <w:right w:w="120" w:type="dxa"/>
            </w:tcMar>
            <w:vAlign w:val="center"/>
          </w:tcPr>
          <w:p>
            <w:pPr>
              <w:spacing w:after="0"/>
            </w:pPr>
            <w:r>
              <w:rPr>
                <w:color w:val="282C34"/>
                <w:sz w:val="18"/>
              </w:rPr>
              <w:t>~2 kbps</w:t>
            </w:r>
          </w:p>
        </w:tc>
        <w:tc>
          <w:tcPr>
            <w:tcW w:type="dxa" w:w="1958"/>
            <w:tcMar>
              <w:top w:w="80" w:type="dxa"/>
              <w:bottom w:w="80" w:type="dxa"/>
              <w:left w:w="120" w:type="dxa"/>
              <w:right w:w="120" w:type="dxa"/>
            </w:tcMar>
            <w:vAlign w:val="center"/>
          </w:tcPr>
          <w:p>
            <w:pPr>
              <w:spacing w:after="0"/>
            </w:pPr>
            <w:r>
              <w:rPr>
                <w:color w:val="282C34"/>
                <w:sz w:val="18"/>
              </w:rPr>
              <w:t>26.48 kbps (ISO 15693)</w:t>
            </w:r>
          </w:p>
        </w:tc>
        <w:tc>
          <w:tcPr>
            <w:tcW w:type="dxa" w:w="1958"/>
            <w:tcMar>
              <w:top w:w="80" w:type="dxa"/>
              <w:bottom w:w="80" w:type="dxa"/>
              <w:left w:w="120" w:type="dxa"/>
              <w:right w:w="120" w:type="dxa"/>
            </w:tcMar>
            <w:vAlign w:val="center"/>
          </w:tcPr>
          <w:p>
            <w:pPr>
              <w:spacing w:after="0"/>
            </w:pPr>
            <w:r>
              <w:rPr>
                <w:b/>
                <w:color w:val="282C34"/>
                <w:sz w:val="18"/>
              </w:rPr>
              <w:t>106, 212, 424, 848 kbps</w:t>
            </w:r>
          </w:p>
        </w:tc>
        <w:tc>
          <w:tcPr>
            <w:tcW w:type="dxa" w:w="1958"/>
            <w:tcMar>
              <w:top w:w="80" w:type="dxa"/>
              <w:bottom w:w="80" w:type="dxa"/>
              <w:left w:w="120" w:type="dxa"/>
              <w:right w:w="120" w:type="dxa"/>
            </w:tcMar>
            <w:vAlign w:val="center"/>
          </w:tcPr>
          <w:p>
            <w:pPr>
              <w:spacing w:after="0"/>
            </w:pPr>
            <w:r>
              <w:rPr>
                <w:color w:val="282C34"/>
                <w:sz w:val="18"/>
              </w:rPr>
              <w:t>40 – 640 kbps</w:t>
            </w:r>
          </w:p>
        </w:tc>
      </w:tr>
      <w:tr>
        <w:tc>
          <w:tcPr>
            <w:tcW w:type="dxa" w:w="1958"/>
            <w:shd w:fill="F4F7F9"/>
            <w:tcMar>
              <w:top w:w="80" w:type="dxa"/>
              <w:bottom w:w="80" w:type="dxa"/>
              <w:left w:w="120" w:type="dxa"/>
              <w:right w:w="120" w:type="dxa"/>
            </w:tcMar>
            <w:vAlign w:val="center"/>
          </w:tcPr>
          <w:p>
            <w:pPr>
              <w:spacing w:after="0"/>
            </w:pPr>
            <w:r>
              <w:rPr>
                <w:b/>
                <w:color w:val="282C34"/>
                <w:sz w:val="18"/>
              </w:rPr>
              <w:t>Operating Modes</w:t>
            </w:r>
          </w:p>
        </w:tc>
        <w:tc>
          <w:tcPr>
            <w:tcW w:type="dxa" w:w="1958"/>
            <w:shd w:fill="F4F7F9"/>
            <w:tcMar>
              <w:top w:w="80" w:type="dxa"/>
              <w:bottom w:w="80" w:type="dxa"/>
              <w:left w:w="120" w:type="dxa"/>
              <w:right w:w="120" w:type="dxa"/>
            </w:tcMar>
            <w:vAlign w:val="center"/>
          </w:tcPr>
          <w:p>
            <w:pPr>
              <w:spacing w:after="0"/>
            </w:pPr>
            <w:r>
              <w:rPr>
                <w:color w:val="282C34"/>
                <w:sz w:val="18"/>
              </w:rPr>
              <w:t>Reader-to-Tag only</w:t>
            </w:r>
          </w:p>
        </w:tc>
        <w:tc>
          <w:tcPr>
            <w:tcW w:type="dxa" w:w="1958"/>
            <w:shd w:fill="F4F7F9"/>
            <w:tcMar>
              <w:top w:w="80" w:type="dxa"/>
              <w:bottom w:w="80" w:type="dxa"/>
              <w:left w:w="120" w:type="dxa"/>
              <w:right w:w="120" w:type="dxa"/>
            </w:tcMar>
            <w:vAlign w:val="center"/>
          </w:tcPr>
          <w:p>
            <w:pPr>
              <w:spacing w:after="0"/>
            </w:pPr>
            <w:r>
              <w:rPr>
                <w:color w:val="282C34"/>
                <w:sz w:val="18"/>
              </w:rPr>
              <w:t>Reader-to-Tag only</w:t>
            </w:r>
          </w:p>
        </w:tc>
        <w:tc>
          <w:tcPr>
            <w:tcW w:type="dxa" w:w="1958"/>
            <w:shd w:fill="F4F7F9"/>
            <w:tcMar>
              <w:top w:w="80" w:type="dxa"/>
              <w:bottom w:w="80" w:type="dxa"/>
              <w:left w:w="120" w:type="dxa"/>
              <w:right w:w="120" w:type="dxa"/>
            </w:tcMar>
            <w:vAlign w:val="center"/>
          </w:tcPr>
          <w:p>
            <w:pPr>
              <w:spacing w:after="0"/>
            </w:pPr>
            <w:r>
              <w:rPr>
                <w:b/>
                <w:color w:val="282C34"/>
                <w:sz w:val="18"/>
              </w:rPr>
              <w:t>1. Reader/Writer&lt;br&gt;2. Card Emulation (PICC)&lt;br&gt;3. Peer-to-Peer (P2P)</w:t>
            </w:r>
          </w:p>
        </w:tc>
        <w:tc>
          <w:tcPr>
            <w:tcW w:type="dxa" w:w="1958"/>
            <w:shd w:fill="F4F7F9"/>
            <w:tcMar>
              <w:top w:w="80" w:type="dxa"/>
              <w:bottom w:w="80" w:type="dxa"/>
              <w:left w:w="120" w:type="dxa"/>
              <w:right w:w="120" w:type="dxa"/>
            </w:tcMar>
            <w:vAlign w:val="center"/>
          </w:tcPr>
          <w:p>
            <w:pPr>
              <w:spacing w:after="0"/>
            </w:pPr>
            <w:r>
              <w:rPr>
                <w:color w:val="282C34"/>
                <w:sz w:val="18"/>
              </w:rPr>
              <w:t>Reader-to-Tag only</w:t>
            </w:r>
          </w:p>
        </w:tc>
      </w:tr>
      <w:tr>
        <w:tc>
          <w:tcPr>
            <w:tcW w:type="dxa" w:w="1958"/>
            <w:tcMar>
              <w:top w:w="80" w:type="dxa"/>
              <w:bottom w:w="80" w:type="dxa"/>
              <w:left w:w="120" w:type="dxa"/>
              <w:right w:w="120" w:type="dxa"/>
            </w:tcMar>
            <w:vAlign w:val="center"/>
          </w:tcPr>
          <w:p>
            <w:pPr>
              <w:spacing w:after="0"/>
            </w:pPr>
            <w:r>
              <w:rPr>
                <w:b/>
                <w:color w:val="282C34"/>
                <w:sz w:val="18"/>
              </w:rPr>
              <w:t>Data Format</w:t>
            </w:r>
          </w:p>
        </w:tc>
        <w:tc>
          <w:tcPr>
            <w:tcW w:type="dxa" w:w="1958"/>
            <w:tcMar>
              <w:top w:w="80" w:type="dxa"/>
              <w:bottom w:w="80" w:type="dxa"/>
              <w:left w:w="120" w:type="dxa"/>
              <w:right w:w="120" w:type="dxa"/>
            </w:tcMar>
            <w:vAlign w:val="center"/>
          </w:tcPr>
          <w:p>
            <w:pPr>
              <w:spacing w:after="0"/>
            </w:pPr>
            <w:r>
              <w:rPr>
                <w:color w:val="282C34"/>
                <w:sz w:val="18"/>
              </w:rPr>
              <w:t>Raw ID number</w:t>
            </w:r>
          </w:p>
        </w:tc>
        <w:tc>
          <w:tcPr>
            <w:tcW w:type="dxa" w:w="1958"/>
            <w:tcMar>
              <w:top w:w="80" w:type="dxa"/>
              <w:bottom w:w="80" w:type="dxa"/>
              <w:left w:w="120" w:type="dxa"/>
              <w:right w:w="120" w:type="dxa"/>
            </w:tcMar>
            <w:vAlign w:val="center"/>
          </w:tcPr>
          <w:p>
            <w:pPr>
              <w:spacing w:after="0"/>
            </w:pPr>
            <w:r>
              <w:rPr>
                <w:color w:val="282C34"/>
                <w:sz w:val="18"/>
              </w:rPr>
              <w:t>Custom binary / block memory</w:t>
            </w:r>
          </w:p>
        </w:tc>
        <w:tc>
          <w:tcPr>
            <w:tcW w:type="dxa" w:w="1958"/>
            <w:tcMar>
              <w:top w:w="80" w:type="dxa"/>
              <w:bottom w:w="80" w:type="dxa"/>
              <w:left w:w="120" w:type="dxa"/>
              <w:right w:w="120" w:type="dxa"/>
            </w:tcMar>
            <w:vAlign w:val="center"/>
          </w:tcPr>
          <w:p>
            <w:pPr>
              <w:spacing w:after="0"/>
            </w:pPr>
            <w:r>
              <w:rPr>
                <w:b/>
                <w:color w:val="282C34"/>
                <w:sz w:val="18"/>
              </w:rPr>
              <w:t>Standardized NDEF (Text, URI, MIME)</w:t>
            </w:r>
          </w:p>
        </w:tc>
        <w:tc>
          <w:tcPr>
            <w:tcW w:type="dxa" w:w="1958"/>
            <w:tcMar>
              <w:top w:w="80" w:type="dxa"/>
              <w:bottom w:w="80" w:type="dxa"/>
              <w:left w:w="120" w:type="dxa"/>
              <w:right w:w="120" w:type="dxa"/>
            </w:tcMar>
            <w:vAlign w:val="center"/>
          </w:tcPr>
          <w:p>
            <w:pPr>
              <w:spacing w:after="0"/>
            </w:pPr>
            <w:r>
              <w:rPr>
                <w:color w:val="282C34"/>
                <w:sz w:val="18"/>
              </w:rPr>
              <w:t>EPC data structures</w:t>
            </w:r>
          </w:p>
        </w:tc>
      </w:tr>
      <w:tr>
        <w:tc>
          <w:tcPr>
            <w:tcW w:type="dxa" w:w="1958"/>
            <w:shd w:fill="F4F7F9"/>
            <w:tcMar>
              <w:top w:w="80" w:type="dxa"/>
              <w:bottom w:w="80" w:type="dxa"/>
              <w:left w:w="120" w:type="dxa"/>
              <w:right w:w="120" w:type="dxa"/>
            </w:tcMar>
            <w:vAlign w:val="center"/>
          </w:tcPr>
          <w:p>
            <w:pPr>
              <w:spacing w:after="0"/>
            </w:pPr>
            <w:r>
              <w:rPr>
                <w:b/>
                <w:color w:val="282C34"/>
                <w:sz w:val="18"/>
              </w:rPr>
              <w:t>Security / Crypto</w:t>
            </w:r>
          </w:p>
        </w:tc>
        <w:tc>
          <w:tcPr>
            <w:tcW w:type="dxa" w:w="1958"/>
            <w:shd w:fill="F4F7F9"/>
            <w:tcMar>
              <w:top w:w="80" w:type="dxa"/>
              <w:bottom w:w="80" w:type="dxa"/>
              <w:left w:w="120" w:type="dxa"/>
              <w:right w:w="120" w:type="dxa"/>
            </w:tcMar>
            <w:vAlign w:val="center"/>
          </w:tcPr>
          <w:p>
            <w:pPr>
              <w:spacing w:after="0"/>
            </w:pPr>
            <w:r>
              <w:rPr>
                <w:color w:val="282C34"/>
                <w:sz w:val="18"/>
              </w:rPr>
              <w:t>None / basic proprietary</w:t>
            </w:r>
          </w:p>
        </w:tc>
        <w:tc>
          <w:tcPr>
            <w:tcW w:type="dxa" w:w="1958"/>
            <w:shd w:fill="F4F7F9"/>
            <w:tcMar>
              <w:top w:w="80" w:type="dxa"/>
              <w:bottom w:w="80" w:type="dxa"/>
              <w:left w:w="120" w:type="dxa"/>
              <w:right w:w="120" w:type="dxa"/>
            </w:tcMar>
            <w:vAlign w:val="center"/>
          </w:tcPr>
          <w:p>
            <w:pPr>
              <w:spacing w:after="0"/>
            </w:pPr>
            <w:r>
              <w:rPr>
                <w:color w:val="282C34"/>
                <w:sz w:val="18"/>
              </w:rPr>
              <w:t>Proprietary (ICODE)</w:t>
            </w:r>
          </w:p>
        </w:tc>
        <w:tc>
          <w:tcPr>
            <w:tcW w:type="dxa" w:w="1958"/>
            <w:shd w:fill="F4F7F9"/>
            <w:tcMar>
              <w:top w:w="80" w:type="dxa"/>
              <w:bottom w:w="80" w:type="dxa"/>
              <w:left w:w="120" w:type="dxa"/>
              <w:right w:w="120" w:type="dxa"/>
            </w:tcMar>
            <w:vAlign w:val="center"/>
          </w:tcPr>
          <w:p>
            <w:pPr>
              <w:spacing w:after="0"/>
            </w:pPr>
            <w:r>
              <w:rPr>
                <w:b/>
                <w:color w:val="282C34"/>
                <w:sz w:val="18"/>
              </w:rPr>
              <w:t>Hardware Crypto (AES, 3DES, ECC, Crypto1)</w:t>
            </w:r>
          </w:p>
        </w:tc>
        <w:tc>
          <w:tcPr>
            <w:tcW w:type="dxa" w:w="1958"/>
            <w:shd w:fill="F4F7F9"/>
            <w:tcMar>
              <w:top w:w="80" w:type="dxa"/>
              <w:bottom w:w="80" w:type="dxa"/>
              <w:left w:w="120" w:type="dxa"/>
              <w:right w:w="120" w:type="dxa"/>
            </w:tcMar>
            <w:vAlign w:val="center"/>
          </w:tcPr>
          <w:p>
            <w:pPr>
              <w:spacing w:after="0"/>
            </w:pPr>
            <w:r>
              <w:rPr>
                <w:color w:val="282C34"/>
                <w:sz w:val="18"/>
              </w:rPr>
              <w:t>Basic kill/access password</w:t>
            </w:r>
          </w:p>
        </w:tc>
      </w:tr>
      <w:tr>
        <w:tc>
          <w:tcPr>
            <w:tcW w:type="dxa" w:w="1958"/>
            <w:tcMar>
              <w:top w:w="80" w:type="dxa"/>
              <w:bottom w:w="80" w:type="dxa"/>
              <w:left w:w="120" w:type="dxa"/>
              <w:right w:w="120" w:type="dxa"/>
            </w:tcMar>
            <w:vAlign w:val="center"/>
          </w:tcPr>
          <w:p>
            <w:pPr>
              <w:spacing w:after="0"/>
            </w:pPr>
            <w:r>
              <w:rPr>
                <w:b/>
                <w:color w:val="282C34"/>
                <w:sz w:val="18"/>
              </w:rPr>
              <w:t>Typical Target</w:t>
            </w:r>
          </w:p>
        </w:tc>
        <w:tc>
          <w:tcPr>
            <w:tcW w:type="dxa" w:w="1958"/>
            <w:tcMar>
              <w:top w:w="80" w:type="dxa"/>
              <w:bottom w:w="80" w:type="dxa"/>
              <w:left w:w="120" w:type="dxa"/>
              <w:right w:w="120" w:type="dxa"/>
            </w:tcMar>
            <w:vAlign w:val="center"/>
          </w:tcPr>
          <w:p>
            <w:pPr>
              <w:spacing w:after="0"/>
            </w:pPr>
            <w:r>
              <w:rPr>
                <w:color w:val="282C34"/>
                <w:sz w:val="18"/>
              </w:rPr>
              <w:t>Animal tagging, car immobilizers</w:t>
            </w:r>
          </w:p>
        </w:tc>
        <w:tc>
          <w:tcPr>
            <w:tcW w:type="dxa" w:w="1958"/>
            <w:tcMar>
              <w:top w:w="80" w:type="dxa"/>
              <w:bottom w:w="80" w:type="dxa"/>
              <w:left w:w="120" w:type="dxa"/>
              <w:right w:w="120" w:type="dxa"/>
            </w:tcMar>
            <w:vAlign w:val="center"/>
          </w:tcPr>
          <w:p>
            <w:pPr>
              <w:spacing w:after="0"/>
            </w:pPr>
            <w:r>
              <w:rPr>
                <w:color w:val="282C34"/>
                <w:sz w:val="18"/>
              </w:rPr>
              <w:t>Asset tracking, library books</w:t>
            </w:r>
          </w:p>
        </w:tc>
        <w:tc>
          <w:tcPr>
            <w:tcW w:type="dxa" w:w="1958"/>
            <w:tcMar>
              <w:top w:w="80" w:type="dxa"/>
              <w:bottom w:w="80" w:type="dxa"/>
              <w:left w:w="120" w:type="dxa"/>
              <w:right w:w="120" w:type="dxa"/>
            </w:tcMar>
            <w:vAlign w:val="center"/>
          </w:tcPr>
          <w:p>
            <w:pPr>
              <w:spacing w:after="0"/>
            </w:pPr>
            <w:r>
              <w:rPr>
                <w:b/>
                <w:color w:val="282C34"/>
                <w:sz w:val="18"/>
              </w:rPr>
              <w:t>Smartphones, contactless payment, IoT pairing</w:t>
            </w:r>
          </w:p>
        </w:tc>
        <w:tc>
          <w:tcPr>
            <w:tcW w:type="dxa" w:w="1958"/>
            <w:tcMar>
              <w:top w:w="80" w:type="dxa"/>
              <w:bottom w:w="80" w:type="dxa"/>
              <w:left w:w="120" w:type="dxa"/>
              <w:right w:w="120" w:type="dxa"/>
            </w:tcMar>
            <w:vAlign w:val="center"/>
          </w:tcPr>
          <w:p>
            <w:pPr>
              <w:spacing w:after="0"/>
            </w:pPr>
            <w:r>
              <w:rPr>
                <w:color w:val="282C34"/>
                <w:sz w:val="18"/>
              </w:rPr>
              <w:t>Logistics pallets, retail apparel</w:t>
            </w:r>
          </w:p>
        </w:tc>
      </w:tr>
    </w:tbl>
    <w:p/>
    <w:p>
      <w:pPr>
        <w:spacing w:before="80" w:after="80"/>
        <w:pBdr>
          <w:bottom w:val="single" w:sz="6" w:space="1" w:color="E2E8F0"/>
        </w:pBdr>
      </w:pPr>
    </w:p>
    <w:p>
      <w:pPr>
        <w:spacing w:before="240" w:after="120"/>
      </w:pPr>
      <w:r>
        <w:rPr>
          <w:b/>
          <w:color w:val="184C78"/>
          <w:sz w:val="28"/>
        </w:rPr>
        <w:t>4. The Standards Landscape</w:t>
      </w:r>
    </w:p>
    <w:p>
      <w:pPr>
        <w:spacing w:after="80"/>
      </w:pPr>
      <w:r>
        <w:rPr>
          <w:color w:val="282C34"/>
          <w:sz w:val="21"/>
        </w:rPr>
        <w:t xml:space="preserve">NFC harmonizes multiple legacy contactless smart card standards into a unified framework governed by the </w:t>
      </w:r>
      <w:r>
        <w:rPr>
          <w:b/>
          <w:color w:val="282C34"/>
          <w:sz w:val="21"/>
        </w:rPr>
        <w:t>NFC Forum</w:t>
      </w:r>
      <w:r>
        <w:rPr>
          <w:color w:val="282C34"/>
          <w:sz w:val="21"/>
        </w:rPr>
        <w:t xml:space="preserve"> and </w:t>
      </w:r>
      <w:r>
        <w:rPr>
          <w:b/>
          <w:color w:val="282C34"/>
          <w:sz w:val="21"/>
        </w:rPr>
        <w:t>ISO/IEC</w:t>
      </w:r>
      <w:r>
        <w:rPr>
          <w:color w:val="282C34"/>
          <w:sz w:val="21"/>
        </w:rPr>
        <w:t>:</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 xml:space="preserve">                                 +----------------------------------+</w:t>
              <w:br/>
              <w:t xml:space="preserve">                                 |         NFC Forum LLCP /         |</w:t>
              <w:br/>
              <w:t xml:space="preserve">                                 |        SNEP / NDEF Exchange      |</w:t>
              <w:br/>
              <w:t xml:space="preserve">                                 +----------------------------------+</w:t>
              <w:br/>
              <w:t xml:space="preserve">                                                  |</w:t>
              <w:br/>
              <w:t xml:space="preserve">                     +----------------------------+----------------------------+</w:t>
              <w:br/>
              <w:t xml:space="preserve">                     |                                                         |</w:t>
              <w:br/>
              <w:t xml:space="preserve">        +-------------------------+                               +-------------------------+</w:t>
              <w:br/>
              <w:t xml:space="preserve">        |  NFC Forum Tag Types    |                               | ISO/IEC 18092 (NFCIP-1) |</w:t>
              <w:br/>
              <w:t xml:space="preserve">        |   (Types 1, 2, 3, 4, 5) |                               |     Peer-to-Peer        |</w:t>
              <w:br/>
              <w:t xml:space="preserve">        +-------------------------+                               +-------------------------+</w:t>
              <w:br/>
              <w:t xml:space="preserve">                     |                                                         |</w:t>
              <w:br/>
              <w:t xml:space="preserve">         +-----------+--------------------+---------------------+              |</w:t>
              <w:br/>
              <w:t xml:space="preserve">         |                                |                     |              |</w:t>
              <w:br/>
              <w:t>+-----------------+              +-----------------+   +-----------------+     |</w:t>
              <w:br/>
              <w:t>| ISO/IEC 14443-4 |              | JIS X 6319-4    |   | ISO/IEC 15693   |     |</w:t>
              <w:br/>
              <w:t>| (T=CL Protocols)|              | (Sony FeliCa)   |   | (Vicinity Cards)|     |</w:t>
              <w:br/>
              <w:t>+-----------------+              +-----------------+   +-----------------+     |</w:t>
              <w:br/>
              <w:t xml:space="preserve">         |                                |                     |              |</w:t>
              <w:br/>
              <w:t>+-----------------+                       |                     |              |</w:t>
              <w:br/>
              <w:t>| ISO/IEC 14443-3 |                       |                     |              |</w:t>
              <w:br/>
              <w:t>| (Anti-collision)|                       |                     |              |</w:t>
              <w:br/>
              <w:t>+-----------------+                       |                     |              |</w:t>
              <w:br/>
              <w:t xml:space="preserve">         |                                |                     |              |</w:t>
              <w:br/>
              <w:t xml:space="preserve">         +--------------------------------+---------------------+--------------+</w:t>
              <w:br/>
              <w:t xml:space="preserve">                                          |</w:t>
              <w:br/>
              <w:t xml:space="preserve">                        +-----------------------------------+</w:t>
              <w:br/>
              <w:t xml:space="preserve">                        | 13.56 MHz Inductive Physical Layer|</w:t>
              <w:br/>
              <w:t xml:space="preserve">                        |      (Modulation, Bit Coding)     |</w:t>
              <w:br/>
              <w:t xml:space="preserve">                        +-----------------------------------+</w:t>
            </w:r>
          </w:p>
        </w:tc>
      </w:tr>
    </w:tbl>
    <w:p/>
    <w:p>
      <w:pPr>
        <w:pStyle w:val="ListNumber"/>
        <w:spacing w:after="40"/>
        <w:ind w:left="360"/>
      </w:pPr>
      <w:r>
        <w:rPr>
          <w:b/>
          <w:color w:val="282C34"/>
          <w:sz w:val="21"/>
        </w:rPr>
        <w:t>ISO/IEC 14443 (Proximity Cards up to 10 cm)</w:t>
      </w:r>
      <w:r>
        <w:rPr>
          <w:color w:val="282C34"/>
          <w:sz w:val="21"/>
        </w:rPr>
        <w:t>:</w:t>
      </w:r>
    </w:p>
    <w:p>
      <w:pPr>
        <w:pStyle w:val="ListBullet"/>
        <w:spacing w:after="40"/>
        <w:ind w:left="720"/>
      </w:pPr>
      <w:r>
        <w:rPr>
          <w:b/>
          <w:color w:val="282C34"/>
          <w:sz w:val="21"/>
        </w:rPr>
        <w:t>Part 1</w:t>
      </w:r>
      <w:r>
        <w:rPr>
          <w:color w:val="282C34"/>
          <w:sz w:val="21"/>
        </w:rPr>
        <w:t>: Physical characteristics (dimensions, UV/X-ray tolerance).</w:t>
      </w:r>
    </w:p>
    <w:p>
      <w:pPr>
        <w:pStyle w:val="ListBullet"/>
        <w:spacing w:after="40"/>
        <w:ind w:left="720"/>
      </w:pPr>
      <w:r>
        <w:rPr>
          <w:b/>
          <w:color w:val="282C34"/>
          <w:sz w:val="21"/>
        </w:rPr>
        <w:t>Part 2</w:t>
      </w:r>
      <w:r>
        <w:rPr>
          <w:color w:val="282C34"/>
          <w:sz w:val="21"/>
        </w:rPr>
        <w:t>: Radio frequency power and signal interface (13.56 MHz, 100% vs 10% ASK, Modified Miller vs NRZ-L).</w:t>
      </w:r>
    </w:p>
    <w:p>
      <w:pPr>
        <w:pStyle w:val="ListBullet"/>
        <w:spacing w:after="40"/>
        <w:ind w:left="720"/>
      </w:pPr>
      <w:r>
        <w:rPr>
          <w:b/>
          <w:color w:val="282C34"/>
          <w:sz w:val="21"/>
        </w:rPr>
        <w:t>Part 3</w:t>
      </w:r>
      <w:r>
        <w:rPr>
          <w:color w:val="282C34"/>
          <w:sz w:val="21"/>
        </w:rPr>
        <w:t>: Initialization and anti-collision framing (REQA/WUPA, ATQA, Cascade Levels 1/2/3, UID, SAK).</w:t>
      </w:r>
    </w:p>
    <w:p>
      <w:pPr>
        <w:pStyle w:val="ListBullet"/>
        <w:spacing w:after="40"/>
        <w:ind w:left="720"/>
      </w:pPr>
      <w:r>
        <w:rPr>
          <w:b/>
          <w:color w:val="282C34"/>
          <w:sz w:val="21"/>
        </w:rPr>
        <w:t>Part 4</w:t>
      </w:r>
      <w:r>
        <w:rPr>
          <w:color w:val="282C34"/>
          <w:sz w:val="21"/>
        </w:rPr>
        <w:t>: Transmission protocol (T=CL, half-duplex block protocol, RATS/ATS, APDUs).</w:t>
      </w:r>
    </w:p>
    <w:p>
      <w:pPr>
        <w:pStyle w:val="ListNumber"/>
        <w:spacing w:after="40"/>
        <w:ind w:left="360"/>
      </w:pPr>
      <w:r>
        <w:rPr>
          <w:b/>
          <w:color w:val="282C34"/>
          <w:sz w:val="21"/>
        </w:rPr>
        <w:t>ISO/IEC 18092 (NFCIP-1 - Near Field Communication Interface and Protocol-1)</w:t>
      </w:r>
      <w:r>
        <w:rPr>
          <w:color w:val="282C34"/>
          <w:sz w:val="21"/>
        </w:rPr>
        <w:t>:</w:t>
      </w:r>
    </w:p>
    <w:p>
      <w:pPr>
        <w:pStyle w:val="ListBullet"/>
        <w:spacing w:after="40"/>
        <w:ind w:left="720"/>
      </w:pPr>
      <w:r>
        <w:rPr>
          <w:color w:val="282C34"/>
          <w:sz w:val="21"/>
        </w:rPr>
        <w:t>Defines Peer-to-Peer (P2P) mode between Initiator and Target.</w:t>
      </w:r>
    </w:p>
    <w:p>
      <w:pPr>
        <w:pStyle w:val="ListBullet"/>
        <w:spacing w:after="40"/>
        <w:ind w:left="720"/>
      </w:pPr>
      <w:r>
        <w:rPr>
          <w:color w:val="282C34"/>
          <w:sz w:val="21"/>
        </w:rPr>
        <w:t>Active communication (both devices generate RF carrier) and Passive communication (Target uses load modulation).</w:t>
      </w:r>
    </w:p>
    <w:p>
      <w:pPr>
        <w:pStyle w:val="ListNumber"/>
        <w:spacing w:after="40"/>
        <w:ind w:left="360"/>
      </w:pPr>
      <w:r>
        <w:rPr>
          <w:b/>
          <w:color w:val="282C34"/>
          <w:sz w:val="21"/>
        </w:rPr>
        <w:t>ISO/IEC 15693 (Vicinity Cards up to 1 meter)</w:t>
      </w:r>
      <w:r>
        <w:rPr>
          <w:color w:val="282C34"/>
          <w:sz w:val="21"/>
        </w:rPr>
        <w:t>:</w:t>
      </w:r>
    </w:p>
    <w:p>
      <w:pPr>
        <w:pStyle w:val="ListBullet"/>
        <w:spacing w:after="40"/>
        <w:ind w:left="720"/>
      </w:pPr>
      <w:r>
        <w:rPr>
          <w:color w:val="282C34"/>
          <w:sz w:val="21"/>
        </w:rPr>
        <w:t xml:space="preserve">Lower field strength requirement, wider reading distance. Adopted by NFC Forum as </w:t>
      </w:r>
      <w:r>
        <w:rPr>
          <w:b/>
          <w:color w:val="282C34"/>
          <w:sz w:val="21"/>
        </w:rPr>
        <w:t>Type 5 Tag</w:t>
      </w:r>
      <w:r>
        <w:rPr>
          <w:color w:val="282C34"/>
          <w:sz w:val="21"/>
        </w:rPr>
        <w:t>.</w:t>
      </w:r>
    </w:p>
    <w:p>
      <w:pPr>
        <w:pStyle w:val="ListNumber"/>
        <w:spacing w:after="40"/>
        <w:ind w:left="360"/>
      </w:pPr>
      <w:r>
        <w:rPr>
          <w:b/>
          <w:color w:val="282C34"/>
          <w:sz w:val="21"/>
        </w:rPr>
        <w:t>NFC Forum Tag Types</w:t>
      </w:r>
      <w:r>
        <w:rPr>
          <w:color w:val="282C34"/>
          <w:sz w:val="21"/>
        </w:rPr>
        <w:t>:</w:t>
      </w:r>
    </w:p>
    <w:p>
      <w:pPr>
        <w:pStyle w:val="ListBullet"/>
        <w:spacing w:after="40"/>
        <w:ind w:left="720"/>
      </w:pPr>
      <w:r>
        <w:rPr>
          <w:b/>
          <w:color w:val="282C34"/>
          <w:sz w:val="21"/>
        </w:rPr>
        <w:t>Type 1</w:t>
      </w:r>
      <w:r>
        <w:rPr>
          <w:color w:val="282C34"/>
          <w:sz w:val="21"/>
        </w:rPr>
        <w:t>: Based on ISO 14443A (Innovision Topaz), 96 to 2048 bytes, read/write.</w:t>
      </w:r>
    </w:p>
    <w:p>
      <w:pPr>
        <w:pStyle w:val="ListBullet"/>
        <w:spacing w:after="40"/>
        <w:ind w:left="720"/>
      </w:pPr>
      <w:r>
        <w:rPr>
          <w:b/>
          <w:color w:val="282C34"/>
          <w:sz w:val="21"/>
        </w:rPr>
        <w:t>Type 2</w:t>
      </w:r>
      <w:r>
        <w:rPr>
          <w:color w:val="282C34"/>
          <w:sz w:val="21"/>
        </w:rPr>
        <w:t>: Based on ISO 14443A (NXP NTAG, MIFARE Ultralight), 48 to 1904 bytes, 4-byte pages.</w:t>
      </w:r>
    </w:p>
    <w:p>
      <w:pPr>
        <w:pStyle w:val="ListBullet"/>
        <w:spacing w:after="40"/>
        <w:ind w:left="720"/>
      </w:pPr>
      <w:r>
        <w:rPr>
          <w:b/>
          <w:color w:val="282C34"/>
          <w:sz w:val="21"/>
        </w:rPr>
        <w:t>Type 3</w:t>
      </w:r>
      <w:r>
        <w:rPr>
          <w:color w:val="282C34"/>
          <w:sz w:val="21"/>
        </w:rPr>
        <w:t>: Based on JIS X 6319-4 (Sony FeliCa), 212/424 kbps.</w:t>
      </w:r>
    </w:p>
    <w:p>
      <w:pPr>
        <w:pStyle w:val="ListBullet"/>
        <w:spacing w:after="40"/>
        <w:ind w:left="720"/>
      </w:pPr>
      <w:r>
        <w:rPr>
          <w:b/>
          <w:color w:val="282C34"/>
          <w:sz w:val="21"/>
        </w:rPr>
        <w:t>Type 4</w:t>
      </w:r>
      <w:r>
        <w:rPr>
          <w:color w:val="282C34"/>
          <w:sz w:val="21"/>
        </w:rPr>
        <w:t>: Based on ISO 14443-4 (NXP MIFARE DESFire, Smart Card ICs), APDU block communication, supports file system (CC and NDEF files).</w:t>
      </w:r>
    </w:p>
    <w:p>
      <w:pPr>
        <w:pStyle w:val="ListBullet"/>
        <w:spacing w:after="40"/>
        <w:ind w:left="720"/>
      </w:pPr>
      <w:r>
        <w:rPr>
          <w:b/>
          <w:color w:val="282C34"/>
          <w:sz w:val="21"/>
        </w:rPr>
        <w:t>Type 5</w:t>
      </w:r>
      <w:r>
        <w:rPr>
          <w:color w:val="282C34"/>
          <w:sz w:val="21"/>
        </w:rPr>
        <w:t>: Based on ISO 15693 (NXP ICODE, ST ST25TV).</w:t>
      </w:r>
    </w:p>
    <w:p>
      <w:pPr>
        <w:spacing w:before="80" w:after="80"/>
        <w:pBdr>
          <w:bottom w:val="single" w:sz="6" w:space="1" w:color="E2E8F0"/>
        </w:pBdr>
      </w:pPr>
    </w:p>
    <w:p>
      <w:pPr>
        <w:spacing w:before="240" w:after="120"/>
      </w:pPr>
      <w:r>
        <w:rPr>
          <w:b/>
          <w:color w:val="184C78"/>
          <w:sz w:val="28"/>
        </w:rPr>
        <w:t>5. NFC Transceiver Chipset Archetypes (SPI Controlled)</w:t>
      </w:r>
    </w:p>
    <w:p>
      <w:pPr>
        <w:spacing w:after="80"/>
      </w:pPr>
      <w:r>
        <w:rPr>
          <w:color w:val="282C34"/>
          <w:sz w:val="21"/>
        </w:rPr>
        <w:t>When architecting an SPI-based NFC solution, hardware engineers choose between two primary silicon archetypes:</w:t>
      </w:r>
    </w:p>
    <w:tbl>
      <w:tblPr>
        <w:tblW w:type="auto" w:w="0"/>
        <w:jc w:val="center"/>
        <w:tblLook w:firstColumn="1" w:firstRow="1" w:lastColumn="0" w:lastRow="0" w:noHBand="0" w:noVBand="1" w:val="04A0"/>
      </w:tblPr>
      <w:tblGrid>
        <w:gridCol w:w="9792"/>
      </w:tblGrid>
      <w:tr>
        <w:tc>
          <w:tcPr>
            <w:tcW w:type="dxa" w:w="9792"/>
            <w:shd w:fill="F5F6F8"/>
            <w:tcMar>
              <w:top w:w="80" w:type="dxa"/>
              <w:bottom w:w="80" w:type="dxa"/>
              <w:left w:w="140" w:type="dxa"/>
              <w:right w:w="140" w:type="dxa"/>
            </w:tcMar>
            <w:tcBorders>
              <w:left w:val="single" w:sz="18" w:space="0" w:color="CBD5E0"/>
              <w:top w:val="none"/>
              <w:right w:val="none"/>
              <w:bottom w:val="none"/>
            </w:tcBorders>
          </w:tcPr>
          <w:p>
            <w:pPr>
              <w:spacing w:line="240" w:lineRule="auto" w:after="0"/>
            </w:pPr>
            <w:r>
              <w:rPr>
                <w:rFonts w:ascii="Consolas" w:hAnsi="Consolas"/>
                <w:color w:val="2D3748"/>
                <w:sz w:val="18"/>
              </w:rPr>
              <w:t>=============================================================================================</w:t>
              <w:br/>
              <w:t>ARCHETYPE 1: Direct Register-Driven Analog Front-End (e.g., MFRC522, ST25R3916, CLRC663)</w:t>
              <w:br/>
              <w:t>=============================================================================================</w:t>
              <w:br/>
              <w:t xml:space="preserve">  +----------+               SPI Bus                +---------------------------------------+</w:t>
              <w:br/>
              <w:t xml:space="preserve">  | Host MCU |  ---------------------------------&gt;  | Transceiver IC                        |</w:t>
              <w:br/>
              <w:t xml:space="preserve">  |          |                                      | - Register Bank (0x00 - 0x3F)         |</w:t>
              <w:br/>
              <w:t xml:space="preserve">  |  Full    |  [SPI Byte 0: Addr|R/W]              | - 64B / 512B FIFO                     |</w:t>
              <w:br/>
              <w:t xml:space="preserve">  | Protocol |  [SPI Byte 1..N: Data]               | - Bit Framing Engine (BitFramingReg)  |</w:t>
              <w:br/>
              <w:t xml:space="preserve">  |  Stack   |  &lt;================================&gt;  | - Analog Modulator / Demodulator      |</w:t>
              <w:br/>
              <w:t xml:space="preserve">  |  in C    |                                      | - Auto CRC16_A Calculation            |</w:t>
              <w:br/>
              <w:t xml:space="preserve">  +----------+         IRQ Pin (Event Wakeup)       +---------------------------------------+</w:t>
              <w:br/>
              <w:br/>
              <w:t>=============================================================================================</w:t>
              <w:br/>
              <w:t>ARCHETYPE 2: Packet-Oriented Intelligent NFC Controller (e.g., NXP PN532, PN7160)</w:t>
              <w:br/>
              <w:t>=============================================================================================</w:t>
              <w:br/>
              <w:t xml:space="preserve">  +----------+               SPI Bus                +---------------------------------------+</w:t>
              <w:br/>
              <w:t xml:space="preserve">  | Host MCU |  ---------------------------------&gt;  | Intelligent Controller IC             |</w:t>
              <w:br/>
              <w:t xml:space="preserve">  |          |                                      | - Embedded 8051 / ARM Core + ROM FW   |</w:t>
              <w:br/>
              <w:t xml:space="preserve">  | High-Lvl |  [Preamble, LEN, LCS, TFI, CMD, DCS] | - Full ISO 14443-3/4 State Machine    |</w:t>
              <w:br/>
              <w:t xml:space="preserve">  | Commands |  [Handshake: Status Byte Polling]    | - Native Card Emulation &amp; P2P Target  |</w:t>
              <w:br/>
              <w:t xml:space="preserve">  |  Only    |  &lt;================================&gt;  | - Auto Polling &amp; Anti-Collision Engine|</w:t>
              <w:br/>
              <w:t xml:space="preserve">  +----------+         IRQ Pin (Ready / Data Avail) +---------------------------------------+</w:t>
            </w:r>
          </w:p>
        </w:tc>
      </w:tr>
    </w:tbl>
    <w:p/>
    <w:p>
      <w:pPr>
        <w:spacing w:before="160" w:after="80"/>
      </w:pPr>
      <w:r>
        <w:rPr>
          <w:b/>
          <w:color w:val="4682B4"/>
          <w:sz w:val="24"/>
        </w:rPr>
        <w:t>Comparative Selection Matrix:</w:t>
      </w:r>
    </w:p>
    <w:tbl>
      <w:tblPr>
        <w:tblW w:type="auto" w:w="0"/>
        <w:jc w:val="center"/>
        <w:tblLook w:firstColumn="1" w:firstRow="1" w:lastColumn="0" w:lastRow="0" w:noHBand="0" w:noVBand="1" w:val="04A0"/>
        <w:tblBorders>
          <w:top w:val="single" w:sz="4" w:space="0" w:color="D0D7DE"/>
          <w:left w:val="none"/>
          <w:bottom w:val="single" w:sz="8" w:space="0" w:color="D0D7DE"/>
          <w:right w:val="none"/>
          <w:insideH w:val="single" w:sz="4" w:space="0" w:color="D0D7DE"/>
          <w:insideV w:val="none"/>
        </w:tblBorders>
      </w:tblPr>
      <w:tblGrid>
        <w:gridCol w:w="1958"/>
        <w:gridCol w:w="1958"/>
        <w:gridCol w:w="1958"/>
        <w:gridCol w:w="1958"/>
        <w:gridCol w:w="1958"/>
      </w:tblGrid>
      <w:tr>
        <w:tc>
          <w:tcPr>
            <w:tcW w:type="dxa" w:w="1958"/>
            <w:shd w:fill="204A6E"/>
            <w:tcMar>
              <w:top w:w="100" w:type="dxa"/>
              <w:bottom w:w="100" w:type="dxa"/>
              <w:left w:w="120" w:type="dxa"/>
              <w:right w:w="120" w:type="dxa"/>
            </w:tcMar>
            <w:vAlign w:val="center"/>
          </w:tcPr>
          <w:p>
            <w:pPr>
              <w:spacing w:after="0"/>
            </w:pPr>
            <w:r>
              <w:rPr>
                <w:b/>
                <w:color w:val="FFFFFF"/>
                <w:sz w:val="19"/>
              </w:rPr>
              <w:t>Feature / Metric</w:t>
            </w:r>
          </w:p>
        </w:tc>
        <w:tc>
          <w:tcPr>
            <w:tcW w:type="dxa" w:w="1958"/>
            <w:shd w:fill="204A6E"/>
            <w:tcMar>
              <w:top w:w="100" w:type="dxa"/>
              <w:bottom w:w="100" w:type="dxa"/>
              <w:left w:w="120" w:type="dxa"/>
              <w:right w:w="120" w:type="dxa"/>
            </w:tcMar>
            <w:vAlign w:val="center"/>
          </w:tcPr>
          <w:p>
            <w:pPr>
              <w:spacing w:after="0"/>
            </w:pPr>
            <w:r>
              <w:rPr>
                <w:b/>
                <w:color w:val="FFFFFF"/>
                <w:sz w:val="19"/>
              </w:rPr>
              <w:t>NXP MFRC522</w:t>
            </w:r>
          </w:p>
        </w:tc>
        <w:tc>
          <w:tcPr>
            <w:tcW w:type="dxa" w:w="1958"/>
            <w:shd w:fill="204A6E"/>
            <w:tcMar>
              <w:top w:w="100" w:type="dxa"/>
              <w:bottom w:w="100" w:type="dxa"/>
              <w:left w:w="120" w:type="dxa"/>
              <w:right w:w="120" w:type="dxa"/>
            </w:tcMar>
            <w:vAlign w:val="center"/>
          </w:tcPr>
          <w:p>
            <w:pPr>
              <w:spacing w:after="0"/>
            </w:pPr>
            <w:r>
              <w:rPr>
                <w:b/>
                <w:color w:val="FFFFFF"/>
                <w:sz w:val="19"/>
              </w:rPr>
              <w:t>NXP PN532</w:t>
            </w:r>
          </w:p>
        </w:tc>
        <w:tc>
          <w:tcPr>
            <w:tcW w:type="dxa" w:w="1958"/>
            <w:shd w:fill="204A6E"/>
            <w:tcMar>
              <w:top w:w="100" w:type="dxa"/>
              <w:bottom w:w="100" w:type="dxa"/>
              <w:left w:w="120" w:type="dxa"/>
              <w:right w:w="120" w:type="dxa"/>
            </w:tcMar>
            <w:vAlign w:val="center"/>
          </w:tcPr>
          <w:p>
            <w:pPr>
              <w:spacing w:after="0"/>
            </w:pPr>
            <w:r>
              <w:rPr>
                <w:b/>
                <w:color w:val="FFFFFF"/>
                <w:sz w:val="19"/>
              </w:rPr>
              <w:t>STMicro ST25R3916</w:t>
            </w:r>
          </w:p>
        </w:tc>
        <w:tc>
          <w:tcPr>
            <w:tcW w:type="dxa" w:w="1958"/>
            <w:shd w:fill="204A6E"/>
            <w:tcMar>
              <w:top w:w="100" w:type="dxa"/>
              <w:bottom w:w="100" w:type="dxa"/>
              <w:left w:w="120" w:type="dxa"/>
              <w:right w:w="120" w:type="dxa"/>
            </w:tcMar>
            <w:vAlign w:val="center"/>
          </w:tcPr>
          <w:p>
            <w:pPr>
              <w:spacing w:after="0"/>
            </w:pPr>
            <w:r>
              <w:rPr>
                <w:b/>
                <w:color w:val="FFFFFF"/>
                <w:sz w:val="19"/>
              </w:rPr>
              <w:t>TI TRF7970A</w:t>
            </w:r>
          </w:p>
        </w:tc>
      </w:tr>
      <w:tr>
        <w:tc>
          <w:tcPr>
            <w:tcW w:type="dxa" w:w="1958"/>
            <w:tcMar>
              <w:top w:w="80" w:type="dxa"/>
              <w:bottom w:w="80" w:type="dxa"/>
              <w:left w:w="120" w:type="dxa"/>
              <w:right w:w="120" w:type="dxa"/>
            </w:tcMar>
            <w:vAlign w:val="center"/>
          </w:tcPr>
          <w:p>
            <w:pPr>
              <w:spacing w:after="0"/>
            </w:pPr>
            <w:r>
              <w:rPr>
                <w:b/>
                <w:color w:val="282C34"/>
                <w:sz w:val="18"/>
              </w:rPr>
              <w:t>Silicon Architecture</w:t>
            </w:r>
          </w:p>
        </w:tc>
        <w:tc>
          <w:tcPr>
            <w:tcW w:type="dxa" w:w="1958"/>
            <w:tcMar>
              <w:top w:w="80" w:type="dxa"/>
              <w:bottom w:w="80" w:type="dxa"/>
              <w:left w:w="120" w:type="dxa"/>
              <w:right w:w="120" w:type="dxa"/>
            </w:tcMar>
            <w:vAlign w:val="center"/>
          </w:tcPr>
          <w:p>
            <w:pPr>
              <w:spacing w:after="0"/>
            </w:pPr>
            <w:r>
              <w:rPr>
                <w:color w:val="282C34"/>
                <w:sz w:val="18"/>
              </w:rPr>
              <w:t>Direct Register AFE</w:t>
            </w:r>
          </w:p>
        </w:tc>
        <w:tc>
          <w:tcPr>
            <w:tcW w:type="dxa" w:w="1958"/>
            <w:tcMar>
              <w:top w:w="80" w:type="dxa"/>
              <w:bottom w:w="80" w:type="dxa"/>
              <w:left w:w="120" w:type="dxa"/>
              <w:right w:w="120" w:type="dxa"/>
            </w:tcMar>
            <w:vAlign w:val="center"/>
          </w:tcPr>
          <w:p>
            <w:pPr>
              <w:spacing w:after="0"/>
            </w:pPr>
            <w:r>
              <w:rPr>
                <w:color w:val="282C34"/>
                <w:sz w:val="18"/>
              </w:rPr>
              <w:t>Intelligent Controller (8051)</w:t>
            </w:r>
          </w:p>
        </w:tc>
        <w:tc>
          <w:tcPr>
            <w:tcW w:type="dxa" w:w="1958"/>
            <w:tcMar>
              <w:top w:w="80" w:type="dxa"/>
              <w:bottom w:w="80" w:type="dxa"/>
              <w:left w:w="120" w:type="dxa"/>
              <w:right w:w="120" w:type="dxa"/>
            </w:tcMar>
            <w:vAlign w:val="center"/>
          </w:tcPr>
          <w:p>
            <w:pPr>
              <w:spacing w:after="0"/>
            </w:pPr>
            <w:r>
              <w:rPr>
                <w:color w:val="282C34"/>
                <w:sz w:val="18"/>
              </w:rPr>
              <w:t>Direct Register High-Perf AFE</w:t>
            </w:r>
          </w:p>
        </w:tc>
        <w:tc>
          <w:tcPr>
            <w:tcW w:type="dxa" w:w="1958"/>
            <w:tcMar>
              <w:top w:w="80" w:type="dxa"/>
              <w:bottom w:w="80" w:type="dxa"/>
              <w:left w:w="120" w:type="dxa"/>
              <w:right w:w="120" w:type="dxa"/>
            </w:tcMar>
            <w:vAlign w:val="center"/>
          </w:tcPr>
          <w:p>
            <w:pPr>
              <w:spacing w:after="0"/>
            </w:pPr>
            <w:r>
              <w:rPr>
                <w:color w:val="282C34"/>
                <w:sz w:val="18"/>
              </w:rPr>
              <w:t>Direct Register AFE</w:t>
            </w:r>
          </w:p>
        </w:tc>
      </w:tr>
      <w:tr>
        <w:tc>
          <w:tcPr>
            <w:tcW w:type="dxa" w:w="1958"/>
            <w:shd w:fill="F4F7F9"/>
            <w:tcMar>
              <w:top w:w="80" w:type="dxa"/>
              <w:bottom w:w="80" w:type="dxa"/>
              <w:left w:w="120" w:type="dxa"/>
              <w:right w:w="120" w:type="dxa"/>
            </w:tcMar>
            <w:vAlign w:val="center"/>
          </w:tcPr>
          <w:p>
            <w:pPr>
              <w:spacing w:after="0"/>
            </w:pPr>
            <w:r>
              <w:rPr>
                <w:b/>
                <w:color w:val="282C34"/>
                <w:sz w:val="18"/>
              </w:rPr>
              <w:t>SPI Interface Mode</w:t>
            </w:r>
          </w:p>
        </w:tc>
        <w:tc>
          <w:tcPr>
            <w:tcW w:type="dxa" w:w="1958"/>
            <w:shd w:fill="F4F7F9"/>
            <w:tcMar>
              <w:top w:w="80" w:type="dxa"/>
              <w:bottom w:w="80" w:type="dxa"/>
              <w:left w:w="120" w:type="dxa"/>
              <w:right w:w="120" w:type="dxa"/>
            </w:tcMar>
            <w:vAlign w:val="center"/>
          </w:tcPr>
          <w:p>
            <w:pPr>
              <w:spacing w:after="0"/>
            </w:pPr>
            <w:r>
              <w:rPr>
                <w:color w:val="282C34"/>
                <w:sz w:val="18"/>
              </w:rPr>
              <w:t>SPI Mode 0 (CPOL=0, CPHA=0)</w:t>
            </w:r>
          </w:p>
        </w:tc>
        <w:tc>
          <w:tcPr>
            <w:tcW w:type="dxa" w:w="1958"/>
            <w:shd w:fill="F4F7F9"/>
            <w:tcMar>
              <w:top w:w="80" w:type="dxa"/>
              <w:bottom w:w="80" w:type="dxa"/>
              <w:left w:w="120" w:type="dxa"/>
              <w:right w:w="120" w:type="dxa"/>
            </w:tcMar>
            <w:vAlign w:val="center"/>
          </w:tcPr>
          <w:p>
            <w:pPr>
              <w:spacing w:after="0"/>
            </w:pPr>
            <w:r>
              <w:rPr>
                <w:color w:val="282C34"/>
                <w:sz w:val="18"/>
              </w:rPr>
              <w:t>SPI Mode 0 (Handshake Protocol)</w:t>
            </w:r>
          </w:p>
        </w:tc>
        <w:tc>
          <w:tcPr>
            <w:tcW w:type="dxa" w:w="1958"/>
            <w:shd w:fill="F4F7F9"/>
            <w:tcMar>
              <w:top w:w="80" w:type="dxa"/>
              <w:bottom w:w="80" w:type="dxa"/>
              <w:left w:w="120" w:type="dxa"/>
              <w:right w:w="120" w:type="dxa"/>
            </w:tcMar>
            <w:vAlign w:val="center"/>
          </w:tcPr>
          <w:p>
            <w:pPr>
              <w:spacing w:after="0"/>
            </w:pPr>
            <w:r>
              <w:rPr>
                <w:color w:val="282C34"/>
                <w:sz w:val="18"/>
              </w:rPr>
              <w:t>SPI Mode 1 or Mode 0</w:t>
            </w:r>
          </w:p>
        </w:tc>
        <w:tc>
          <w:tcPr>
            <w:tcW w:type="dxa" w:w="1958"/>
            <w:shd w:fill="F4F7F9"/>
            <w:tcMar>
              <w:top w:w="80" w:type="dxa"/>
              <w:bottom w:w="80" w:type="dxa"/>
              <w:left w:w="120" w:type="dxa"/>
              <w:right w:w="120" w:type="dxa"/>
            </w:tcMar>
            <w:vAlign w:val="center"/>
          </w:tcPr>
          <w:p>
            <w:pPr>
              <w:spacing w:after="0"/>
            </w:pPr>
            <w:r>
              <w:rPr>
                <w:color w:val="282C34"/>
                <w:sz w:val="18"/>
              </w:rPr>
              <w:t>SPI Mode 1 (CPOL=0, CPHA=1)</w:t>
            </w:r>
          </w:p>
        </w:tc>
      </w:tr>
      <w:tr>
        <w:tc>
          <w:tcPr>
            <w:tcW w:type="dxa" w:w="1958"/>
            <w:tcMar>
              <w:top w:w="80" w:type="dxa"/>
              <w:bottom w:w="80" w:type="dxa"/>
              <w:left w:w="120" w:type="dxa"/>
              <w:right w:w="120" w:type="dxa"/>
            </w:tcMar>
            <w:vAlign w:val="center"/>
          </w:tcPr>
          <w:p>
            <w:pPr>
              <w:spacing w:after="0"/>
            </w:pPr>
            <w:r>
              <w:rPr>
                <w:b/>
                <w:color w:val="282C34"/>
                <w:sz w:val="18"/>
              </w:rPr>
              <w:t>SPI Bit Order</w:t>
            </w:r>
          </w:p>
        </w:tc>
        <w:tc>
          <w:tcPr>
            <w:tcW w:type="dxa" w:w="1958"/>
            <w:tcMar>
              <w:top w:w="80" w:type="dxa"/>
              <w:bottom w:w="80" w:type="dxa"/>
              <w:left w:w="120" w:type="dxa"/>
              <w:right w:w="120" w:type="dxa"/>
            </w:tcMar>
            <w:vAlign w:val="center"/>
          </w:tcPr>
          <w:p>
            <w:pPr>
              <w:spacing w:after="0"/>
            </w:pPr>
            <w:r>
              <w:rPr>
                <w:b/>
                <w:color w:val="282C34"/>
                <w:sz w:val="18"/>
              </w:rPr>
              <w:t>MSB-First</w:t>
            </w:r>
          </w:p>
        </w:tc>
        <w:tc>
          <w:tcPr>
            <w:tcW w:type="dxa" w:w="1958"/>
            <w:tcMar>
              <w:top w:w="80" w:type="dxa"/>
              <w:bottom w:w="80" w:type="dxa"/>
              <w:left w:w="120" w:type="dxa"/>
              <w:right w:w="120" w:type="dxa"/>
            </w:tcMar>
            <w:vAlign w:val="center"/>
          </w:tcPr>
          <w:p>
            <w:pPr>
              <w:spacing w:after="0"/>
            </w:pPr>
            <w:r>
              <w:rPr>
                <w:b/>
                <w:color w:val="282C34"/>
                <w:sz w:val="18"/>
              </w:rPr>
              <w:t>LSB-First (Critical Trap!)</w:t>
            </w:r>
          </w:p>
        </w:tc>
        <w:tc>
          <w:tcPr>
            <w:tcW w:type="dxa" w:w="1958"/>
            <w:tcMar>
              <w:top w:w="80" w:type="dxa"/>
              <w:bottom w:w="80" w:type="dxa"/>
              <w:left w:w="120" w:type="dxa"/>
              <w:right w:w="120" w:type="dxa"/>
            </w:tcMar>
            <w:vAlign w:val="center"/>
          </w:tcPr>
          <w:p>
            <w:pPr>
              <w:spacing w:after="0"/>
            </w:pPr>
            <w:r>
              <w:rPr>
                <w:b/>
                <w:color w:val="282C34"/>
                <w:sz w:val="18"/>
              </w:rPr>
              <w:t>MSB-First</w:t>
            </w:r>
          </w:p>
        </w:tc>
        <w:tc>
          <w:tcPr>
            <w:tcW w:type="dxa" w:w="1958"/>
            <w:tcMar>
              <w:top w:w="80" w:type="dxa"/>
              <w:bottom w:w="80" w:type="dxa"/>
              <w:left w:w="120" w:type="dxa"/>
              <w:right w:w="120" w:type="dxa"/>
            </w:tcMar>
            <w:vAlign w:val="center"/>
          </w:tcPr>
          <w:p>
            <w:pPr>
              <w:spacing w:after="0"/>
            </w:pPr>
            <w:r>
              <w:rPr>
                <w:b/>
                <w:color w:val="282C34"/>
                <w:sz w:val="18"/>
              </w:rPr>
              <w:t>MSB-First</w:t>
            </w:r>
          </w:p>
        </w:tc>
      </w:tr>
      <w:tr>
        <w:tc>
          <w:tcPr>
            <w:tcW w:type="dxa" w:w="1958"/>
            <w:shd w:fill="F4F7F9"/>
            <w:tcMar>
              <w:top w:w="80" w:type="dxa"/>
              <w:bottom w:w="80" w:type="dxa"/>
              <w:left w:w="120" w:type="dxa"/>
              <w:right w:w="120" w:type="dxa"/>
            </w:tcMar>
            <w:vAlign w:val="center"/>
          </w:tcPr>
          <w:p>
            <w:pPr>
              <w:spacing w:after="0"/>
            </w:pPr>
            <w:r>
              <w:rPr>
                <w:b/>
                <w:color w:val="282C34"/>
                <w:sz w:val="18"/>
              </w:rPr>
              <w:t>Max SPI SCLK</w:t>
            </w:r>
          </w:p>
        </w:tc>
        <w:tc>
          <w:tcPr>
            <w:tcW w:type="dxa" w:w="1958"/>
            <w:shd w:fill="F4F7F9"/>
            <w:tcMar>
              <w:top w:w="80" w:type="dxa"/>
              <w:bottom w:w="80" w:type="dxa"/>
              <w:left w:w="120" w:type="dxa"/>
              <w:right w:w="120" w:type="dxa"/>
            </w:tcMar>
            <w:vAlign w:val="center"/>
          </w:tcPr>
          <w:p>
            <w:pPr>
              <w:spacing w:after="0"/>
            </w:pPr>
            <w:r>
              <w:rPr>
                <w:color w:val="282C34"/>
                <w:sz w:val="18"/>
              </w:rPr>
              <w:t>10 MHz</w:t>
            </w:r>
          </w:p>
        </w:tc>
        <w:tc>
          <w:tcPr>
            <w:tcW w:type="dxa" w:w="1958"/>
            <w:shd w:fill="F4F7F9"/>
            <w:tcMar>
              <w:top w:w="80" w:type="dxa"/>
              <w:bottom w:w="80" w:type="dxa"/>
              <w:left w:w="120" w:type="dxa"/>
              <w:right w:w="120" w:type="dxa"/>
            </w:tcMar>
            <w:vAlign w:val="center"/>
          </w:tcPr>
          <w:p>
            <w:pPr>
              <w:spacing w:after="0"/>
            </w:pPr>
            <w:r>
              <w:rPr>
                <w:color w:val="282C34"/>
                <w:sz w:val="18"/>
              </w:rPr>
              <w:t>5 MHz</w:t>
            </w:r>
          </w:p>
        </w:tc>
        <w:tc>
          <w:tcPr>
            <w:tcW w:type="dxa" w:w="1958"/>
            <w:shd w:fill="F4F7F9"/>
            <w:tcMar>
              <w:top w:w="80" w:type="dxa"/>
              <w:bottom w:w="80" w:type="dxa"/>
              <w:left w:w="120" w:type="dxa"/>
              <w:right w:w="120" w:type="dxa"/>
            </w:tcMar>
            <w:vAlign w:val="center"/>
          </w:tcPr>
          <w:p>
            <w:pPr>
              <w:spacing w:after="0"/>
            </w:pPr>
            <w:r>
              <w:rPr>
                <w:color w:val="282C34"/>
                <w:sz w:val="18"/>
              </w:rPr>
              <w:t>10 MHz (up to 20 MHz streaming)</w:t>
            </w:r>
          </w:p>
        </w:tc>
        <w:tc>
          <w:tcPr>
            <w:tcW w:type="dxa" w:w="1958"/>
            <w:shd w:fill="F4F7F9"/>
            <w:tcMar>
              <w:top w:w="80" w:type="dxa"/>
              <w:bottom w:w="80" w:type="dxa"/>
              <w:left w:w="120" w:type="dxa"/>
              <w:right w:w="120" w:type="dxa"/>
            </w:tcMar>
            <w:vAlign w:val="center"/>
          </w:tcPr>
          <w:p>
            <w:pPr>
              <w:spacing w:after="0"/>
            </w:pPr>
            <w:r>
              <w:rPr>
                <w:color w:val="282C34"/>
                <w:sz w:val="18"/>
              </w:rPr>
              <w:t>10 MHz</w:t>
            </w:r>
          </w:p>
        </w:tc>
      </w:tr>
      <w:tr>
        <w:tc>
          <w:tcPr>
            <w:tcW w:type="dxa" w:w="1958"/>
            <w:tcMar>
              <w:top w:w="80" w:type="dxa"/>
              <w:bottom w:w="80" w:type="dxa"/>
              <w:left w:w="120" w:type="dxa"/>
              <w:right w:w="120" w:type="dxa"/>
            </w:tcMar>
            <w:vAlign w:val="center"/>
          </w:tcPr>
          <w:p>
            <w:pPr>
              <w:spacing w:after="0"/>
            </w:pPr>
            <w:r>
              <w:rPr>
                <w:b/>
                <w:color w:val="282C34"/>
                <w:sz w:val="18"/>
              </w:rPr>
              <w:t>Supported Protocols</w:t>
            </w:r>
          </w:p>
        </w:tc>
        <w:tc>
          <w:tcPr>
            <w:tcW w:type="dxa" w:w="1958"/>
            <w:tcMar>
              <w:top w:w="80" w:type="dxa"/>
              <w:bottom w:w="80" w:type="dxa"/>
              <w:left w:w="120" w:type="dxa"/>
              <w:right w:w="120" w:type="dxa"/>
            </w:tcMar>
            <w:vAlign w:val="center"/>
          </w:tcPr>
          <w:p>
            <w:pPr>
              <w:spacing w:after="0"/>
            </w:pPr>
            <w:r>
              <w:rPr>
                <w:color w:val="282C34"/>
                <w:sz w:val="18"/>
              </w:rPr>
              <w:t>ISO 14443A (MIFARE)</w:t>
            </w:r>
          </w:p>
        </w:tc>
        <w:tc>
          <w:tcPr>
            <w:tcW w:type="dxa" w:w="1958"/>
            <w:tcMar>
              <w:top w:w="80" w:type="dxa"/>
              <w:bottom w:w="80" w:type="dxa"/>
              <w:left w:w="120" w:type="dxa"/>
              <w:right w:w="120" w:type="dxa"/>
            </w:tcMar>
            <w:vAlign w:val="center"/>
          </w:tcPr>
          <w:p>
            <w:pPr>
              <w:spacing w:after="0"/>
            </w:pPr>
            <w:r>
              <w:rPr>
                <w:color w:val="282C34"/>
                <w:sz w:val="18"/>
              </w:rPr>
              <w:t>ISO 14443A/B, FeliCa, ISO 18092</w:t>
            </w:r>
          </w:p>
        </w:tc>
        <w:tc>
          <w:tcPr>
            <w:tcW w:type="dxa" w:w="1958"/>
            <w:tcMar>
              <w:top w:w="80" w:type="dxa"/>
              <w:bottom w:w="80" w:type="dxa"/>
              <w:left w:w="120" w:type="dxa"/>
              <w:right w:w="120" w:type="dxa"/>
            </w:tcMar>
            <w:vAlign w:val="center"/>
          </w:tcPr>
          <w:p>
            <w:pPr>
              <w:spacing w:after="0"/>
            </w:pPr>
            <w:r>
              <w:rPr>
                <w:color w:val="282C34"/>
                <w:sz w:val="18"/>
              </w:rPr>
              <w:t>ISO 14443A/B, FeliCa, ISO 15693</w:t>
            </w:r>
          </w:p>
        </w:tc>
        <w:tc>
          <w:tcPr>
            <w:tcW w:type="dxa" w:w="1958"/>
            <w:tcMar>
              <w:top w:w="80" w:type="dxa"/>
              <w:bottom w:w="80" w:type="dxa"/>
              <w:left w:w="120" w:type="dxa"/>
              <w:right w:w="120" w:type="dxa"/>
            </w:tcMar>
            <w:vAlign w:val="center"/>
          </w:tcPr>
          <w:p>
            <w:pPr>
              <w:spacing w:after="0"/>
            </w:pPr>
            <w:r>
              <w:rPr>
                <w:color w:val="282C34"/>
                <w:sz w:val="18"/>
              </w:rPr>
              <w:t>ISO 14443A/B, FeliCa, ISO 15693</w:t>
            </w:r>
          </w:p>
        </w:tc>
      </w:tr>
      <w:tr>
        <w:tc>
          <w:tcPr>
            <w:tcW w:type="dxa" w:w="1958"/>
            <w:shd w:fill="F4F7F9"/>
            <w:tcMar>
              <w:top w:w="80" w:type="dxa"/>
              <w:bottom w:w="80" w:type="dxa"/>
              <w:left w:w="120" w:type="dxa"/>
              <w:right w:w="120" w:type="dxa"/>
            </w:tcMar>
            <w:vAlign w:val="center"/>
          </w:tcPr>
          <w:p>
            <w:pPr>
              <w:spacing w:after="0"/>
            </w:pPr>
            <w:r>
              <w:rPr>
                <w:b/>
                <w:color w:val="282C34"/>
                <w:sz w:val="18"/>
              </w:rPr>
              <w:t>Operating Modes</w:t>
            </w:r>
          </w:p>
        </w:tc>
        <w:tc>
          <w:tcPr>
            <w:tcW w:type="dxa" w:w="1958"/>
            <w:shd w:fill="F4F7F9"/>
            <w:tcMar>
              <w:top w:w="80" w:type="dxa"/>
              <w:bottom w:w="80" w:type="dxa"/>
              <w:left w:w="120" w:type="dxa"/>
              <w:right w:w="120" w:type="dxa"/>
            </w:tcMar>
            <w:vAlign w:val="center"/>
          </w:tcPr>
          <w:p>
            <w:pPr>
              <w:spacing w:after="0"/>
            </w:pPr>
            <w:r>
              <w:rPr>
                <w:color w:val="282C34"/>
                <w:sz w:val="18"/>
              </w:rPr>
              <w:t>Reader/Writer only</w:t>
            </w:r>
          </w:p>
        </w:tc>
        <w:tc>
          <w:tcPr>
            <w:tcW w:type="dxa" w:w="1958"/>
            <w:shd w:fill="F4F7F9"/>
            <w:tcMar>
              <w:top w:w="80" w:type="dxa"/>
              <w:bottom w:w="80" w:type="dxa"/>
              <w:left w:w="120" w:type="dxa"/>
              <w:right w:w="120" w:type="dxa"/>
            </w:tcMar>
            <w:vAlign w:val="center"/>
          </w:tcPr>
          <w:p>
            <w:pPr>
              <w:spacing w:after="0"/>
            </w:pPr>
            <w:r>
              <w:rPr>
                <w:color w:val="282C34"/>
                <w:sz w:val="18"/>
              </w:rPr>
              <w:t>Reader/Writer, Card Emu, P2P</w:t>
            </w:r>
          </w:p>
        </w:tc>
        <w:tc>
          <w:tcPr>
            <w:tcW w:type="dxa" w:w="1958"/>
            <w:shd w:fill="F4F7F9"/>
            <w:tcMar>
              <w:top w:w="80" w:type="dxa"/>
              <w:bottom w:w="80" w:type="dxa"/>
              <w:left w:w="120" w:type="dxa"/>
              <w:right w:w="120" w:type="dxa"/>
            </w:tcMar>
            <w:vAlign w:val="center"/>
          </w:tcPr>
          <w:p>
            <w:pPr>
              <w:spacing w:after="0"/>
            </w:pPr>
            <w:r>
              <w:rPr>
                <w:color w:val="282C34"/>
                <w:sz w:val="18"/>
              </w:rPr>
              <w:t>Reader/Writer, Card Emu, P2P</w:t>
            </w:r>
          </w:p>
        </w:tc>
        <w:tc>
          <w:tcPr>
            <w:tcW w:type="dxa" w:w="1958"/>
            <w:shd w:fill="F4F7F9"/>
            <w:tcMar>
              <w:top w:w="80" w:type="dxa"/>
              <w:bottom w:w="80" w:type="dxa"/>
              <w:left w:w="120" w:type="dxa"/>
              <w:right w:w="120" w:type="dxa"/>
            </w:tcMar>
            <w:vAlign w:val="center"/>
          </w:tcPr>
          <w:p>
            <w:pPr>
              <w:spacing w:after="0"/>
            </w:pPr>
            <w:r>
              <w:rPr>
                <w:color w:val="282C34"/>
                <w:sz w:val="18"/>
              </w:rPr>
              <w:t>Reader/Writer, Card Emu, P2P</w:t>
            </w:r>
          </w:p>
        </w:tc>
      </w:tr>
      <w:tr>
        <w:tc>
          <w:tcPr>
            <w:tcW w:type="dxa" w:w="1958"/>
            <w:tcMar>
              <w:top w:w="80" w:type="dxa"/>
              <w:bottom w:w="80" w:type="dxa"/>
              <w:left w:w="120" w:type="dxa"/>
              <w:right w:w="120" w:type="dxa"/>
            </w:tcMar>
            <w:vAlign w:val="center"/>
          </w:tcPr>
          <w:p>
            <w:pPr>
              <w:spacing w:after="0"/>
            </w:pPr>
            <w:r>
              <w:rPr>
                <w:b/>
                <w:color w:val="282C34"/>
                <w:sz w:val="18"/>
              </w:rPr>
              <w:t>Max RF Output Power</w:t>
            </w:r>
          </w:p>
        </w:tc>
        <w:tc>
          <w:tcPr>
            <w:tcW w:type="dxa" w:w="1958"/>
            <w:tcMar>
              <w:top w:w="80" w:type="dxa"/>
              <w:bottom w:w="80" w:type="dxa"/>
              <w:left w:w="120" w:type="dxa"/>
              <w:right w:w="120" w:type="dxa"/>
            </w:tcMar>
            <w:vAlign w:val="center"/>
          </w:tcPr>
          <w:p>
            <w:pPr>
              <w:spacing w:after="0"/>
            </w:pPr>
            <w:r>
              <w:rPr>
                <w:color w:val="282C34"/>
                <w:sz w:val="18"/>
              </w:rPr>
              <w:t>~150 mW</w:t>
            </w:r>
          </w:p>
        </w:tc>
        <w:tc>
          <w:tcPr>
            <w:tcW w:type="dxa" w:w="1958"/>
            <w:tcMar>
              <w:top w:w="80" w:type="dxa"/>
              <w:bottom w:w="80" w:type="dxa"/>
              <w:left w:w="120" w:type="dxa"/>
              <w:right w:w="120" w:type="dxa"/>
            </w:tcMar>
            <w:vAlign w:val="center"/>
          </w:tcPr>
          <w:p>
            <w:pPr>
              <w:spacing w:after="0"/>
            </w:pPr>
            <w:r>
              <w:rPr>
                <w:color w:val="282C34"/>
                <w:sz w:val="18"/>
              </w:rPr>
              <w:t>~200 mW</w:t>
            </w:r>
          </w:p>
        </w:tc>
        <w:tc>
          <w:tcPr>
            <w:tcW w:type="dxa" w:w="1958"/>
            <w:tcMar>
              <w:top w:w="80" w:type="dxa"/>
              <w:bottom w:w="80" w:type="dxa"/>
              <w:left w:w="120" w:type="dxa"/>
              <w:right w:w="120" w:type="dxa"/>
            </w:tcMar>
            <w:vAlign w:val="center"/>
          </w:tcPr>
          <w:p>
            <w:pPr>
              <w:spacing w:after="0"/>
            </w:pPr>
            <w:r>
              <w:rPr>
                <w:color w:val="282C34"/>
                <w:sz w:val="18"/>
              </w:rPr>
              <w:t>Up to 1.6 W (Dynamic Power)</w:t>
            </w:r>
          </w:p>
        </w:tc>
        <w:tc>
          <w:tcPr>
            <w:tcW w:type="dxa" w:w="1958"/>
            <w:tcMar>
              <w:top w:w="80" w:type="dxa"/>
              <w:bottom w:w="80" w:type="dxa"/>
              <w:left w:w="120" w:type="dxa"/>
              <w:right w:w="120" w:type="dxa"/>
            </w:tcMar>
            <w:vAlign w:val="center"/>
          </w:tcPr>
          <w:p>
            <w:pPr>
              <w:spacing w:after="0"/>
            </w:pPr>
            <w:r>
              <w:rPr>
                <w:color w:val="282C34"/>
                <w:sz w:val="18"/>
              </w:rPr>
              <w:t>~200 mW</w:t>
            </w:r>
          </w:p>
        </w:tc>
      </w:tr>
      <w:tr>
        <w:tc>
          <w:tcPr>
            <w:tcW w:type="dxa" w:w="1958"/>
            <w:shd w:fill="F4F7F9"/>
            <w:tcMar>
              <w:top w:w="80" w:type="dxa"/>
              <w:bottom w:w="80" w:type="dxa"/>
              <w:left w:w="120" w:type="dxa"/>
              <w:right w:w="120" w:type="dxa"/>
            </w:tcMar>
            <w:vAlign w:val="center"/>
          </w:tcPr>
          <w:p>
            <w:pPr>
              <w:spacing w:after="0"/>
            </w:pPr>
            <w:r>
              <w:rPr>
                <w:b/>
                <w:color w:val="282C34"/>
                <w:sz w:val="18"/>
              </w:rPr>
              <w:t>Host Stack Burden</w:t>
            </w:r>
          </w:p>
        </w:tc>
        <w:tc>
          <w:tcPr>
            <w:tcW w:type="dxa" w:w="1958"/>
            <w:shd w:fill="F4F7F9"/>
            <w:tcMar>
              <w:top w:w="80" w:type="dxa"/>
              <w:bottom w:w="80" w:type="dxa"/>
              <w:left w:w="120" w:type="dxa"/>
              <w:right w:w="120" w:type="dxa"/>
            </w:tcMar>
            <w:vAlign w:val="center"/>
          </w:tcPr>
          <w:p>
            <w:pPr>
              <w:spacing w:after="0"/>
            </w:pPr>
            <w:r>
              <w:rPr>
                <w:color w:val="282C34"/>
                <w:sz w:val="18"/>
              </w:rPr>
              <w:t>High (Host runs ISO-3/4)</w:t>
            </w:r>
          </w:p>
        </w:tc>
        <w:tc>
          <w:tcPr>
            <w:tcW w:type="dxa" w:w="1958"/>
            <w:shd w:fill="F4F7F9"/>
            <w:tcMar>
              <w:top w:w="80" w:type="dxa"/>
              <w:bottom w:w="80" w:type="dxa"/>
              <w:left w:w="120" w:type="dxa"/>
              <w:right w:w="120" w:type="dxa"/>
            </w:tcMar>
            <w:vAlign w:val="center"/>
          </w:tcPr>
          <w:p>
            <w:pPr>
              <w:spacing w:after="0"/>
            </w:pPr>
            <w:r>
              <w:rPr>
                <w:color w:val="282C34"/>
                <w:sz w:val="18"/>
              </w:rPr>
              <w:t>Low (Chip runs ISO-3/4)</w:t>
            </w:r>
          </w:p>
        </w:tc>
        <w:tc>
          <w:tcPr>
            <w:tcW w:type="dxa" w:w="1958"/>
            <w:shd w:fill="F4F7F9"/>
            <w:tcMar>
              <w:top w:w="80" w:type="dxa"/>
              <w:bottom w:w="80" w:type="dxa"/>
              <w:left w:w="120" w:type="dxa"/>
              <w:right w:w="120" w:type="dxa"/>
            </w:tcMar>
            <w:vAlign w:val="center"/>
          </w:tcPr>
          <w:p>
            <w:pPr>
              <w:spacing w:after="0"/>
            </w:pPr>
            <w:r>
              <w:rPr>
                <w:color w:val="282C34"/>
                <w:sz w:val="18"/>
              </w:rPr>
              <w:t>Medium (Host runs ISO-4/NDEF)</w:t>
            </w:r>
          </w:p>
        </w:tc>
        <w:tc>
          <w:tcPr>
            <w:tcW w:type="dxa" w:w="1958"/>
            <w:shd w:fill="F4F7F9"/>
            <w:tcMar>
              <w:top w:w="80" w:type="dxa"/>
              <w:bottom w:w="80" w:type="dxa"/>
              <w:left w:w="120" w:type="dxa"/>
              <w:right w:w="120" w:type="dxa"/>
            </w:tcMar>
            <w:vAlign w:val="center"/>
          </w:tcPr>
          <w:p>
            <w:pPr>
              <w:spacing w:after="0"/>
            </w:pPr>
            <w:r>
              <w:rPr>
                <w:color w:val="282C34"/>
                <w:sz w:val="18"/>
              </w:rPr>
              <w:t>High (Host runs ISO-3/4)</w:t>
            </w:r>
          </w:p>
        </w:tc>
      </w:tr>
      <w:tr>
        <w:tc>
          <w:tcPr>
            <w:tcW w:type="dxa" w:w="1958"/>
            <w:tcMar>
              <w:top w:w="80" w:type="dxa"/>
              <w:bottom w:w="80" w:type="dxa"/>
              <w:left w:w="120" w:type="dxa"/>
              <w:right w:w="120" w:type="dxa"/>
            </w:tcMar>
            <w:vAlign w:val="center"/>
          </w:tcPr>
          <w:p>
            <w:pPr>
              <w:spacing w:after="0"/>
            </w:pPr>
            <w:r>
              <w:rPr>
                <w:b/>
                <w:color w:val="282C34"/>
                <w:sz w:val="18"/>
              </w:rPr>
              <w:t>Target Applications</w:t>
            </w:r>
          </w:p>
        </w:tc>
        <w:tc>
          <w:tcPr>
            <w:tcW w:type="dxa" w:w="1958"/>
            <w:tcMar>
              <w:top w:w="80" w:type="dxa"/>
              <w:bottom w:w="80" w:type="dxa"/>
              <w:left w:w="120" w:type="dxa"/>
              <w:right w:w="120" w:type="dxa"/>
            </w:tcMar>
            <w:vAlign w:val="center"/>
          </w:tcPr>
          <w:p>
            <w:pPr>
              <w:spacing w:after="0"/>
            </w:pPr>
            <w:r>
              <w:rPr>
                <w:color w:val="282C34"/>
                <w:sz w:val="18"/>
              </w:rPr>
              <w:t>Access control, low-cost tags</w:t>
            </w:r>
          </w:p>
        </w:tc>
        <w:tc>
          <w:tcPr>
            <w:tcW w:type="dxa" w:w="1958"/>
            <w:tcMar>
              <w:top w:w="80" w:type="dxa"/>
              <w:bottom w:w="80" w:type="dxa"/>
              <w:left w:w="120" w:type="dxa"/>
              <w:right w:w="120" w:type="dxa"/>
            </w:tcMar>
            <w:vAlign w:val="center"/>
          </w:tcPr>
          <w:p>
            <w:pPr>
              <w:spacing w:after="0"/>
            </w:pPr>
            <w:r>
              <w:rPr>
                <w:color w:val="282C34"/>
                <w:sz w:val="18"/>
              </w:rPr>
              <w:t>Prototyping, P2P, POS terminals</w:t>
            </w:r>
          </w:p>
        </w:tc>
        <w:tc>
          <w:tcPr>
            <w:tcW w:type="dxa" w:w="1958"/>
            <w:tcMar>
              <w:top w:w="80" w:type="dxa"/>
              <w:bottom w:w="80" w:type="dxa"/>
              <w:left w:w="120" w:type="dxa"/>
              <w:right w:w="120" w:type="dxa"/>
            </w:tcMar>
            <w:vAlign w:val="center"/>
          </w:tcPr>
          <w:p>
            <w:pPr>
              <w:spacing w:after="0"/>
            </w:pPr>
            <w:r>
              <w:rPr>
                <w:color w:val="282C34"/>
                <w:sz w:val="18"/>
              </w:rPr>
              <w:t>Automotive, EMV payment, NFC POS</w:t>
            </w:r>
          </w:p>
        </w:tc>
        <w:tc>
          <w:tcPr>
            <w:tcW w:type="dxa" w:w="1958"/>
            <w:tcMar>
              <w:top w:w="80" w:type="dxa"/>
              <w:bottom w:w="80" w:type="dxa"/>
              <w:left w:w="120" w:type="dxa"/>
              <w:right w:w="120" w:type="dxa"/>
            </w:tcMar>
            <w:vAlign w:val="center"/>
          </w:tcPr>
          <w:p>
            <w:pPr>
              <w:spacing w:after="0"/>
            </w:pPr>
            <w:r>
              <w:rPr>
                <w:color w:val="282C34"/>
                <w:sz w:val="18"/>
              </w:rPr>
              <w:t>Industrial handhelds, asset tracking</w:t>
            </w:r>
          </w:p>
        </w:tc>
      </w:tr>
    </w:tbl>
    <w:p/>
    <w:p>
      <w:pPr>
        <w:spacing w:before="80" w:after="80"/>
        <w:pBdr>
          <w:bottom w:val="single" w:sz="6" w:space="1" w:color="E2E8F0"/>
        </w:pBdr>
      </w:pPr>
    </w:p>
    <w:p>
      <w:pPr>
        <w:spacing w:before="240" w:after="120"/>
      </w:pPr>
      <w:r>
        <w:rPr>
          <w:b/>
          <w:color w:val="184C78"/>
          <w:sz w:val="28"/>
        </w:rPr>
        <w:t>6. Glossary of Essential NFC Terms</w:t>
      </w:r>
    </w:p>
    <w:p>
      <w:pPr>
        <w:pStyle w:val="ListBullet"/>
        <w:spacing w:after="40"/>
        <w:ind w:left="360"/>
      </w:pPr>
      <w:r>
        <w:rPr>
          <w:b/>
          <w:color w:val="282C34"/>
          <w:sz w:val="21"/>
        </w:rPr>
        <w:t>PCD (Proximity Coupling Device)</w:t>
      </w:r>
      <w:r>
        <w:rPr>
          <w:color w:val="282C34"/>
          <w:sz w:val="21"/>
        </w:rPr>
        <w:t>: The NFC reader / writer that generates the 13.56 MHz electromagnetic field and initiates communication.</w:t>
      </w:r>
    </w:p>
    <w:p>
      <w:pPr>
        <w:pStyle w:val="ListBullet"/>
        <w:spacing w:after="40"/>
        <w:ind w:left="360"/>
      </w:pPr>
      <w:r>
        <w:rPr>
          <w:b/>
          <w:color w:val="282C34"/>
          <w:sz w:val="21"/>
        </w:rPr>
        <w:t>PICC (Proximity Integrated Circuit Card)</w:t>
      </w:r>
      <w:r>
        <w:rPr>
          <w:color w:val="282C34"/>
          <w:sz w:val="21"/>
        </w:rPr>
        <w:t>: The contactless card, tag, or mobile phone that responds to the PCD via inductive load modulation.</w:t>
      </w:r>
    </w:p>
    <w:p>
      <w:pPr>
        <w:pStyle w:val="ListBullet"/>
        <w:spacing w:after="40"/>
        <w:ind w:left="360"/>
      </w:pPr>
      <w:r>
        <w:rPr>
          <w:b/>
          <w:color w:val="282C34"/>
          <w:sz w:val="21"/>
        </w:rPr>
        <w:t>VICC (Vicinity Integrated Circuit Card)</w:t>
      </w:r>
      <w:r>
        <w:rPr>
          <w:color w:val="282C34"/>
          <w:sz w:val="21"/>
        </w:rPr>
        <w:t>: An ISO/IEC 15693 tag capable of communication up to 1 meter from a Vicinity Coupling Device (VCD).</w:t>
      </w:r>
    </w:p>
    <w:p>
      <w:pPr>
        <w:pStyle w:val="ListBullet"/>
        <w:spacing w:after="40"/>
        <w:ind w:left="360"/>
      </w:pPr>
      <w:r>
        <w:rPr>
          <w:b/>
          <w:color w:val="282C34"/>
          <w:sz w:val="21"/>
        </w:rPr>
        <w:t>H-Field (Magnetic Field Strength)</w:t>
      </w:r>
      <w:r>
        <w:rPr>
          <w:color w:val="282C34"/>
          <w:sz w:val="21"/>
        </w:rPr>
        <w:t>: Expressed in amperes per meter (</w:t>
      </w:r>
      <w:r>
        <w:rPr>
          <w:i/>
          <w:color w:val="145AA0"/>
          <w:sz w:val="21"/>
        </w:rPr>
        <w:t>A/m</w:t>
      </w:r>
      <w:r>
        <w:rPr>
          <w:color w:val="282C34"/>
          <w:sz w:val="21"/>
        </w:rPr>
        <w:t xml:space="preserve">). ISO 14443 requires the reader to produce between </w:t>
      </w:r>
      <w:r>
        <w:rPr>
          <w:i/>
          <w:color w:val="145AA0"/>
          <w:sz w:val="21"/>
        </w:rPr>
        <w:t>1.5 A/m</w:t>
      </w:r>
      <w:r>
        <w:rPr>
          <w:color w:val="282C34"/>
          <w:sz w:val="21"/>
        </w:rPr>
        <w:t xml:space="preserve"> and </w:t>
      </w:r>
      <w:r>
        <w:rPr>
          <w:i/>
          <w:color w:val="145AA0"/>
          <w:sz w:val="21"/>
        </w:rPr>
        <w:t>7.5 A/m</w:t>
      </w:r>
      <w:r>
        <w:rPr>
          <w:color w:val="282C34"/>
          <w:sz w:val="21"/>
        </w:rPr>
        <w:t xml:space="preserve"> across the operating volume.</w:t>
      </w:r>
    </w:p>
    <w:p>
      <w:pPr>
        <w:pStyle w:val="ListBullet"/>
        <w:spacing w:after="40"/>
        <w:ind w:left="360"/>
      </w:pPr>
      <w:r>
        <w:rPr>
          <w:b/>
          <w:color w:val="282C34"/>
          <w:sz w:val="21"/>
        </w:rPr>
        <w:t>Load Modulation</w:t>
      </w:r>
      <w:r>
        <w:rPr>
          <w:color w:val="282C34"/>
          <w:sz w:val="21"/>
        </w:rPr>
        <w:t>: The physical process by which a passive tag transmits data back to the reader by modulating its antenna loading impedance, inducing voltage changes on the reader coil.</w:t>
      </w:r>
    </w:p>
    <w:p>
      <w:pPr>
        <w:pStyle w:val="ListBullet"/>
        <w:spacing w:after="40"/>
        <w:ind w:left="360"/>
      </w:pPr>
      <w:r>
        <w:rPr>
          <w:b/>
          <w:color w:val="282C34"/>
          <w:sz w:val="21"/>
        </w:rPr>
        <w:t>Subcarrier ($f_s$)</w:t>
      </w:r>
      <w:r>
        <w:rPr>
          <w:color w:val="282C34"/>
          <w:sz w:val="21"/>
        </w:rPr>
        <w:t>: An auxiliary frequency (</w:t>
      </w:r>
      <w:r>
        <w:rPr>
          <w:i/>
          <w:color w:val="145AA0"/>
          <w:sz w:val="21"/>
        </w:rPr>
        <w:t>f_c / 16 \approx 848 kHz</w:t>
      </w:r>
      <w:r>
        <w:rPr>
          <w:color w:val="282C34"/>
          <w:sz w:val="21"/>
        </w:rPr>
        <w:t>) used to separate the card's weak load-modulated uplink signal from the strong 13.56 MHz carrier.</w:t>
      </w:r>
    </w:p>
    <w:p>
      <w:pPr>
        <w:pStyle w:val="ListBullet"/>
        <w:spacing w:after="40"/>
        <w:ind w:left="360"/>
      </w:pPr>
      <w:r>
        <w:rPr>
          <w:b/>
          <w:color w:val="282C34"/>
          <w:sz w:val="21"/>
        </w:rPr>
        <w:t>REQA / WUPA</w:t>
      </w:r>
      <w:r>
        <w:rPr>
          <w:color w:val="282C34"/>
          <w:sz w:val="21"/>
        </w:rPr>
        <w:t xml:space="preserve">: Request Command (7 bits, </w:t>
      </w:r>
      <w:r>
        <w:rPr>
          <w:rFonts w:ascii="Consolas" w:hAnsi="Consolas"/>
          <w:color w:val="B4283C"/>
          <w:sz w:val="18"/>
        </w:rPr>
        <w:t>0x26</w:t>
      </w:r>
      <w:r>
        <w:rPr>
          <w:color w:val="282C34"/>
          <w:sz w:val="21"/>
        </w:rPr>
        <w:t xml:space="preserve">) used to poll for tags in IDLE state; Wake-Up Command (7 bits, </w:t>
      </w:r>
      <w:r>
        <w:rPr>
          <w:rFonts w:ascii="Consolas" w:hAnsi="Consolas"/>
          <w:color w:val="B4283C"/>
          <w:sz w:val="18"/>
        </w:rPr>
        <w:t>0x52</w:t>
      </w:r>
      <w:r>
        <w:rPr>
          <w:color w:val="282C34"/>
          <w:sz w:val="21"/>
        </w:rPr>
        <w:t>) used to poll for all tags including those in HALT state.</w:t>
      </w:r>
    </w:p>
    <w:p>
      <w:pPr>
        <w:pStyle w:val="ListBullet"/>
        <w:spacing w:after="40"/>
        <w:ind w:left="360"/>
      </w:pPr>
      <w:r>
        <w:rPr>
          <w:b/>
          <w:color w:val="282C34"/>
          <w:sz w:val="21"/>
        </w:rPr>
        <w:t>ATQA (Answer to Request Type A)</w:t>
      </w:r>
      <w:r>
        <w:rPr>
          <w:color w:val="282C34"/>
          <w:sz w:val="21"/>
        </w:rPr>
        <w:t>: 2-byte response from a Type A tag indicating UID size and anti-collision bit framing.</w:t>
      </w:r>
    </w:p>
    <w:p>
      <w:pPr>
        <w:pStyle w:val="ListBullet"/>
        <w:spacing w:after="40"/>
        <w:ind w:left="360"/>
      </w:pPr>
      <w:r>
        <w:rPr>
          <w:b/>
          <w:color w:val="282C34"/>
          <w:sz w:val="21"/>
        </w:rPr>
        <w:t>UID (Unique Identifier)</w:t>
      </w:r>
      <w:r>
        <w:rPr>
          <w:color w:val="282C34"/>
          <w:sz w:val="21"/>
        </w:rPr>
        <w:t>: Hardware identifier burned into the tag silicon (Single size = 4 bytes; Double size = 7 bytes; Triple size = 10 bytes).</w:t>
      </w:r>
    </w:p>
    <w:p>
      <w:pPr>
        <w:pStyle w:val="ListBullet"/>
        <w:spacing w:after="40"/>
        <w:ind w:left="360"/>
      </w:pPr>
      <w:r>
        <w:rPr>
          <w:b/>
          <w:color w:val="282C34"/>
          <w:sz w:val="21"/>
        </w:rPr>
        <w:t>SAK (Select Acknowledge)</w:t>
      </w:r>
      <w:r>
        <w:rPr>
          <w:color w:val="282C34"/>
          <w:sz w:val="21"/>
        </w:rPr>
        <w:t>: 1-byte response confirming selection of a specific UID and indicating ISO 14443-4 compliance or proprietary memory tag type.</w:t>
      </w:r>
    </w:p>
    <w:p>
      <w:pPr>
        <w:pStyle w:val="ListBullet"/>
        <w:spacing w:after="40"/>
        <w:ind w:left="360"/>
      </w:pPr>
      <w:r>
        <w:rPr>
          <w:b/>
          <w:color w:val="282C34"/>
          <w:sz w:val="21"/>
        </w:rPr>
        <w:t>RATS / ATS</w:t>
      </w:r>
      <w:r>
        <w:rPr>
          <w:color w:val="282C34"/>
          <w:sz w:val="21"/>
        </w:rPr>
        <w:t>: Request for Answer to Select / Answer to Select. The activation exchange that transitions an ISO 14443-3 tag into the ISO 14443-4 block protocol (T=CL).</w:t>
      </w:r>
    </w:p>
    <w:p>
      <w:pPr>
        <w:pStyle w:val="ListBullet"/>
        <w:spacing w:after="40"/>
        <w:ind w:left="360"/>
      </w:pPr>
      <w:r>
        <w:rPr>
          <w:b/>
          <w:color w:val="282C34"/>
          <w:sz w:val="21"/>
        </w:rPr>
        <w:t>NDEF (NFC Data Exchange Format)</w:t>
      </w:r>
      <w:r>
        <w:rPr>
          <w:color w:val="282C34"/>
          <w:sz w:val="21"/>
        </w:rPr>
        <w:t>: Standardized data container for formatting lightweight records (URLs, vCards, Wi-Fi credentials, text strings) independently of underlying tag silicon.</w:t>
      </w:r>
    </w:p>
    <w:p>
      <w:pPr>
        <w:pStyle w:val="ListBullet"/>
        <w:spacing w:after="40"/>
        <w:ind w:left="360"/>
      </w:pPr>
      <w:r>
        <w:rPr>
          <w:b/>
          <w:color w:val="282C34"/>
          <w:sz w:val="21"/>
        </w:rPr>
        <w:t>HCE (Host Card Emulation)</w:t>
      </w:r>
      <w:r>
        <w:rPr>
          <w:color w:val="282C34"/>
          <w:sz w:val="21"/>
        </w:rPr>
        <w:t>: Software-driven card emulation where an application running on the Host MCU acts as a contactless smart card without requiring a hardware Secure Element (SE).</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D"/>
        <w:sz w:val="17"/>
      </w:rPr>
      <w:t>VVDN Engineering Hub  |  README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Segoe UI" w:hAnsi="Segoe UI"/>
      <w:color w:val="282C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