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REACH Compliance: Architecture, Regulatory Obligations, and Electronics Hardware Guide</w:t>
      </w:r>
    </w:p>
    <w:p>
      <w:pPr>
        <w:spacing w:before="240" w:after="120"/>
      </w:pPr>
      <w:r>
        <w:rPr>
          <w:b/>
          <w:color w:val="184C78"/>
          <w:sz w:val="28"/>
        </w:rPr>
        <w:t>1. What is REACH?</w:t>
      </w:r>
    </w:p>
    <w:p>
      <w:pPr>
        <w:spacing w:after="80"/>
      </w:pPr>
      <w:r>
        <w:rPr>
          <w:b/>
          <w:color w:val="282C34"/>
          <w:sz w:val="21"/>
        </w:rPr>
        <w:t>REACH</w:t>
      </w:r>
      <w:r>
        <w:rPr>
          <w:color w:val="282C34"/>
          <w:sz w:val="21"/>
        </w:rPr>
        <w:t xml:space="preserve"> stands for </w:t>
      </w:r>
      <w:r>
        <w:rPr>
          <w:b/>
          <w:color w:val="282C34"/>
          <w:sz w:val="21"/>
        </w:rPr>
        <w:t>Registration, Evaluation, Authorisation, and Restriction of Chemicals</w:t>
      </w:r>
      <w:r>
        <w:rPr>
          <w:color w:val="282C34"/>
          <w:sz w:val="21"/>
        </w:rPr>
        <w:t>. It is a cornerstone regulation of the European Union—</w:t>
      </w:r>
      <w:r>
        <w:rPr>
          <w:b/>
          <w:color w:val="282C34"/>
          <w:sz w:val="21"/>
        </w:rPr>
        <w:t>Regulation (EC) No 1907/2006</w:t>
      </w:r>
      <w:r>
        <w:rPr>
          <w:color w:val="282C34"/>
          <w:sz w:val="21"/>
        </w:rPr>
        <w:t xml:space="preserve">—overseen by the </w:t>
      </w:r>
      <w:r>
        <w:rPr>
          <w:b/>
          <w:color w:val="282C34"/>
          <w:sz w:val="21"/>
        </w:rPr>
        <w:t>ECHA</w:t>
      </w:r>
      <w:r>
        <w:rPr>
          <w:color w:val="282C34"/>
          <w:sz w:val="21"/>
        </w:rPr>
        <w:t xml:space="preserve"> (European Chemicals Agency) based in Helsinki, Finland.</w:t>
      </w:r>
    </w:p>
    <w:p>
      <w:pPr>
        <w:spacing w:after="80"/>
      </w:pPr>
      <w:r>
        <w:rPr>
          <w:color w:val="282C34"/>
          <w:sz w:val="21"/>
        </w:rPr>
        <w:t xml:space="preserve">Unlike RoHS, which is an industry-specific directive targeting electrical and electronic equipment, REACH is an overarching horizontal regulation encompassing </w:t>
      </w:r>
      <w:r>
        <w:rPr>
          <w:b/>
          <w:color w:val="282C34"/>
          <w:sz w:val="21"/>
        </w:rPr>
        <w:t>all chemical substances across all industries</w:t>
      </w:r>
      <w:r>
        <w:rPr>
          <w:color w:val="282C34"/>
          <w:sz w:val="21"/>
        </w:rPr>
        <w:t>, whether used in industrial chemical processes, daily consumer goods, paints, textiles, or advanced electronic assemblies.</w:t>
      </w:r>
    </w:p>
    <w:p>
      <w:pPr>
        <w:spacing w:before="160" w:after="80"/>
      </w:pPr>
      <w:r>
        <w:rPr>
          <w:b/>
          <w:color w:val="4682B4"/>
          <w:sz w:val="24"/>
        </w:rPr>
        <w:t>The Four Pillars of REACH: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THE 4 PILLARS OF REACH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1. REGISTRATION    Manufacturers &amp; importers of raw chemical substances    │</w:t>
              <w:br/>
              <w:t>│                    must register chemical dossiers with ECHA (≥ 1 tonne/yr).│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2. EVALUATION      ECHA and EU Member States evaluate dossiers to assess   │</w:t>
              <w:br/>
              <w:t>│                    health, aquatic toxicity, and environmental risks.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3. AUTHORISATION   Substances of Very High Concern (SVHC) listed on Annex  │</w:t>
              <w:br/>
              <w:t>│                    XIV are phased out unless specific authorization is won.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4. RESTRICTION     Annex XVII prohibits or strictly limits the manufacture, │</w:t>
              <w:br/>
              <w:t>│                    marketing, or use of specific dangerous substances.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REACH Terminology for Hardware Engineers: Substances, Mixtures, and Articles</w:t>
      </w:r>
    </w:p>
    <w:p>
      <w:pPr>
        <w:spacing w:after="80"/>
      </w:pPr>
      <w:r>
        <w:rPr>
          <w:color w:val="282C34"/>
          <w:sz w:val="21"/>
        </w:rPr>
        <w:t>Understanding REACH requires distinguishing between three regulatory definitions established in Article 3 of the regulation: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Legal Definition (Article 3)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Examples in Hardware Engineering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REACH Regulatory Focus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Substance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 chemical element and its compounds in the natural state or obtained by any manufacturing process.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Pure Copper (</w:t>
            </w:r>
            <w:r>
              <w:rPr>
                <w:i/>
                <w:color w:val="145AA0"/>
                <w:sz w:val="18"/>
              </w:rPr>
              <w:t>Cu</w:t>
            </w:r>
            <w:r>
              <w:rPr>
                <w:color w:val="282C34"/>
                <w:sz w:val="18"/>
              </w:rPr>
              <w:t>), pure Gold (</w:t>
            </w:r>
            <w:r>
              <w:rPr>
                <w:i/>
                <w:color w:val="145AA0"/>
                <w:sz w:val="18"/>
              </w:rPr>
              <w:t>Au</w:t>
            </w:r>
            <w:r>
              <w:rPr>
                <w:color w:val="282C34"/>
                <w:sz w:val="18"/>
              </w:rPr>
              <w:t>), Lead metal (</w:t>
            </w:r>
            <w:r>
              <w:rPr>
                <w:i/>
                <w:color w:val="145AA0"/>
                <w:sz w:val="18"/>
              </w:rPr>
              <w:t>Pb</w:t>
            </w:r>
            <w:r>
              <w:rPr>
                <w:color w:val="282C34"/>
                <w:sz w:val="18"/>
              </w:rPr>
              <w:t>), Silicon (</w:t>
            </w:r>
            <w:r>
              <w:rPr>
                <w:i/>
                <w:color w:val="145AA0"/>
                <w:sz w:val="18"/>
              </w:rPr>
              <w:t>Si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Substance registration (Article 6).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Mixture / Preparation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 mixture or solution composed of two or more substances.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Solder paste, liquid flux, adhesive epoxies, conformal coatings, thermal greases.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Safety Data Sheets (SDS), volume registration.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Article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An object which during production is given a </w:t>
            </w:r>
            <w:r>
              <w:rPr>
                <w:b/>
                <w:color w:val="282C34"/>
                <w:sz w:val="18"/>
              </w:rPr>
              <w:t>special shape, surface, or design</w:t>
            </w:r>
            <w:r>
              <w:rPr>
                <w:color w:val="282C34"/>
                <w:sz w:val="18"/>
              </w:rPr>
              <w:t xml:space="preserve"> which determines its function to a greater degree than does its chemical composition.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Finished IC packages, printed circuit boards (PCBs), connectors, resistors, screws, cables, chassis enclosures, complete PCBAs.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Article 33 Duty to Communicate; SCIP reporting; Annex XVII restrictions.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 xml:space="preserve">Electronic systems integrators and ODM/EMS providers like VVDN primarily design, assemble, and import </w:t>
            </w:r>
            <w:r>
              <w:rPr>
                <w:b/>
                <w:color w:val="282C34"/>
                <w:sz w:val="20"/>
              </w:rPr>
              <w:t>Articles</w:t>
            </w:r>
            <w:r>
              <w:rPr>
                <w:color w:val="282C34"/>
                <w:sz w:val="20"/>
              </w:rPr>
              <w:t xml:space="preserve"> and </w:t>
            </w:r>
            <w:r>
              <w:rPr>
                <w:b/>
                <w:color w:val="282C34"/>
                <w:sz w:val="20"/>
              </w:rPr>
              <w:t>Complex Objects</w:t>
            </w:r>
            <w:r>
              <w:rPr>
                <w:color w:val="282C34"/>
                <w:sz w:val="20"/>
              </w:rPr>
              <w:t xml:space="preserve"> (assemblies made up of multiple individual articles).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SVHC (Substances of Very High Concern) &amp; The Candidate List</w:t>
      </w:r>
    </w:p>
    <w:p>
      <w:pPr>
        <w:spacing w:after="80"/>
      </w:pPr>
      <w:r>
        <w:rPr>
          <w:color w:val="282C34"/>
          <w:sz w:val="21"/>
        </w:rPr>
        <w:t xml:space="preserve">A substance is classified as a </w:t>
      </w:r>
      <w:r>
        <w:rPr>
          <w:b/>
          <w:color w:val="282C34"/>
          <w:sz w:val="21"/>
        </w:rPr>
        <w:t>Substance of Very High Concern (SVHC)</w:t>
      </w:r>
      <w:r>
        <w:rPr>
          <w:color w:val="282C34"/>
          <w:sz w:val="21"/>
        </w:rPr>
        <w:t xml:space="preserve"> if it meets the rigorous hazard criteria defined in </w:t>
      </w:r>
      <w:r>
        <w:rPr>
          <w:b/>
          <w:color w:val="282C34"/>
          <w:sz w:val="21"/>
        </w:rPr>
        <w:t>Article 57</w:t>
      </w:r>
      <w:r>
        <w:rPr>
          <w:color w:val="282C34"/>
          <w:sz w:val="21"/>
        </w:rPr>
        <w:t xml:space="preserve"> of REACH: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CMR</w:t>
      </w:r>
      <w:r>
        <w:rPr>
          <w:color w:val="282C34"/>
          <w:sz w:val="21"/>
        </w:rPr>
        <w:t>: Carcinogenic, Mutagenic, or Toxic for Reproduction (Category 1A or 1B).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PBT</w:t>
      </w:r>
      <w:r>
        <w:rPr>
          <w:color w:val="282C34"/>
          <w:sz w:val="21"/>
        </w:rPr>
        <w:t>: Persistent, Bioaccumulative, and Toxic (per Annex XIII criteria).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vPvB</w:t>
      </w:r>
      <w:r>
        <w:rPr>
          <w:color w:val="282C34"/>
          <w:sz w:val="21"/>
        </w:rPr>
        <w:t>: Very Persistent and Very Bioaccumulative.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Equivalent Level of Concern</w:t>
      </w:r>
      <w:r>
        <w:rPr>
          <w:color w:val="282C34"/>
          <w:sz w:val="21"/>
        </w:rPr>
        <w:t xml:space="preserve">: Substances such as </w:t>
      </w:r>
      <w:r>
        <w:rPr>
          <w:b/>
          <w:color w:val="282C34"/>
          <w:sz w:val="21"/>
        </w:rPr>
        <w:t>endocrine disruptors</w:t>
      </w:r>
      <w:r>
        <w:rPr>
          <w:color w:val="282C34"/>
          <w:sz w:val="21"/>
        </w:rPr>
        <w:t xml:space="preserve"> that cause serious effects on humans or ecosystems equivalent to CMR or PBT.</w:t>
      </w:r>
    </w:p>
    <w:p>
      <w:pPr>
        <w:spacing w:before="160" w:after="80"/>
      </w:pPr>
      <w:r>
        <w:rPr>
          <w:b/>
          <w:color w:val="4682B4"/>
          <w:sz w:val="24"/>
        </w:rPr>
        <w:t>The Candidate List Update Dynamic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an SVHC is proposed and approved, it is placed on the </w:t>
      </w:r>
      <w:r>
        <w:rPr>
          <w:b/>
          <w:color w:val="282C34"/>
          <w:sz w:val="21"/>
        </w:rPr>
        <w:t>ECHA Candidate List for Authorisation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Update Frequency</w:t>
      </w:r>
      <w:r>
        <w:rPr>
          <w:color w:val="282C34"/>
          <w:sz w:val="21"/>
        </w:rPr>
        <w:t xml:space="preserve">: The Candidate List is updated </w:t>
      </w:r>
      <w:r>
        <w:rPr>
          <w:b/>
          <w:color w:val="282C34"/>
          <w:sz w:val="21"/>
        </w:rPr>
        <w:t>twice every year</w:t>
      </w:r>
      <w:r>
        <w:rPr>
          <w:color w:val="282C34"/>
          <w:sz w:val="21"/>
        </w:rPr>
        <w:t xml:space="preserve"> (typically in </w:t>
      </w:r>
      <w:r>
        <w:rPr>
          <w:b/>
          <w:color w:val="282C34"/>
          <w:sz w:val="21"/>
        </w:rPr>
        <w:t>January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June/July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Living Document</w:t>
      </w:r>
      <w:r>
        <w:rPr>
          <w:color w:val="282C34"/>
          <w:sz w:val="21"/>
        </w:rPr>
        <w:t xml:space="preserve">: The list has grown continuously from 15 substances in 2008 to </w:t>
      </w:r>
      <w:r>
        <w:rPr>
          <w:b/>
          <w:color w:val="282C34"/>
          <w:sz w:val="21"/>
        </w:rPr>
        <w:t>over 240+ substances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Immediate Effect</w:t>
      </w:r>
      <w:r>
        <w:rPr>
          <w:color w:val="282C34"/>
          <w:sz w:val="21"/>
        </w:rPr>
        <w:t xml:space="preserve">: The legal obligations for an article manufacturer/importer trigger </w:t>
      </w:r>
      <w:r>
        <w:rPr>
          <w:b/>
          <w:color w:val="282C34"/>
          <w:sz w:val="21"/>
        </w:rPr>
        <w:t>on the exact day</w:t>
      </w:r>
      <w:r>
        <w:rPr>
          <w:color w:val="282C34"/>
          <w:sz w:val="21"/>
        </w:rPr>
        <w:t xml:space="preserve"> a substance is published on the Candidate List. There is no multi-year transition grace period.</w:t>
      </w:r>
    </w:p>
    <w:p>
      <w:pPr>
        <w:spacing w:before="160" w:after="80"/>
      </w:pPr>
      <w:r>
        <w:rPr>
          <w:b/>
          <w:color w:val="4682B4"/>
          <w:sz w:val="24"/>
        </w:rPr>
        <w:t>Common SVHCs Encountered in Hardware &amp; Electronics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Substance Name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CAS Number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Why It Appears in Electronics Hardware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Lead Metal ($Pb$)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7439-92-1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Added to Candidate List in June 2018. Present in brass connectors (up to 4% Pb under RoHS exemption 6c), high-temp solders (RoHS exemption 7a).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Lead Monoxide ($PbO$) / Lead Dioxide ($PbO_2$)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1317-36-8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Constituent of glass passivations in thick-film SMD resistors and diodes (RoHS exemption 7c-I).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Lead Titanium Zirconium Oxide (PZT)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12626-81-2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Piezoelectric buzzers, ultrasound transducers, ceramic resonators.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Octamethylcyclotetrasiloxane (D4)</w:t>
            </w:r>
            <w:r>
              <w:rPr>
                <w:color w:val="282C34"/>
                <w:sz w:val="18"/>
              </w:rPr>
              <w:t xml:space="preserve"> / </w:t>
            </w:r>
            <w:r>
              <w:rPr>
                <w:b/>
                <w:color w:val="282C34"/>
                <w:sz w:val="18"/>
              </w:rPr>
              <w:t>Decamethylcyclopentasiloxane (D5)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556-67-2 / 541-02-6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Residual monomer impurities in silicone thermal pads, silicone gaskets, and potting compounds.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2-Benzyl-2-dimethylamino-4'-morpholinobutyrophenone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119313-12-1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Photoinitiator used in UV-curable solder masks and photoresists.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Dechlorane Plus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13560-89-9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Flame retardant used in cable insulation, electrical tape, and structural plastics.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Melamine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108-78-1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Flame retardant additive in polymer housings and terminal blocks.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Article 33 Duty to Communicate &amp; Consumer Requests</w:t>
      </w:r>
    </w:p>
    <w:p>
      <w:pPr>
        <w:spacing w:after="80"/>
      </w:pPr>
      <w:r>
        <w:rPr>
          <w:color w:val="282C34"/>
          <w:sz w:val="21"/>
        </w:rPr>
        <w:t>Article 33 of REACH imposes a statutory obligation throughout the commercial supply chain regarding SVHCs:</w:t>
      </w:r>
    </w:p>
    <w:p>
      <w:pPr>
        <w:spacing w:before="160" w:after="80"/>
      </w:pPr>
      <w:r>
        <w:rPr>
          <w:b/>
          <w:color w:val="4682B4"/>
          <w:sz w:val="24"/>
        </w:rPr>
        <w:t>4.1 Business-to-Business (B2B) Communication (Article 33(1))</w:t>
      </w:r>
    </w:p>
    <w:p>
      <w:pPr>
        <w:spacing w:after="80"/>
      </w:pPr>
      <w:r>
        <w:rPr>
          <w:color w:val="282C34"/>
          <w:sz w:val="21"/>
        </w:rPr>
        <w:t xml:space="preserve">If any article supplied contains an SVHC in a concentration exceeding </w:t>
      </w:r>
      <w:r>
        <w:rPr>
          <w:b/>
          <w:color w:val="282C34"/>
          <w:sz w:val="21"/>
        </w:rPr>
        <w:t>$0.1\%$ weight-by-weight ($w/w$)</w:t>
      </w:r>
      <w:r>
        <w:rPr>
          <w:color w:val="282C34"/>
          <w:sz w:val="21"/>
        </w:rPr>
        <w:t xml:space="preserve">, the supplier </w:t>
      </w:r>
      <w:r>
        <w:rPr>
          <w:b/>
          <w:color w:val="282C34"/>
          <w:sz w:val="21"/>
        </w:rPr>
        <w:t>must automatically provide the recipient</w:t>
      </w:r>
      <w:r>
        <w:rPr>
          <w:color w:val="282C34"/>
          <w:sz w:val="21"/>
        </w:rPr>
        <w:t xml:space="preserve"> with: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name of the SVHC</w:t>
      </w:r>
      <w:r>
        <w:rPr>
          <w:color w:val="282C34"/>
          <w:sz w:val="21"/>
        </w:rPr>
        <w:t xml:space="preserve"> present.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Sufficient information</w:t>
      </w:r>
      <w:r>
        <w:rPr>
          <w:color w:val="282C34"/>
          <w:sz w:val="21"/>
        </w:rPr>
        <w:t xml:space="preserve"> available to ensure the safe handling and use of the article (e.g., disposal guidelines, skin contact warnings).</w:t>
      </w:r>
    </w:p>
    <w:p>
      <w:pPr>
        <w:spacing w:before="160" w:after="80"/>
      </w:pPr>
      <w:r>
        <w:rPr>
          <w:b/>
          <w:color w:val="4682B4"/>
          <w:sz w:val="24"/>
        </w:rPr>
        <w:t>4.2 Business-to-Consumer (B2C) Communication (Article 33(2))</w:t>
      </w:r>
    </w:p>
    <w:p>
      <w:pPr>
        <w:spacing w:after="80"/>
      </w:pPr>
      <w:r>
        <w:rPr>
          <w:color w:val="282C34"/>
          <w:sz w:val="21"/>
        </w:rPr>
        <w:t xml:space="preserve">Any consumer can ask a retailer or manufacturer whether an article contains an SVHC </w:t>
      </w:r>
      <w:r>
        <w:rPr>
          <w:i/>
          <w:color w:val="145AA0"/>
          <w:sz w:val="21"/>
        </w:rPr>
        <w:t>&gt; 0.1\%\,w/w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supplier is legally bound to provide this information </w:t>
      </w:r>
      <w:r>
        <w:rPr>
          <w:b/>
          <w:color w:val="282C34"/>
          <w:sz w:val="21"/>
        </w:rPr>
        <w:t>free of charge</w:t>
      </w:r>
      <w:r>
        <w:rPr>
          <w:color w:val="282C34"/>
          <w:sz w:val="21"/>
        </w:rPr>
        <w:t xml:space="preserve"> within </w:t>
      </w:r>
      <w:r>
        <w:rPr>
          <w:b/>
          <w:color w:val="282C34"/>
          <w:sz w:val="21"/>
        </w:rPr>
        <w:t>45 calendar days</w:t>
      </w:r>
      <w:r>
        <w:rPr>
          <w:color w:val="282C34"/>
          <w:sz w:val="21"/>
        </w:rPr>
        <w:t xml:space="preserve"> of the request.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The Landmark ECJ Ruling: "Once an Article, Always an Article" (O5A)</w:t>
      </w:r>
    </w:p>
    <w:p>
      <w:pPr>
        <w:spacing w:after="80"/>
      </w:pPr>
      <w:r>
        <w:rPr>
          <w:color w:val="282C34"/>
          <w:sz w:val="21"/>
        </w:rPr>
        <w:t xml:space="preserve">Historically, some manufacturers interpreted the </w:t>
      </w:r>
      <w:r>
        <w:rPr>
          <w:i/>
          <w:color w:val="145AA0"/>
          <w:sz w:val="21"/>
        </w:rPr>
        <w:t>0.1\%\,w/w</w:t>
      </w:r>
      <w:r>
        <w:rPr>
          <w:color w:val="282C34"/>
          <w:sz w:val="21"/>
        </w:rPr>
        <w:t xml:space="preserve"> threshold by calculating the weight of the SVHC against the </w:t>
      </w:r>
      <w:r>
        <w:rPr>
          <w:b/>
          <w:color w:val="282C34"/>
          <w:sz w:val="21"/>
        </w:rPr>
        <w:t>total weight of the entire finished product</w:t>
      </w:r>
      <w:r>
        <w:rPr>
          <w:color w:val="282C34"/>
          <w:sz w:val="21"/>
        </w:rPr>
        <w:t xml:space="preserve"> (e.g., dividing the lead in a micro-resistor by the weight of an entire 5 kg server).</w:t>
      </w:r>
    </w:p>
    <w:p>
      <w:pPr>
        <w:spacing w:after="80"/>
      </w:pPr>
      <w:r>
        <w:rPr>
          <w:color w:val="282C34"/>
          <w:sz w:val="21"/>
        </w:rPr>
        <w:t xml:space="preserve">On </w:t>
      </w:r>
      <w:r>
        <w:rPr>
          <w:b/>
          <w:color w:val="282C34"/>
          <w:sz w:val="21"/>
        </w:rPr>
        <w:t>September 10, 2015</w:t>
      </w:r>
      <w:r>
        <w:rPr>
          <w:color w:val="282C34"/>
          <w:sz w:val="21"/>
        </w:rPr>
        <w:t xml:space="preserve">, the European Court of Justice (ECJ) delivered a landmark ruling in </w:t>
      </w:r>
      <w:r>
        <w:rPr>
          <w:b/>
          <w:color w:val="282C34"/>
          <w:sz w:val="21"/>
        </w:rPr>
        <w:t>Case C-106/14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"Once an Article, Always an Article" (O5A)</w:t>
            </w:r>
            <w:r>
              <w:rPr>
                <w:color w:val="282C34"/>
                <w:sz w:val="20"/>
              </w:rPr>
              <w:t>:</w:t>
              <w:br/>
              <w:t xml:space="preserve">An article remains an article as long as it retains its shape, surface, or design. When individual articles are assembled or joined together into a "complex object" (such as a PCBA, sub-assembly, or complete device), </w:t>
            </w:r>
            <w:r>
              <w:rPr>
                <w:b/>
                <w:color w:val="282C34"/>
                <w:sz w:val="20"/>
              </w:rPr>
              <w:t>each individual sub-article retains its independent duty of notification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Mathematical Worked Example: Why Dilution is Illegal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┌─────────────────────────────────────────────────────────────┐</w:t>
              <w:br/>
              <w:t xml:space="preserve">       │ COMPLEX OBJECT: Server Motherboard (Total Weight: 1000.0 g)  │</w:t>
              <w:br/>
              <w:t xml:space="preserve">       │                                                             │</w:t>
              <w:br/>
              <w:t xml:space="preserve">       │   ┌─────────────────────────────────────────────────────┐   │</w:t>
              <w:br/>
              <w:t xml:space="preserve">       │   │ SUB-ARTICLE: SMT Thick-Film Resistor                │   │</w:t>
              <w:br/>
              <w:t xml:space="preserve">       │   │ Component Total Weight: 0.002 g                     │   │</w:t>
              <w:br/>
              <w:t xml:space="preserve">       │   │ Glass Layer contains Lead Monoxide (PbO): 0.0001 g  │   │</w:t>
              <w:br/>
              <w:t xml:space="preserve">       │   └─────────────────────────────────────────────────────┘   │</w:t>
              <w:br/>
              <w:t xml:space="preserve">     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Incorrect Dilution Calculation (Illegal):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\text{Concentration} = \frac{\text{Mass of PbO}}{\text{Total Motherboard Weight}} = \frac{0.0001\,\text{g}}{1000.0\,\text{g}} = 0.00001\% = 0.1\,\text{ppm} \quad (\ll 0.1\%)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Under this flawed logic, no disclosure would be made.</w:t>
      </w:r>
    </w:p>
    <w:p>
      <w:pPr>
        <w:spacing w:before="120" w:after="40"/>
      </w:pPr>
      <w:r>
        <w:rPr>
          <w:b/>
          <w:color w:val="282C34"/>
          <w:sz w:val="22"/>
        </w:rPr>
        <w:t>Correct O5A Legal Calculation (Mandatory):</w:t>
      </w:r>
    </w:p>
    <w:p>
      <w:pPr>
        <w:spacing w:after="80"/>
      </w:pPr>
      <w:r>
        <w:rPr>
          <w:color w:val="282C34"/>
          <w:sz w:val="21"/>
        </w:rPr>
        <w:t>The resistor is an independent article before assembly into the complex board: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\text{Concentration} = \frac{\text{Mass of PbO}}{\text{Total Resistor Weight}} = \frac{0.0001\,\text{g}}{0.002\,\text{g}} = 5.0\%\,w/w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Since </w:t>
      </w:r>
      <w:r>
        <w:rPr>
          <w:i/>
          <w:color w:val="145AA0"/>
          <w:sz w:val="21"/>
        </w:rPr>
        <w:t>5.0\% &gt; 0.1\%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Article 33 notification IS MANDATORY</w:t>
      </w:r>
      <w:r>
        <w:rPr>
          <w:color w:val="282C34"/>
          <w:sz w:val="21"/>
        </w:rPr>
        <w:t>. The manufacturer must disclose that the PCBA contains Lead Monoxide in its thick-film chip resistors.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Annex XVII (Restrictions) vs Annex XIV (Authorisation)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Annex XVII (Restricted Substances)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Annex XIV (Authorisation List)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Purpose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Immediate or scheduled </w:t>
            </w:r>
            <w:r>
              <w:rPr>
                <w:b/>
                <w:color w:val="282C34"/>
                <w:sz w:val="18"/>
              </w:rPr>
              <w:t>ban or strict cap</w:t>
            </w:r>
            <w:r>
              <w:rPr>
                <w:color w:val="282C34"/>
                <w:sz w:val="18"/>
              </w:rPr>
              <w:t xml:space="preserve"> on specific uses where an unacceptable risk to human health or the environment is proven.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Mechanism to encourage industry to phase out SVHCs and replace them with safer alternatives.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Enforcement Mechanism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Prohibits placing on the market or using the substance for specified restricted applications.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The substance </w:t>
            </w:r>
            <w:r>
              <w:rPr>
                <w:b/>
                <w:color w:val="282C34"/>
                <w:sz w:val="18"/>
              </w:rPr>
              <w:t>cannot be used in the EU after a specific "Sunset Date"</w:t>
            </w:r>
            <w:r>
              <w:rPr>
                <w:color w:val="282C34"/>
                <w:sz w:val="18"/>
              </w:rPr>
              <w:t>, unless the user holds a specific, approved Authorization granted by the European Commission.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Applies to Articles?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YES</w:t>
            </w:r>
            <w:r>
              <w:rPr>
                <w:color w:val="282C34"/>
                <w:sz w:val="18"/>
              </w:rPr>
              <w:t>. Many restrictions specifically govern finished articles (e.g. nickel release on smartwatch cases).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Strictly governs </w:t>
            </w:r>
            <w:r>
              <w:rPr>
                <w:b/>
                <w:color w:val="282C34"/>
                <w:sz w:val="18"/>
              </w:rPr>
              <w:t>manufacturing operations inside the EU</w:t>
            </w:r>
            <w:r>
              <w:rPr>
                <w:color w:val="282C34"/>
                <w:sz w:val="18"/>
              </w:rPr>
              <w:t>. Imported finished articles do not require Annex XIV authorization (though they remain subject to Article 33, SCIP, and Annex XVII).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Key Hardware Examples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- </w:t>
            </w:r>
            <w:r>
              <w:rPr>
                <w:b/>
                <w:color w:val="282C34"/>
                <w:sz w:val="18"/>
              </w:rPr>
              <w:t>Entry 27 (Nickel)</w:t>
            </w:r>
            <w:r>
              <w:rPr>
                <w:color w:val="282C34"/>
                <w:sz w:val="18"/>
              </w:rPr>
              <w:t>: Restricts nickel release (</w:t>
            </w:r>
            <w:r>
              <w:rPr>
                <w:i/>
                <w:color w:val="145AA0"/>
                <w:sz w:val="18"/>
              </w:rPr>
              <w:t>&lt; 0.5\,µg/cm^2/week</w:t>
            </w:r>
            <w:r>
              <w:rPr>
                <w:color w:val="282C34"/>
                <w:sz w:val="18"/>
              </w:rPr>
              <w:t xml:space="preserve">) on items with prolonged skin contact (wearable fitness bands, smartwatches).&lt;br&gt;- </w:t>
            </w:r>
            <w:r>
              <w:rPr>
                <w:b/>
                <w:color w:val="282C34"/>
                <w:sz w:val="18"/>
              </w:rPr>
              <w:t>Entry 51/52 (Phthalates)</w:t>
            </w:r>
            <w:r>
              <w:rPr>
                <w:color w:val="282C34"/>
                <w:sz w:val="18"/>
              </w:rPr>
              <w:t xml:space="preserve">: Restricts DEHP, DBP, BBP, DIBP in toys and childcare equipment.&lt;br&gt;- </w:t>
            </w:r>
            <w:r>
              <w:rPr>
                <w:b/>
                <w:color w:val="282C34"/>
                <w:sz w:val="18"/>
              </w:rPr>
              <w:t>Entry 63 (Lead)</w:t>
            </w:r>
            <w:r>
              <w:rPr>
                <w:color w:val="282C34"/>
                <w:sz w:val="18"/>
              </w:rPr>
              <w:t>: Restricts lead in jewelry and articles that children could mouth.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- Hexavalent chromium compounds used in surface plating facilities within the EU.&lt;br&gt;- Certain industrial phthalates used as plasticizers in EU-based polymer processing plants.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SCIP Database Reporting (EU Waste Framework Directive)</w:t>
      </w:r>
    </w:p>
    <w:p>
      <w:pPr>
        <w:spacing w:after="80"/>
      </w:pPr>
      <w:r>
        <w:rPr>
          <w:color w:val="282C34"/>
          <w:sz w:val="21"/>
        </w:rPr>
        <w:t xml:space="preserve">Under the revised </w:t>
      </w:r>
      <w:r>
        <w:rPr>
          <w:b/>
          <w:color w:val="282C34"/>
          <w:sz w:val="21"/>
        </w:rPr>
        <w:t>Waste Framework Directive (Directive (EU) 2018/851)</w:t>
      </w:r>
      <w:r>
        <w:rPr>
          <w:color w:val="282C34"/>
          <w:sz w:val="21"/>
        </w:rPr>
        <w:t xml:space="preserve">, Article 9(1)(i) mandates that any company producing, importing, or distributing articles containing Candidate List SVHCs </w:t>
      </w:r>
      <w:r>
        <w:rPr>
          <w:i/>
          <w:color w:val="145AA0"/>
          <w:sz w:val="21"/>
        </w:rPr>
        <w:t>&gt; 0.1\%\,w/w</w:t>
      </w:r>
      <w:r>
        <w:rPr>
          <w:color w:val="282C34"/>
          <w:sz w:val="21"/>
        </w:rPr>
        <w:t xml:space="preserve"> on the EU market must submit detailed product data to the </w:t>
      </w:r>
      <w:r>
        <w:rPr>
          <w:b/>
          <w:color w:val="282C34"/>
          <w:sz w:val="21"/>
        </w:rPr>
        <w:t>SCIP Database</w:t>
      </w:r>
      <w:r>
        <w:rPr>
          <w:color w:val="282C34"/>
          <w:sz w:val="21"/>
        </w:rPr>
        <w:t xml:space="preserve"> managed by ECHA.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Mandatory Live Date</w:t>
      </w:r>
      <w:r>
        <w:rPr>
          <w:color w:val="282C34"/>
          <w:sz w:val="21"/>
        </w:rPr>
        <w:t>: January 5, 2021.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Acronym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S</w:t>
      </w:r>
      <w:r>
        <w:rPr>
          <w:color w:val="282C34"/>
          <w:sz w:val="21"/>
        </w:rPr>
        <w:t xml:space="preserve">ubstances of </w:t>
      </w:r>
      <w:r>
        <w:rPr>
          <w:b/>
          <w:color w:val="282C34"/>
          <w:sz w:val="21"/>
        </w:rPr>
        <w:t>C</w:t>
      </w:r>
      <w:r>
        <w:rPr>
          <w:color w:val="282C34"/>
          <w:sz w:val="21"/>
        </w:rPr>
        <w:t xml:space="preserve">oncern </w:t>
      </w:r>
      <w:r>
        <w:rPr>
          <w:b/>
          <w:color w:val="282C34"/>
          <w:sz w:val="21"/>
        </w:rPr>
        <w:t>I</w:t>
      </w:r>
      <w:r>
        <w:rPr>
          <w:color w:val="282C34"/>
          <w:sz w:val="21"/>
        </w:rPr>
        <w:t>n articles as such or in complex objects (</w:t>
      </w:r>
      <w:r>
        <w:rPr>
          <w:b/>
          <w:color w:val="282C34"/>
          <w:sz w:val="21"/>
        </w:rPr>
        <w:t>P</w:t>
      </w:r>
      <w:r>
        <w:rPr>
          <w:color w:val="282C34"/>
          <w:sz w:val="21"/>
        </w:rPr>
        <w:t>roducts).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 Audience</w:t>
      </w:r>
      <w:r>
        <w:rPr>
          <w:color w:val="282C34"/>
          <w:sz w:val="21"/>
        </w:rPr>
        <w:t>: Waste operators, recyclers, and consumers seeking circular economy disassembly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Hardware Manufacturer / Importer</w:t>
              <w:br/>
              <w:t xml:space="preserve">               │</w:t>
              <w:br/>
              <w:t xml:space="preserve">               ▼</w:t>
              <w:br/>
              <w:t>[Scrub BOM for Articles with SVHC &gt; 0.1% w/w]</w:t>
              <w:br/>
              <w:t xml:space="preserve">               │</w:t>
              <w:br/>
              <w:t xml:space="preserve">               ▼</w:t>
              <w:br/>
              <w:t>[Prepare SCIP Dossier (IUCLID Format)]</w:t>
              <w:br/>
              <w:t>├── Primary Article Identifier (Part Number / EAN / GTIN)</w:t>
              <w:br/>
              <w:t>├── TARIC / CN Customs Code</w:t>
              <w:br/>
              <w:t>├── Safe Use Instructions &amp; Disassembly Guidance</w:t>
              <w:br/>
              <w:t>└── Material Category &amp; Linking to Specific Sub-Articles</w:t>
              <w:br/>
              <w:t xml:space="preserve">               │</w:t>
              <w:br/>
              <w:t xml:space="preserve">               ▼</w:t>
              <w:br/>
              <w:t>[Submit via ECHA Submission Portal]</w:t>
              <w:br/>
              <w:t xml:space="preserve">               │</w:t>
              <w:br/>
              <w:t xml:space="preserve">               ▼</w:t>
              <w:br/>
              <w:t>Receives Unique SCIP Number (UUID) ──► Shared with downstream EU distributors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Detailed Comparison: RoHS vs REACH</w:t>
      </w:r>
    </w:p>
    <w:p>
      <w:pPr>
        <w:spacing w:after="80"/>
      </w:pPr>
      <w:r>
        <w:rPr>
          <w:color w:val="282C34"/>
          <w:sz w:val="21"/>
        </w:rPr>
        <w:t>Engineers often confuse RoHS and REACH because both are EU environmental regulations covering hazardous chemicals. Their legal architectures, however, differ fundamentally: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Comparison Dimension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RoHS (Directive 2011/65/EU + 2015/863)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REACH (Regulation (EC) No 1907/2006)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Legal Nature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Directive</w:t>
            </w:r>
            <w:r>
              <w:rPr>
                <w:color w:val="282C34"/>
                <w:sz w:val="18"/>
              </w:rPr>
              <w:t>: Must be transposed into national laws of each EU Member State.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Regulation</w:t>
            </w:r>
            <w:r>
              <w:rPr>
                <w:color w:val="282C34"/>
                <w:sz w:val="18"/>
              </w:rPr>
              <w:t>: Directly applicable and legally binding in all EU Member States without national transposition.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Scope of Products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Specifically </w:t>
            </w:r>
            <w:r>
              <w:rPr>
                <w:b/>
                <w:color w:val="282C34"/>
                <w:sz w:val="18"/>
              </w:rPr>
              <w:t>Electrical &amp; Electronic Equipment (EEE)</w:t>
            </w:r>
            <w:r>
              <w:rPr>
                <w:color w:val="282C34"/>
                <w:sz w:val="18"/>
              </w:rPr>
              <w:t xml:space="preserve"> operating </w:t>
            </w:r>
            <w:r>
              <w:rPr>
                <w:i/>
                <w:color w:val="145AA0"/>
                <w:sz w:val="18"/>
              </w:rPr>
              <w:t>≤ 1000\,V AC</w:t>
            </w:r>
            <w:r>
              <w:rPr>
                <w:color w:val="282C34"/>
                <w:sz w:val="18"/>
              </w:rPr>
              <w:t xml:space="preserve"> or </w:t>
            </w:r>
            <w:r>
              <w:rPr>
                <w:i/>
                <w:color w:val="145AA0"/>
                <w:sz w:val="18"/>
              </w:rPr>
              <w:t>≤ 1500\,V DC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All physical goods, chemicals, and articles</w:t>
            </w:r>
            <w:r>
              <w:rPr>
                <w:color w:val="282C34"/>
                <w:sz w:val="18"/>
              </w:rPr>
              <w:t xml:space="preserve"> (electronics, clothing, toys, automotive, chemicals).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Number of Substances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Exactly 10 restricted substances</w:t>
            </w:r>
            <w:r>
              <w:rPr>
                <w:color w:val="282C34"/>
                <w:sz w:val="18"/>
              </w:rPr>
              <w:t xml:space="preserve"> (Pb, Cd, Hg, Cr6+, PBB, PBDE, and 4 phthalates).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240+ substances on Candidate List (SVHC)</w:t>
            </w:r>
            <w:r>
              <w:rPr>
                <w:color w:val="282C34"/>
                <w:sz w:val="18"/>
              </w:rPr>
              <w:t>, plus hundreds in Annex XVII and Annex XIV.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Threshold Calculation Basis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Per </w:t>
            </w:r>
            <w:r>
              <w:rPr>
                <w:b/>
                <w:color w:val="282C34"/>
                <w:sz w:val="18"/>
              </w:rPr>
              <w:t>Homogeneous Material</w:t>
            </w:r>
            <w:r>
              <w:rPr>
                <w:color w:val="282C34"/>
                <w:sz w:val="18"/>
              </w:rPr>
              <w:t xml:space="preserve"> (e.g., pin plating, solder joint, mold compound).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Per </w:t>
            </w:r>
            <w:r>
              <w:rPr>
                <w:b/>
                <w:color w:val="282C34"/>
                <w:sz w:val="18"/>
              </w:rPr>
              <w:t>Individual Article</w:t>
            </w:r>
            <w:r>
              <w:rPr>
                <w:color w:val="282C34"/>
                <w:sz w:val="18"/>
              </w:rPr>
              <w:t xml:space="preserve"> under the O5A ruling (e.g., entire resistor, bare screw, connector housing).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What Happens if Exceeded?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BANNED</w:t>
            </w:r>
            <w:r>
              <w:rPr>
                <w:color w:val="282C34"/>
                <w:sz w:val="18"/>
              </w:rPr>
              <w:t>. Product cannot be placed on the EU market unless an explicit Annex III/IV exemption applies.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ALLOWED (usually)</w:t>
            </w:r>
            <w:r>
              <w:rPr>
                <w:color w:val="282C34"/>
                <w:sz w:val="18"/>
              </w:rPr>
              <w:t xml:space="preserve">, but triggers </w:t>
            </w:r>
            <w:r>
              <w:rPr>
                <w:b/>
                <w:color w:val="282C34"/>
                <w:sz w:val="18"/>
              </w:rPr>
              <w:t>mandatory reporting</w:t>
            </w:r>
            <w:r>
              <w:rPr>
                <w:color w:val="282C34"/>
                <w:sz w:val="18"/>
              </w:rPr>
              <w:t xml:space="preserve"> (Article 33 customer disclosure and SCIP database filing). </w:t>
            </w:r>
            <w:r>
              <w:rPr>
                <w:i/>
                <w:color w:val="282C34"/>
                <w:sz w:val="18"/>
              </w:rPr>
              <w:t>(Annex XVII bans specific uses).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CE Marking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MANDATORY</w:t>
            </w:r>
            <w:r>
              <w:rPr>
                <w:color w:val="282C34"/>
                <w:sz w:val="18"/>
              </w:rPr>
              <w:t>. RoHS is a direct CE marking directive; product requires an EU Declaration of Conformity (DoC).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 CE MARK</w:t>
            </w:r>
            <w:r>
              <w:rPr>
                <w:color w:val="282C34"/>
                <w:sz w:val="18"/>
              </w:rPr>
              <w:t>. REACH does not grant or govern the CE mark.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Exemptions Mechanism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Fixed list in Annex III and IV with defined expiration dates.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Authorisation (Annex XIV) or socio-economic derogations.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9. Hardware Engineering Compliance Workflow at VVDN</w:t>
      </w:r>
    </w:p>
    <w:p>
      <w:pPr>
        <w:spacing w:after="80"/>
      </w:pPr>
      <w:r>
        <w:rPr>
          <w:color w:val="282C34"/>
          <w:sz w:val="21"/>
        </w:rPr>
        <w:t>To ensure continuous REACH compliance during product design, component procurement, and manufacturing: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Bi-Annual Candidate List Audits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Establish automated alerts whenever ECHA updates the SVHC list (every January and June/July).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Re-screen existing Bills of Materials (BOMs) against newly added substance CAS numbers.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Supply Chain Data Collection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Request </w:t>
      </w:r>
      <w:r>
        <w:rPr>
          <w:b/>
          <w:color w:val="282C34"/>
          <w:sz w:val="21"/>
        </w:rPr>
        <w:t>Full Material Disclosure (FMD)</w:t>
      </w:r>
      <w:r>
        <w:rPr>
          <w:color w:val="282C34"/>
          <w:sz w:val="21"/>
        </w:rPr>
        <w:t xml:space="preserve"> in </w:t>
      </w:r>
      <w:r>
        <w:rPr>
          <w:b/>
          <w:color w:val="282C34"/>
          <w:sz w:val="21"/>
        </w:rPr>
        <w:t>IPC-1752A Class D</w:t>
      </w:r>
      <w:r>
        <w:rPr>
          <w:color w:val="282C34"/>
          <w:sz w:val="21"/>
        </w:rPr>
        <w:t xml:space="preserve"> XML format from semiconductor vendors.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For custom passive, plastic, or mechanical parts, obtain signed REACH SVHC Declarations specifying the active Candidate List version.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Complex Object Hierarchy Modeling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Maintain product assembly trees in PLM/ERP software to track which specific sub-tier articles contain SVHCs (e.g., brass standoffs containing lead </w:t>
      </w:r>
      <w:r>
        <w:rPr>
          <w:i/>
          <w:color w:val="145AA0"/>
          <w:sz w:val="21"/>
        </w:rPr>
        <w:t>&gt; 0.1\%\,w/w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SCIP Dossier Generation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Before shipping products to European customers, generate the ECHA IUCLID dossier and file the SCIP submission.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Transmit the resulting SCIP UUID to European distributors and sales channels.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REACH-GUIDE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