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RoHS Compliance: Architecture, Regulatory Framework, and Hardware Engineering Guide</w:t>
      </w:r>
    </w:p>
    <w:p>
      <w:pPr>
        <w:spacing w:before="240" w:after="120"/>
      </w:pPr>
      <w:r>
        <w:rPr>
          <w:b/>
          <w:color w:val="184C78"/>
          <w:sz w:val="28"/>
        </w:rPr>
        <w:t>1. What is RoHS?</w:t>
      </w:r>
    </w:p>
    <w:p>
      <w:pPr>
        <w:spacing w:after="80"/>
      </w:pPr>
      <w:r>
        <w:rPr>
          <w:b/>
          <w:color w:val="282C34"/>
          <w:sz w:val="21"/>
        </w:rPr>
        <w:t>RoHS</w:t>
      </w:r>
      <w:r>
        <w:rPr>
          <w:color w:val="282C34"/>
          <w:sz w:val="21"/>
        </w:rPr>
        <w:t xml:space="preserve"> stands for </w:t>
      </w:r>
      <w:r>
        <w:rPr>
          <w:b/>
          <w:color w:val="282C34"/>
          <w:sz w:val="21"/>
        </w:rPr>
        <w:t>Restriction of Hazardous Substances</w:t>
      </w:r>
      <w:r>
        <w:rPr>
          <w:color w:val="282C34"/>
          <w:sz w:val="21"/>
        </w:rPr>
        <w:t>. It is a mandatory European Union directive that restricts the use of specific hazardous materials in the manufacture of Electrical and Electronic Equipment (EEE).</w:t>
      </w:r>
    </w:p>
    <w:p>
      <w:pPr>
        <w:spacing w:after="80"/>
      </w:pPr>
      <w:r>
        <w:rPr>
          <w:color w:val="282C34"/>
          <w:sz w:val="21"/>
        </w:rPr>
        <w:t>The primary goals of RoHS are: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To reduce the environmental and health impacts of electronic waste (e-waste).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To prevent toxic heavy metals and persistent chemicals from leaching into groundwater and soil from municipal landfills.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To protect workers in recycling facilities from toxic chemical exposure.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To facilitate environmentally sound recovery and recycling of end-of-life electronic equipment.</w:t>
      </w:r>
    </w:p>
    <w:p>
      <w:pPr>
        <w:spacing w:before="160" w:after="80"/>
      </w:pPr>
      <w:r>
        <w:rPr>
          <w:b/>
          <w:color w:val="4682B4"/>
          <w:sz w:val="24"/>
        </w:rPr>
        <w:t>Regulatory Evolution: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Directive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Official Name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Effective Date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Key Changes &amp; Scope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RoHS 1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Directive 2002/95/EC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July 1, 2006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Restricted 6 substances (Pb, Hg, Cd, Cr6+, PBB, PBDE). Narrow product category scope.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RoHS 2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Directive 2011/65/EU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January 2, 2013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Integrated into </w:t>
            </w:r>
            <w:r>
              <w:rPr>
                <w:b/>
                <w:color w:val="282C34"/>
                <w:sz w:val="18"/>
              </w:rPr>
              <w:t>CE marking</w:t>
            </w:r>
            <w:r>
              <w:rPr>
                <w:color w:val="282C34"/>
                <w:sz w:val="18"/>
              </w:rPr>
              <w:t xml:space="preserve">. Requires formal </w:t>
            </w:r>
            <w:r>
              <w:rPr>
                <w:b/>
                <w:color w:val="282C34"/>
                <w:sz w:val="18"/>
              </w:rPr>
              <w:t>EU Declaration of Conformity (DoC)</w:t>
            </w:r>
            <w:r>
              <w:rPr>
                <w:color w:val="282C34"/>
                <w:sz w:val="18"/>
              </w:rPr>
              <w:t xml:space="preserve"> and </w:t>
            </w:r>
            <w:r>
              <w:rPr>
                <w:b/>
                <w:color w:val="282C34"/>
                <w:sz w:val="18"/>
              </w:rPr>
              <w:t>Technical Documentation</w:t>
            </w:r>
            <w:r>
              <w:rPr>
                <w:color w:val="282C34"/>
                <w:sz w:val="18"/>
              </w:rPr>
              <w:t xml:space="preserve"> under harmonized standard EN IEC 63000 (formerly EN 50581). Expanded scope to Category 11 ("open scope" covering all EEE).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RoHS 3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Delegated Directive (EU) 2015/863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July 22, 2019 </w:t>
            </w:r>
            <w:r>
              <w:rPr>
                <w:i/>
                <w:color w:val="282C34"/>
                <w:sz w:val="18"/>
              </w:rPr>
              <w:t>(July 2021 for medical/industrial)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Added </w:t>
            </w:r>
            <w:r>
              <w:rPr>
                <w:b/>
                <w:color w:val="282C34"/>
                <w:sz w:val="18"/>
              </w:rPr>
              <w:t>4 phthalates</w:t>
            </w:r>
            <w:r>
              <w:rPr>
                <w:color w:val="282C34"/>
                <w:sz w:val="18"/>
              </w:rPr>
              <w:t xml:space="preserve"> (plasticizers) to the restricted list, bringing the total number of restricted substances to </w:t>
            </w:r>
            <w:r>
              <w:rPr>
                <w:b/>
                <w:color w:val="282C34"/>
                <w:sz w:val="18"/>
              </w:rPr>
              <w:t>10</w:t>
            </w:r>
            <w:r>
              <w:rPr>
                <w:color w:val="282C34"/>
                <w:sz w:val="18"/>
              </w:rPr>
              <w:t>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36" w:space="0" w:color="3182CE"/>
              <w:bottom w:val="none"/>
              <w:right w:val="none"/>
            </w:tcBorders>
          </w:tcPr>
          <w:p>
            <w:pPr>
              <w:spacing w:line="276" w:lineRule="auto" w:after="0"/>
            </w:pPr>
            <w:r>
              <w:rPr>
                <w:b/>
                <w:color w:val="3182CE"/>
                <w:sz w:val="20"/>
              </w:rPr>
              <w:t xml:space="preserve">[IMPORTANT] </w:t>
            </w:r>
            <w:r>
              <w:rPr>
                <w:color w:val="282C34"/>
                <w:sz w:val="20"/>
              </w:rPr>
              <w:t xml:space="preserve">Under RoHS 2 and RoHS 3, compliance is a </w:t>
            </w:r>
            <w:r>
              <w:rPr>
                <w:b/>
                <w:color w:val="282C34"/>
                <w:sz w:val="20"/>
              </w:rPr>
              <w:t>legal prerequisite for affixing the CE mark</w:t>
            </w:r>
            <w:r>
              <w:rPr>
                <w:color w:val="282C34"/>
                <w:sz w:val="20"/>
              </w:rPr>
              <w:t>. An electronic product cannot legally carry the CE mark or be placed on the EU Single Market without meeting RoHS requirements.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The 10 Restricted Substances and Threshold Limits</w:t>
      </w:r>
    </w:p>
    <w:p>
      <w:pPr>
        <w:spacing w:after="80"/>
      </w:pPr>
      <w:r>
        <w:rPr>
          <w:color w:val="282C34"/>
          <w:sz w:val="21"/>
        </w:rPr>
        <w:t xml:space="preserve">RoHS does not require 100% absence of restricted chemicals; it defines </w:t>
      </w:r>
      <w:r>
        <w:rPr>
          <w:b/>
          <w:color w:val="282C34"/>
          <w:sz w:val="21"/>
        </w:rPr>
        <w:t>Maximum Concentration Values (MCVs)</w:t>
      </w:r>
      <w:r>
        <w:rPr>
          <w:color w:val="282C34"/>
          <w:sz w:val="21"/>
        </w:rPr>
        <w:t xml:space="preserve"> by weight in each </w:t>
      </w:r>
      <w:r>
        <w:rPr>
          <w:b/>
          <w:color w:val="282C34"/>
          <w:sz w:val="21"/>
        </w:rPr>
        <w:t>homogeneous material</w:t>
      </w:r>
      <w:r>
        <w:rPr>
          <w:color w:val="282C34"/>
          <w:sz w:val="21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Restricted Substance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CAS Number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Maximum Permissible Limit (% by weight)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Maximum Permissible Limit (ppm)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Typical Electronic Application / Historical Usage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Lead (Pb)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7439-92-1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0.1%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1,000 ppm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Traditional Sn63/Pb37 solder alloys, component pin terminations, cable sheathing, brass machining alloys.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Mercury (Hg)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7439-97-6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0.1%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1,000 ppm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CCFL backlights in legacy LCD displays, tilt switches, relay contacts.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Cadmium (Cd)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7440-43-9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0.01%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100 ppm</w:t>
            </w:r>
            <w:r>
              <w:rPr>
                <w:color w:val="282C34"/>
                <w:sz w:val="18"/>
              </w:rPr>
              <w:t xml:space="preserve"> </w:t>
            </w:r>
            <w:r>
              <w:rPr>
                <w:i/>
                <w:color w:val="282C34"/>
                <w:sz w:val="18"/>
              </w:rPr>
              <w:t>(Strict!)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Solar cells, NiCd batteries, pigments in plastics, electrical contacts, anti-corrosion plating.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Hexavalent Chromium ($\text{Cr}^{6+}$)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18540-29-9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0.1%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1,000 ppm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Chromate conversion coatings (passivation) on aluminum and galvanized steel chassis to prevent corrosion.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Polybrominated Biphenyls (PBB)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Various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0.1%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1,000 ppm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Brominated flame retardants in PCB laminates, connector plastics, and structural enclosures.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Polybrominated Diphenyl Ethers (PBDE)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Various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0.1%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1,000 ppm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Brominated flame retardants in plastics and PCB resins.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Bis(2-ethylhexyl) phthalate (DEHP)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117-81-7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0.1%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1,000 ppm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Plasticizer used to make PVC cables, heat-shrink tubing, grommets, and rubber flexible.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Butyl benzyl phthalate (BBP)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85-68-7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0.1%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1,000 ppm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Plasticizer in synthetic rubbers, adhesives, cable jackets.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Dibutyl phthalate (DBP)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84-74-2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0.1%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1,000 ppm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Plasticizer in sealants, coatings, and elastomeric components.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Diisobutyl phthalate (DIBP)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84-69-5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0.1%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1,000 ppm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Alternative plasticizer often substituted for DBP in polyurethane and rubber.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DF0ED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36" w:space="0" w:color="E53E3E"/>
              <w:bottom w:val="none"/>
              <w:right w:val="none"/>
            </w:tcBorders>
          </w:tcPr>
          <w:p>
            <w:pPr>
              <w:spacing w:line="276" w:lineRule="auto" w:after="0"/>
            </w:pPr>
            <w:r>
              <w:rPr>
                <w:b/>
                <w:color w:val="E53E3E"/>
                <w:sz w:val="20"/>
              </w:rPr>
              <w:t xml:space="preserve">[CAUTION] </w:t>
            </w:r>
            <w:r>
              <w:rPr>
                <w:color w:val="282C34"/>
                <w:sz w:val="20"/>
              </w:rPr>
              <w:t xml:space="preserve">Notice that </w:t>
            </w:r>
            <w:r>
              <w:rPr>
                <w:b/>
                <w:color w:val="282C34"/>
                <w:sz w:val="20"/>
              </w:rPr>
              <w:t>Cadmium (Cd)</w:t>
            </w:r>
            <w:r>
              <w:rPr>
                <w:color w:val="282C34"/>
                <w:sz w:val="20"/>
              </w:rPr>
              <w:t xml:space="preserve"> has a limit of </w:t>
            </w:r>
            <w:r>
              <w:rPr>
                <w:b/>
                <w:color w:val="282C34"/>
                <w:sz w:val="20"/>
              </w:rPr>
              <w:t>0.01% (100 ppm)</w:t>
            </w:r>
            <w:r>
              <w:rPr>
                <w:color w:val="282C34"/>
                <w:sz w:val="20"/>
              </w:rPr>
              <w:t>, which is 10 times more stringent than the 0.1% (1000 ppm) limit applied to all other 9 substances.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The Core Concept: "Homogeneous Material"</w:t>
      </w:r>
    </w:p>
    <w:p>
      <w:pPr>
        <w:spacing w:after="80"/>
      </w:pPr>
      <w:r>
        <w:rPr>
          <w:color w:val="282C34"/>
          <w:sz w:val="21"/>
        </w:rPr>
        <w:t xml:space="preserve">The single most critical concept in RoHS compliance is that concentration limits apply to </w:t>
      </w:r>
      <w:r>
        <w:rPr>
          <w:b/>
          <w:color w:val="282C34"/>
          <w:sz w:val="21"/>
        </w:rPr>
        <w:t>each homogeneous material individually</w:t>
      </w:r>
      <w:r>
        <w:rPr>
          <w:color w:val="282C34"/>
          <w:sz w:val="21"/>
        </w:rPr>
        <w:t xml:space="preserve">, </w:t>
      </w:r>
      <w:r>
        <w:rPr>
          <w:b/>
          <w:color w:val="282C34"/>
          <w:sz w:val="21"/>
        </w:rPr>
        <w:t>never to the overall component or finished assembly weight</w:t>
      </w:r>
      <w:r>
        <w:rPr>
          <w:color w:val="282C34"/>
          <w:sz w:val="21"/>
        </w:rPr>
        <w:t>.</w:t>
      </w:r>
    </w:p>
    <w:p>
      <w:pPr>
        <w:spacing w:before="160" w:after="80"/>
      </w:pPr>
      <w:r>
        <w:rPr>
          <w:b/>
          <w:color w:val="4682B4"/>
          <w:sz w:val="24"/>
        </w:rPr>
        <w:t>3.1 Definition</w:t>
      </w:r>
    </w:p>
    <w:p>
      <w:pPr>
        <w:spacing w:after="80"/>
      </w:pPr>
      <w:r>
        <w:rPr>
          <w:color w:val="282C34"/>
          <w:sz w:val="21"/>
        </w:rPr>
        <w:t xml:space="preserve">A </w:t>
      </w:r>
      <w:r>
        <w:rPr>
          <w:b/>
          <w:color w:val="282C34"/>
          <w:sz w:val="21"/>
        </w:rPr>
        <w:t>homogeneous material</w:t>
      </w:r>
      <w:r>
        <w:rPr>
          <w:color w:val="282C34"/>
          <w:sz w:val="21"/>
        </w:rPr>
        <w:t xml:space="preserve"> is defined as one material of uniform composition throughout, or a material consisting of a combination of materials that cannot be disjointed or separated into different materials by mechanical actions such as: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Unscrewing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Cutting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Crushing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Grinding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Abrasive processes</w:t>
      </w:r>
    </w:p>
    <w:p>
      <w:pPr>
        <w:spacing w:before="160" w:after="80"/>
      </w:pPr>
      <w:r>
        <w:rPr>
          <w:b/>
          <w:color w:val="4682B4"/>
          <w:sz w:val="24"/>
        </w:rPr>
        <w:t>3.2 Real-World Component Breakdown</w:t>
      </w:r>
    </w:p>
    <w:p>
      <w:pPr>
        <w:spacing w:after="80"/>
      </w:pPr>
      <w:r>
        <w:rPr>
          <w:color w:val="282C34"/>
          <w:sz w:val="21"/>
        </w:rPr>
        <w:t>Consider an everyday surface-mount IC (e.g., an SOIC-8 or QFN microcontroller):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SMD INTEGRATED CIRCUIT BREAKDOWN                      │</w:t>
              <w:br/>
              <w:t>├───────────────────────────────────────────────────────────────────────────┤</w:t>
              <w:br/>
              <w:t>│ 1. Epoxy Mold Compound (Plastic Body)    ──► Homogeneous Material #1      │</w:t>
              <w:br/>
              <w:t>│ 2. Silicon Die (Silicon substrate)       ──► Homogeneous Material #2      │</w:t>
              <w:br/>
              <w:t>│ 3. Die Attach Epoxy (Silver conductive)  ──► Homogeneous Material #3      │</w:t>
              <w:br/>
              <w:t>│ 4. Internal Wire Bonds (Gold / Copper)   ──► Homogeneous Material #4      │</w:t>
              <w:br/>
              <w:t>│ 5. Copper Leadframe (Base metal)         ──► Homogeneous Material #5      │</w:t>
              <w:br/>
              <w:t>│ 6. Leadframe Plating (Matte Tin / NiPdAu)──► Homogeneous Material #6      │</w:t>
              <w:br/>
              <w:t>└───────────────────────────────────────────────────────────────────────────┘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120" w:after="40"/>
      </w:pPr>
      <w:r>
        <w:rPr>
          <w:b/>
          <w:color w:val="282C34"/>
          <w:sz w:val="22"/>
        </w:rPr>
        <w:t>Why Component-Averaging is Prohibited:</w:t>
      </w:r>
    </w:p>
    <w:p>
      <w:pPr>
        <w:spacing w:after="80"/>
      </w:pPr>
      <w:r>
        <w:rPr>
          <w:color w:val="282C34"/>
          <w:sz w:val="21"/>
        </w:rPr>
        <w:t xml:space="preserve">Suppose a connector weighs </w:t>
      </w:r>
      <w:r>
        <w:rPr>
          <w:i/>
          <w:color w:val="145AA0"/>
          <w:sz w:val="21"/>
        </w:rPr>
        <w:t>10.0\,g</w:t>
      </w:r>
      <w:r>
        <w:rPr>
          <w:color w:val="282C34"/>
          <w:sz w:val="21"/>
        </w:rPr>
        <w:t xml:space="preserve"> and contains a small PVC wire grommet weighing </w:t>
      </w:r>
      <w:r>
        <w:rPr>
          <w:i/>
          <w:color w:val="145AA0"/>
          <w:sz w:val="21"/>
        </w:rPr>
        <w:t>0.2\,g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The grommet contains </w:t>
      </w:r>
      <w:r>
        <w:rPr>
          <w:i/>
          <w:color w:val="145AA0"/>
          <w:sz w:val="21"/>
        </w:rPr>
        <w:t>2,000\,ppm</w:t>
      </w:r>
      <w:r>
        <w:rPr>
          <w:color w:val="282C34"/>
          <w:sz w:val="21"/>
        </w:rPr>
        <w:t xml:space="preserve"> of DEHP plasticizer (exceeding the </w:t>
      </w:r>
      <w:r>
        <w:rPr>
          <w:i/>
          <w:color w:val="145AA0"/>
          <w:sz w:val="21"/>
        </w:rPr>
        <w:t>1,000\,ppm</w:t>
      </w:r>
      <w:r>
        <w:rPr>
          <w:color w:val="282C34"/>
          <w:sz w:val="21"/>
        </w:rPr>
        <w:t xml:space="preserve"> limit).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Averaged over the whole connector: </w:t>
      </w:r>
      <w:r>
        <w:rPr>
          <w:i/>
          <w:color w:val="145AA0"/>
          <w:sz w:val="21"/>
        </w:rPr>
        <w:t>\frac{0.2\,g × 0.002{10.0\,g = 40\,ppm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Under RoHS, </w:t>
      </w:r>
      <w:r>
        <w:rPr>
          <w:b/>
          <w:color w:val="282C34"/>
          <w:sz w:val="21"/>
        </w:rPr>
        <w:t>this connector is NON-COMPLIANT</w:t>
      </w:r>
      <w:r>
        <w:rPr>
          <w:color w:val="282C34"/>
          <w:sz w:val="21"/>
        </w:rPr>
        <w:t xml:space="preserve">. The PVC grommet is a distinct homogeneous material, and its local concentration of </w:t>
      </w:r>
      <w:r>
        <w:rPr>
          <w:i/>
          <w:color w:val="145AA0"/>
          <w:sz w:val="21"/>
        </w:rPr>
        <w:t>2,000\,ppm</w:t>
      </w:r>
      <w:r>
        <w:rPr>
          <w:color w:val="282C34"/>
          <w:sz w:val="21"/>
        </w:rPr>
        <w:t xml:space="preserve"> violates the directive.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RoHS Exemptions (Annex III and IV)</w:t>
      </w:r>
    </w:p>
    <w:p>
      <w:pPr>
        <w:spacing w:after="80"/>
      </w:pPr>
      <w:r>
        <w:rPr>
          <w:color w:val="282C34"/>
          <w:sz w:val="21"/>
        </w:rPr>
        <w:t xml:space="preserve">Because viable technological alternatives do not yet exist for every application, the EU Commission grants temporary exemptions listed under </w:t>
      </w:r>
      <w:r>
        <w:rPr>
          <w:b/>
          <w:color w:val="282C34"/>
          <w:sz w:val="21"/>
        </w:rPr>
        <w:t>Annex III</w:t>
      </w:r>
      <w:r>
        <w:rPr>
          <w:color w:val="282C34"/>
          <w:sz w:val="21"/>
        </w:rPr>
        <w:t xml:space="preserve"> (General EEE) and </w:t>
      </w:r>
      <w:r>
        <w:rPr>
          <w:b/>
          <w:color w:val="282C34"/>
          <w:sz w:val="21"/>
        </w:rPr>
        <w:t>Annex IV</w:t>
      </w:r>
      <w:r>
        <w:rPr>
          <w:color w:val="282C34"/>
          <w:sz w:val="21"/>
        </w:rPr>
        <w:t xml:space="preserve"> (Medical devices and monitoring/control instruments).</w:t>
      </w:r>
    </w:p>
    <w:p>
      <w:pPr>
        <w:spacing w:before="160" w:after="80"/>
      </w:pPr>
      <w:r>
        <w:rPr>
          <w:b/>
          <w:color w:val="4682B4"/>
          <w:sz w:val="24"/>
        </w:rPr>
        <w:t>4.1 Common Annex III Hardware Exemptions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Exemption Code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Typical Industry Application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Engineering Watch-out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6(a) / 6(a)-I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Lead as an alloying element in </w:t>
            </w:r>
            <w:r>
              <w:rPr>
                <w:b/>
                <w:color w:val="282C34"/>
                <w:sz w:val="18"/>
              </w:rPr>
              <w:t>machining steel</w:t>
            </w:r>
            <w:r>
              <w:rPr>
                <w:color w:val="282C34"/>
                <w:sz w:val="18"/>
              </w:rPr>
              <w:t xml:space="preserve"> containing up to 0.35% lead by weight.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Screws, standoffs, chassis threaded inserts, mechanical fasteners.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Check supplier certificates for brass vs steel specs.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6(b) / 6(b)-I / 6(b)-II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Lead as an alloying element in </w:t>
            </w:r>
            <w:r>
              <w:rPr>
                <w:b/>
                <w:color w:val="282C34"/>
                <w:sz w:val="18"/>
              </w:rPr>
              <w:t>aluminum</w:t>
            </w:r>
            <w:r>
              <w:rPr>
                <w:color w:val="282C34"/>
                <w:sz w:val="18"/>
              </w:rPr>
              <w:t xml:space="preserve"> containing up to 0.4% lead by weight.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Machined heatsinks, extruded enclosure profiles.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Split into distinct sub-clauses depending on machining grade.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6(c)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Copper alloy containing up to </w:t>
            </w:r>
            <w:r>
              <w:rPr>
                <w:b/>
                <w:color w:val="282C34"/>
                <w:sz w:val="18"/>
              </w:rPr>
              <w:t>4% lead by weight</w:t>
            </w:r>
            <w:r>
              <w:rPr>
                <w:color w:val="282C34"/>
                <w:sz w:val="18"/>
              </w:rPr>
              <w:t>.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Brass connectors</w:t>
            </w:r>
            <w:r>
              <w:rPr>
                <w:color w:val="282C34"/>
                <w:sz w:val="18"/>
              </w:rPr>
              <w:t>, D-sub pins, RF SMA connectors, screw terminals.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Extremely common in hardware. Check renewal expiry dates regularly.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7(a)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Lead in </w:t>
            </w:r>
            <w:r>
              <w:rPr>
                <w:b/>
                <w:color w:val="282C34"/>
                <w:sz w:val="18"/>
              </w:rPr>
              <w:t>high melting temperature type solders</w:t>
            </w:r>
            <w:r>
              <w:rPr>
                <w:color w:val="282C34"/>
                <w:sz w:val="18"/>
              </w:rPr>
              <w:t xml:space="preserve"> (i.e. lead-based alloys containing </w:t>
            </w:r>
            <w:r>
              <w:rPr>
                <w:b/>
                <w:color w:val="282C34"/>
                <w:sz w:val="18"/>
              </w:rPr>
              <w:t>85% by weight or more lead</w:t>
            </w:r>
            <w:r>
              <w:rPr>
                <w:color w:val="282C34"/>
                <w:sz w:val="18"/>
              </w:rPr>
              <w:t>).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Internal die-attach solders for power MOSFETs, diodes, high-power bridge rectifiers.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Does NOT permit Pb in board-level SMT reflow or wave soldering.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7(c)-I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Electrical and electronic components containing </w:t>
            </w:r>
            <w:r>
              <w:rPr>
                <w:b/>
                <w:color w:val="282C34"/>
                <w:sz w:val="18"/>
              </w:rPr>
              <w:t>lead in a glass or ceramic</w:t>
            </w:r>
            <w:r>
              <w:rPr>
                <w:color w:val="282C34"/>
                <w:sz w:val="18"/>
              </w:rPr>
              <w:t xml:space="preserve"> other than dielectric ceramic in capacitors.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Thick-film chip resistors (ruthenium oxide cermet glass matrix), piezoelectric sensors.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Found on almost all standard SMD chip resistors (0402, 0603, 0805, 1206).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7(c)-II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Lead in dielectric ceramic in capacitors for a rated voltage of </w:t>
            </w:r>
            <w:r>
              <w:rPr>
                <w:i/>
                <w:color w:val="145AA0"/>
                <w:sz w:val="18"/>
              </w:rPr>
              <w:t>125\,V AC</w:t>
            </w:r>
            <w:r>
              <w:rPr>
                <w:color w:val="282C34"/>
                <w:sz w:val="18"/>
              </w:rPr>
              <w:t xml:space="preserve"> or </w:t>
            </w:r>
            <w:r>
              <w:rPr>
                <w:i/>
                <w:color w:val="145AA0"/>
                <w:sz w:val="18"/>
              </w:rPr>
              <w:t>250\,V DC</w:t>
            </w:r>
            <w:r>
              <w:rPr>
                <w:color w:val="282C34"/>
                <w:sz w:val="18"/>
              </w:rPr>
              <w:t xml:space="preserve"> or higher.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High-voltage MLCCs (Multi-layer Ceramic Capacitors).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Standard low-voltage decoupling caps (e.g. 16V, 50V) must be lead-free.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4.2 Exemption Life Cycles &amp; Sunsetting</w:t>
      </w:r>
    </w:p>
    <w:p>
      <w:pPr>
        <w:spacing w:after="80"/>
      </w:pPr>
      <w:r>
        <w:rPr>
          <w:color w:val="282C34"/>
          <w:sz w:val="21"/>
        </w:rPr>
        <w:t>Exemptions are not permanent. Industry associations must formally submit renewal applications 18 months prior to expiration. If denied or unrenewed, the exemption enters a phase-out transition window (typically 12 to 18 months). Hardware engineering teams must continuously audit their component BOMs for expiring exemptions.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5. Impact of RoHS on Hardware Design &amp; Manufacturing</w:t>
      </w:r>
    </w:p>
    <w:p>
      <w:pPr>
        <w:spacing w:after="80"/>
      </w:pPr>
      <w:r>
        <w:rPr>
          <w:color w:val="282C34"/>
          <w:sz w:val="21"/>
        </w:rPr>
        <w:t>The mandatory transition away from traditional Tin-Lead (</w:t>
      </w:r>
      <w:r>
        <w:rPr>
          <w:i/>
          <w:color w:val="145AA0"/>
          <w:sz w:val="21"/>
        </w:rPr>
        <w:t>Sn63/Pb37</w:t>
      </w:r>
      <w:r>
        <w:rPr>
          <w:color w:val="282C34"/>
          <w:sz w:val="21"/>
        </w:rPr>
        <w:t>) eutectic solder altered electrical and manufacturing engineering fundamentally.</w:t>
      </w:r>
    </w:p>
    <w:p>
      <w:pPr>
        <w:spacing w:before="160" w:after="80"/>
      </w:pPr>
      <w:r>
        <w:rPr>
          <w:b/>
          <w:color w:val="4682B4"/>
          <w:sz w:val="24"/>
        </w:rPr>
        <w:t>5.1 Lead-Free Solder Alloys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Solder Alloy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Composition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Melting Point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Applications &amp; Trade-offs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Sn63/Pb37 (Legacy)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63\%\,Sn,\, 37\%\,Pb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$183^{\circ}\text{C}$ (Eutectic)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Excellent wetting, bright shiny joints, low thermal stress on components. Restricted under RoHS.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SAC305 (Industry Standard)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96.5\%\,Sn,\, 3.0\%\,Ag,\, 0.5\%\,Cu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$217^{\circ}\text{C} - 220^{\circ}\text{C}$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Dominant lead-free SMT alloy. Good fatigue strength, but higher cost and dull joint appearance.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SAC0307 / SACX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99.0\%\,Sn,\, 0.3\%\,Ag,\, 0.7\%\,Cu + dopants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$217^{\circ}\text{C} - 227^{\circ}\text{C}$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Lower silver content to reduce cost in consumer wave soldering.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Sn99.3/Cu0.7 (SC100N)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99.3\%\,Sn,\, 0.7\%\,Cu + trace Ni/Ge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$227^{\circ}\text{C}$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Common in selective and wave soldering pots.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Sn42/Bi58 (Low-Temp)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42\%\,Sn,\, 58\%\,Bi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$138^{\circ}\text{C}$ (Eutectic)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Used for heat-sensitive optics, flex-PCBs, and step-soldering; brittle intermetallics.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5.2 Thermal Profiles &amp; SMT Reflow Impact</w:t>
      </w:r>
    </w:p>
    <w:p>
      <w:pPr>
        <w:spacing w:after="80"/>
      </w:pPr>
      <w:r>
        <w:rPr>
          <w:color w:val="282C34"/>
          <w:sz w:val="21"/>
        </w:rPr>
        <w:t xml:space="preserve">The jump in melting point from </w:t>
      </w:r>
      <w:r>
        <w:rPr>
          <w:i/>
          <w:color w:val="145AA0"/>
          <w:sz w:val="21"/>
        </w:rPr>
        <w:t>183^{\circC</w:t>
      </w:r>
      <w:r>
        <w:rPr>
          <w:color w:val="282C34"/>
          <w:sz w:val="21"/>
        </w:rPr>
        <w:t xml:space="preserve"> to </w:t>
      </w:r>
      <w:r>
        <w:rPr>
          <w:i/>
          <w:color w:val="145AA0"/>
          <w:sz w:val="21"/>
        </w:rPr>
        <w:t>217^{\circC</w:t>
      </w:r>
      <w:r>
        <w:rPr>
          <w:color w:val="282C34"/>
          <w:sz w:val="21"/>
        </w:rPr>
        <w:t xml:space="preserve"> required raising peak reflow temperatures significantly: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SnPb reflow peak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210^{\circC - 225^{\circC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Lead-free (SAC305) reflow peak</w:t>
      </w:r>
      <w:r>
        <w:rPr>
          <w:color w:val="282C34"/>
          <w:sz w:val="21"/>
        </w:rPr>
        <w:t xml:space="preserve">: </w:t>
      </w:r>
      <w:r>
        <w:rPr>
          <w:b/>
          <w:color w:val="282C34"/>
          <w:sz w:val="21"/>
        </w:rPr>
        <w:t>$240^{\circ}\text{C} - 260^{\circ}\text{C}$</w:t>
      </w:r>
      <w:r>
        <w:rPr>
          <w:color w:val="282C34"/>
          <w:sz w:val="21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Temperature (°C)</w:t>
              <w:br/>
              <w:t xml:space="preserve">  260 ┼─────────────────────────────── Peak Reflow (240°C - 260°C)</w:t>
              <w:br/>
              <w:t xml:space="preserve">      │                                  ┌───┐</w:t>
              <w:br/>
              <w:t xml:space="preserve">  217 ┼─────────────────── Lead-Free TL ─┘   └─ Liquidus Zone (TAL: 60 - 90s)</w:t>
              <w:br/>
              <w:t xml:space="preserve">      │               ┌───────────────────────┐</w:t>
              <w:br/>
              <w:t xml:space="preserve">  183 ┼── SnPb TL ─── │                       │</w:t>
              <w:br/>
              <w:t xml:space="preserve">      │         ┌─────┘                       └─────── Cooling (&gt; -2°C/s to -4°C/s)</w:t>
              <w:br/>
              <w:t xml:space="preserve">  150 ┼─────────┘ Soak / Flux Activation Zone</w:t>
              <w:br/>
              <w:t xml:space="preserve">      │         (150°C - 200°C, 60 - 120s)</w:t>
              <w:br/>
              <w:t xml:space="preserve">      │  Ramp-up (1°C - 3°C/s)</w:t>
              <w:br/>
              <w:t xml:space="preserve">    0 ┴──────────────────────────────────────────────────── Time (seconds)</w:t>
            </w:r>
          </w:p>
        </w:tc>
      </w:tr>
    </w:tbl>
    <w:p/>
    <w:p>
      <w:pPr>
        <w:spacing w:before="120" w:after="40"/>
      </w:pPr>
      <w:r>
        <w:rPr>
          <w:b/>
          <w:color w:val="282C34"/>
          <w:sz w:val="22"/>
        </w:rPr>
        <w:t>Engineering Consequences: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Component Thermal Damage</w:t>
      </w:r>
      <w:r>
        <w:rPr>
          <w:color w:val="282C34"/>
          <w:sz w:val="21"/>
        </w:rPr>
        <w:t xml:space="preserve">: Components (connectors, electrolytic capacitors, IC packages) must withstand up to </w:t>
      </w:r>
      <w:r>
        <w:rPr>
          <w:i/>
          <w:color w:val="145AA0"/>
          <w:sz w:val="21"/>
        </w:rPr>
        <w:t>260^{\circC</w:t>
      </w:r>
      <w:r>
        <w:rPr>
          <w:color w:val="282C34"/>
          <w:sz w:val="21"/>
        </w:rPr>
        <w:t xml:space="preserve"> without blistering or deforming.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Moisture Sensitivity</w:t>
      </w:r>
      <w:r>
        <w:rPr>
          <w:color w:val="282C34"/>
          <w:sz w:val="21"/>
        </w:rPr>
        <w:t xml:space="preserve">: Higher temperatures accelerate internal steam explosion in plastic IC packages, making </w:t>
      </w:r>
      <w:r>
        <w:rPr>
          <w:b/>
          <w:color w:val="282C34"/>
          <w:sz w:val="21"/>
        </w:rPr>
        <w:t>MSL management</w:t>
      </w:r>
      <w:r>
        <w:rPr>
          <w:color w:val="282C34"/>
          <w:sz w:val="21"/>
        </w:rPr>
        <w:t xml:space="preserve"> significantly more critical.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PCB Substrate Selection</w:t>
      </w:r>
      <w:r>
        <w:rPr>
          <w:color w:val="282C34"/>
          <w:sz w:val="21"/>
        </w:rPr>
        <w:t>: FR4 laminates require a higher Glass Transition Temperature (</w:t>
      </w:r>
      <w:r>
        <w:rPr>
          <w:i/>
          <w:color w:val="145AA0"/>
          <w:sz w:val="21"/>
        </w:rPr>
        <w:t>T_g ≥ 150^{\circC - 170^{\circC</w:t>
      </w:r>
      <w:r>
        <w:rPr>
          <w:color w:val="282C34"/>
          <w:sz w:val="21"/>
        </w:rPr>
        <w:t>) and Decomposition Temperature (</w:t>
      </w:r>
      <w:r>
        <w:rPr>
          <w:i/>
          <w:color w:val="145AA0"/>
          <w:sz w:val="21"/>
        </w:rPr>
        <w:t>T_d ≥ 340^{\circC</w:t>
      </w:r>
      <w:r>
        <w:rPr>
          <w:color w:val="282C34"/>
          <w:sz w:val="21"/>
        </w:rPr>
        <w:t>) to prevent delamination and z-axis thermal expansion vias cracking.</w:t>
      </w:r>
    </w:p>
    <w:p>
      <w:pPr>
        <w:spacing w:before="160" w:after="80"/>
      </w:pPr>
      <w:r>
        <w:rPr>
          <w:b/>
          <w:color w:val="4682B4"/>
          <w:sz w:val="24"/>
        </w:rPr>
        <w:t>5.3 PCB Surface Finishes</w:t>
      </w:r>
    </w:p>
    <w:p>
      <w:pPr>
        <w:spacing w:after="80"/>
      </w:pPr>
      <w:r>
        <w:rPr>
          <w:color w:val="282C34"/>
          <w:sz w:val="21"/>
        </w:rPr>
        <w:t>With Hot Air Solder Leveling (HASL) using lead banned under RoHS, alternative finishes emerged: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Surface Finish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Advantages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Disadvantages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SMT Suitability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Lead-Free HASL (LF-HASL)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Low cost, long shelf life, rugged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Uneven pad coplanarity, high thermal shock during coating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Poor for fine-pitch QFN/BGA (</w:t>
            </w:r>
            <w:r>
              <w:rPr>
                <w:i/>
                <w:color w:val="145AA0"/>
                <w:sz w:val="18"/>
              </w:rPr>
              <w:t>&lt;0.5\,mm</w:t>
            </w:r>
            <w:r>
              <w:rPr>
                <w:color w:val="282C34"/>
                <w:sz w:val="18"/>
              </w:rPr>
              <w:t>)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ENIG (Electroless Nickel Immersion Gold)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Exceptionally flat surface, excellent shelf life, wire bondable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Higher cost, risk of "Black Pad" (nickel corrosion) causing brittle solder fracture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Preferred for fine-pitch BGAs and high-reliability designs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ENEPIG (ENIG + Electroless Palladium)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Universal finish, zero black pad risk, gold/aluminum wire bondable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Highest cost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High-rel automotive, aerospace, telecom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OSP (Organic Solderability Preservative)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Low cost, perfectly flat, simple application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Sensitive to handling, degraded by multiple reflow cycles, short shelf life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High-volume consumer products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Immersion Silver (ImmAg)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Very flat, good RF performance, moderate cost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Susceptible to tarnishing from atmospheric sulfur (</w:t>
            </w:r>
            <w:r>
              <w:rPr>
                <w:i/>
                <w:color w:val="145AA0"/>
                <w:sz w:val="18"/>
              </w:rPr>
              <w:t>H_2S</w:t>
            </w:r>
            <w:r>
              <w:rPr>
                <w:color w:val="282C34"/>
                <w:sz w:val="18"/>
              </w:rPr>
              <w:t>), risk of micro-voiding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RF/High-speed digital designs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Immersion Tin (ImmSn)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Flat, good for press-fit connectors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Prone to tin whisker formation during storage, limited reflow cycles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Automotive press-fit backplanes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5.4 The Tin Whisker Phenomenon</w:t>
      </w:r>
    </w:p>
    <w:p>
      <w:pPr>
        <w:spacing w:after="80"/>
      </w:pPr>
      <w:r>
        <w:rPr>
          <w:color w:val="282C34"/>
          <w:sz w:val="21"/>
        </w:rPr>
        <w:t xml:space="preserve">When pure tin electroplating was introduced on leadframes to replace tin-lead plating, the electronics industry encountered </w:t>
      </w:r>
      <w:r>
        <w:rPr>
          <w:b/>
          <w:color w:val="282C34"/>
          <w:sz w:val="21"/>
        </w:rPr>
        <w:t>Tin Whiskers</w:t>
      </w:r>
      <w:r>
        <w:rPr>
          <w:color w:val="282C34"/>
          <w:sz w:val="21"/>
        </w:rPr>
        <w:t>: spontaneous, needle-like single-crystal eruptions of tin that grow out from the surface over weeks, months, or years.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Pure Tin Plating Layer</w:t>
              <w:br/>
              <w:t xml:space="preserve">  ┌─────────────────────────────────┐</w:t>
              <w:br/>
              <w:t xml:space="preserve">  │         /\                      │  &lt;-- Tin Whisker (Can grow 1µm to 10mm!)</w:t>
              <w:br/>
              <w:t xml:space="preserve">  │        /  \                     │      Causes: Electrical short circuits</w:t>
              <w:br/>
              <w:t xml:space="preserve">  │       │    │                    │      between adjacent pins or flashover arcs</w:t>
              <w:br/>
              <w:t xml:space="preserve">  │       │    │                    │</w:t>
              <w:br/>
              <w:t xml:space="preserve">  ├───────┴────┴────────────────────┤</w:t>
              <w:br/>
              <w:t xml:space="preserve">  │   Intermetallic Layer (Cu6Sn5)  │  &lt;-- Irregular growth creates internal compressive stress</w:t>
              <w:br/>
              <w:t xml:space="preserve">  ├─────────────────────────────────┤</w:t>
              <w:br/>
              <w:t xml:space="preserve">  │     Copper Leadframe Base       │</w:t>
              <w:br/>
              <w:t xml:space="preserve">  └─────────────────────────────────┘</w:t>
            </w:r>
          </w:p>
        </w:tc>
      </w:tr>
    </w:tbl>
    <w:p/>
    <w:p>
      <w:pPr>
        <w:spacing w:before="120" w:after="40"/>
      </w:pPr>
      <w:r>
        <w:rPr>
          <w:b/>
          <w:color w:val="282C34"/>
          <w:sz w:val="22"/>
        </w:rPr>
        <w:t>Mitigation Techniques: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Matte Tin over Nickel Barrier</w:t>
      </w:r>
      <w:r>
        <w:rPr>
          <w:color w:val="282C34"/>
          <w:sz w:val="21"/>
        </w:rPr>
        <w:t xml:space="preserve">: An underplate of </w:t>
      </w:r>
      <w:r>
        <w:rPr>
          <w:i/>
          <w:color w:val="145AA0"/>
          <w:sz w:val="21"/>
        </w:rPr>
        <w:t>1.5\,µm - 3.0\,µm</w:t>
      </w:r>
      <w:r>
        <w:rPr>
          <w:color w:val="282C34"/>
          <w:sz w:val="21"/>
        </w:rPr>
        <w:t xml:space="preserve"> Nickel prevents Copper-Tin intermetallic diffusion that generates compressive stress.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Post-Plate Annealing (Baking)</w:t>
      </w:r>
      <w:r>
        <w:rPr>
          <w:color w:val="282C34"/>
          <w:sz w:val="21"/>
        </w:rPr>
        <w:t xml:space="preserve">: Heating plated components to </w:t>
      </w:r>
      <w:r>
        <w:rPr>
          <w:i/>
          <w:color w:val="145AA0"/>
          <w:sz w:val="21"/>
        </w:rPr>
        <w:t>150^{\circC</w:t>
      </w:r>
      <w:r>
        <w:rPr>
          <w:color w:val="282C34"/>
          <w:sz w:val="21"/>
        </w:rPr>
        <w:t xml:space="preserve"> for 1 hour relieves internal lattice stress.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Conformal Coating</w:t>
      </w:r>
      <w:r>
        <w:rPr>
          <w:color w:val="282C34"/>
          <w:sz w:val="21"/>
        </w:rPr>
        <w:t>: Polyurethane, silicone, or parylene coatings form a mechanical barrier that prevents shorting if whiskers detach.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6. Global RoHS Regulations</w:t>
      </w:r>
    </w:p>
    <w:p>
      <w:pPr>
        <w:spacing w:after="80"/>
      </w:pPr>
      <w:r>
        <w:rPr>
          <w:color w:val="282C34"/>
          <w:sz w:val="21"/>
        </w:rPr>
        <w:t>Following the EU's lead, multiple international jurisdictions implemented localized RoHS frameworks: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Jurisdiction</w:t>
            </w:r>
          </w:p>
        </w:tc>
        <w:tc>
          <w:tcPr>
            <w:tcW w:type="dxa" w:w="326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Regulation</w:t>
            </w:r>
          </w:p>
        </w:tc>
        <w:tc>
          <w:tcPr>
            <w:tcW w:type="dxa" w:w="326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Distinct Characteristics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China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China RoHS 2</w:t>
            </w:r>
            <w:r>
              <w:rPr>
                <w:color w:val="282C34"/>
                <w:sz w:val="18"/>
              </w:rPr>
              <w:t xml:space="preserve"> (MIIT Order No. 32)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Two-step process: 1) Marking &amp; Disclosure for all EEE (Green "e" logo if compliant; Orange logo with Environment Friendly Use Period / EFUP in years + Hazardous Substance table). 2) Catalog of managed products requiring conformity assessment.</w:t>
            </w:r>
          </w:p>
        </w:tc>
      </w:tr>
      <w:tr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United States (California)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California RoHS</w:t>
            </w:r>
            <w:r>
              <w:rPr>
                <w:color w:val="282C34"/>
                <w:sz w:val="18"/>
              </w:rPr>
              <w:t xml:space="preserve"> (SB 20/SB 50)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Scope covers video displays with screens </w:t>
            </w:r>
            <w:r>
              <w:rPr>
                <w:i/>
                <w:color w:val="145AA0"/>
                <w:sz w:val="18"/>
              </w:rPr>
              <w:t>&gt; 4 inches</w:t>
            </w:r>
            <w:r>
              <w:rPr>
                <w:color w:val="282C34"/>
                <w:sz w:val="18"/>
              </w:rPr>
              <w:t xml:space="preserve"> (monitors, TVs, laptops). Aligned with EU substance limits.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Taiwan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CNS 15663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Mandatory marking of presence/absence of 6 restricted substances on the product label and user manual under BSMI certification.</w:t>
            </w:r>
          </w:p>
        </w:tc>
      </w:tr>
      <w:tr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South Korea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Korea RoHS</w:t>
            </w:r>
            <w:r>
              <w:rPr>
                <w:color w:val="282C34"/>
                <w:sz w:val="18"/>
              </w:rPr>
              <w:t xml:space="preserve"> (Act on Resource Circulation of EEE and Vehicles)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Similar 10 substances, aligns with EU RoHS scope and exemptions.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Eurasian Union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TR EAEU 037/2016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Mandatory RoHS certification for Russia, Belarus, Kazakhstan, Armenia, Kyrgyzstan with EAC mark.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7. Testing, Verification, and CE Technical File</w:t>
      </w:r>
    </w:p>
    <w:p>
      <w:pPr>
        <w:spacing w:after="80"/>
      </w:pPr>
      <w:r>
        <w:rPr>
          <w:color w:val="282C34"/>
          <w:sz w:val="21"/>
        </w:rPr>
        <w:t xml:space="preserve">Compliance with RoHS must be substantiated with documented evidence conforming to harmonized standard </w:t>
      </w:r>
      <w:r>
        <w:rPr>
          <w:b/>
          <w:color w:val="282C34"/>
          <w:sz w:val="21"/>
        </w:rPr>
        <w:t>EN IEC 63000:2018</w:t>
      </w:r>
      <w:r>
        <w:rPr>
          <w:color w:val="282C34"/>
          <w:sz w:val="21"/>
        </w:rPr>
        <w:t xml:space="preserve"> (</w:t>
      </w:r>
      <w:r>
        <w:rPr>
          <w:i/>
          <w:color w:val="282C34"/>
          <w:sz w:val="21"/>
        </w:rPr>
        <w:t>Technical documentation for the assessment of electrical and electronic products with respect to the restriction of hazardous substances</w:t>
      </w:r>
      <w:r>
        <w:rPr>
          <w:color w:val="282C34"/>
          <w:sz w:val="21"/>
        </w:rPr>
        <w:t>).</w:t>
      </w:r>
    </w:p>
    <w:p>
      <w:pPr>
        <w:spacing w:before="160" w:after="80"/>
      </w:pPr>
      <w:r>
        <w:rPr>
          <w:b/>
          <w:color w:val="4682B4"/>
          <w:sz w:val="24"/>
        </w:rPr>
        <w:t>7.1 Analytical Testing Methods (IEC 62321)</w:t>
      </w:r>
    </w:p>
    <w:p>
      <w:pPr>
        <w:spacing w:after="80"/>
      </w:pPr>
      <w:r>
        <w:rPr>
          <w:color w:val="282C34"/>
          <w:sz w:val="21"/>
        </w:rPr>
        <w:t xml:space="preserve">To confirm substance concentrations in homogeneous materials, testing laboratories utilize standardized analytical test suites defined in </w:t>
      </w:r>
      <w:r>
        <w:rPr>
          <w:b/>
          <w:color w:val="282C34"/>
          <w:sz w:val="21"/>
        </w:rPr>
        <w:t>IEC 62321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Raw Material / Component</w:t>
              <w:br/>
              <w:t xml:space="preserve">           │</w:t>
              <w:br/>
              <w:t xml:space="preserve">           ▼</w:t>
              <w:br/>
              <w:t>[IEC 62321-3-1: XRF Screening (X-Ray Fluorescence)]</w:t>
              <w:br/>
              <w:t xml:space="preserve">           │</w:t>
              <w:br/>
              <w:t xml:space="preserve">           ├──► Result well below limit (e.g. Pb &lt; 300 ppm) ──► PASS (Screening sufficient)</w:t>
              <w:br/>
              <w:t xml:space="preserve">           │</w:t>
              <w:br/>
              <w:t xml:space="preserve">           └──► Result inconclusive or borderline (e.g. 700 - 1300 ppm)</w:t>
              <w:br/>
              <w:t xml:space="preserve">                     │</w:t>
              <w:br/>
              <w:t xml:space="preserve">                     ▼</w:t>
              <w:br/>
              <w:t xml:space="preserve">           [Confirmatory Wet Chemical Testing]</w:t>
              <w:br/>
              <w:t xml:space="preserve">           ├── ICP-OES / ICP-MS (IEC 62321-4 / 5): Precise Pb, Cd, Hg detection</w:t>
              <w:br/>
              <w:t xml:space="preserve">           ├── UV-Vis Spectrophotometry (IEC 62321-7-1 / 7-2): Hexavalent Chromium (Cr6+)</w:t>
              <w:br/>
              <w:t xml:space="preserve">           └── GC-MS (Gas Chromatography-Mass Spectrometry, IEC 62321-6 / 8): PBB, PBDE, Phthalates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7.2 Required Documentation Checklist for Hardware Engineers</w:t>
      </w:r>
    </w:p>
    <w:p>
      <w:pPr>
        <w:spacing w:after="80"/>
      </w:pPr>
      <w:r>
        <w:rPr>
          <w:color w:val="282C34"/>
          <w:sz w:val="21"/>
        </w:rPr>
        <w:t>To prepare a product for commercial launch and regulatory audit: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Full Material Disclosure (FMD)</w:t>
      </w:r>
      <w:r>
        <w:rPr>
          <w:color w:val="282C34"/>
          <w:sz w:val="21"/>
        </w:rPr>
        <w:t xml:space="preserve"> or </w:t>
      </w:r>
      <w:r>
        <w:rPr>
          <w:b/>
          <w:color w:val="282C34"/>
          <w:sz w:val="21"/>
        </w:rPr>
        <w:t>IPC-1752A XML</w:t>
      </w:r>
      <w:r>
        <w:rPr>
          <w:color w:val="282C34"/>
          <w:sz w:val="21"/>
        </w:rPr>
        <w:t xml:space="preserve"> files for all custom and off-the-shelf components.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Supplier Declarations of Conformity (CoC)</w:t>
      </w:r>
      <w:r>
        <w:rPr>
          <w:color w:val="282C34"/>
          <w:sz w:val="21"/>
        </w:rPr>
        <w:t xml:space="preserve"> explicitly citing Directive 2011/65/EU and Delegated Directive (EU) 2015/863.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Bill of Materials (BOM) Scrub Report</w:t>
      </w:r>
      <w:r>
        <w:rPr>
          <w:color w:val="282C34"/>
          <w:sz w:val="21"/>
        </w:rPr>
        <w:t>: Verification that every line item has active RoHS-compliant part numbers.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Exemption Tracking Sheet</w:t>
      </w:r>
      <w:r>
        <w:rPr>
          <w:color w:val="282C34"/>
          <w:sz w:val="21"/>
        </w:rPr>
        <w:t>: Explicitly recording all claimed exemptions (e.g., 6c for brass standoffs, 7c-I for thick-film resistors) and their expiration timelines.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EU Declaration of Conformity (DoC)</w:t>
      </w:r>
      <w:r>
        <w:rPr>
          <w:color w:val="282C34"/>
          <w:sz w:val="21"/>
        </w:rPr>
        <w:t>: Legal document signed by company officer listing RoHS alongside EMC, LVD, and RED directives.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Retention Period</w:t>
      </w:r>
      <w:r>
        <w:rPr>
          <w:color w:val="282C34"/>
          <w:sz w:val="21"/>
        </w:rPr>
        <w:t xml:space="preserve">: The Technical Documentation File must be retained for at least </w:t>
      </w:r>
      <w:r>
        <w:rPr>
          <w:b/>
          <w:color w:val="282C34"/>
          <w:sz w:val="21"/>
        </w:rPr>
        <w:t>10 years</w:t>
      </w:r>
      <w:r>
        <w:rPr>
          <w:color w:val="282C34"/>
          <w:sz w:val="21"/>
        </w:rPr>
        <w:t xml:space="preserve"> after the last unit is placed on the market.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ROHS-GUIDE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