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Dirichlet</w:t>
      </w:r>
      <w:r>
        <w:t xml:space="preserve"> </w:t>
      </w:r>
      <w:r>
        <w:t xml:space="preserve">Distribution</w:t>
      </w:r>
    </w:p>
    <w:p>
      <w:pPr>
        <w:pStyle w:val="Subtitle"/>
      </w:pPr>
      <w:r>
        <w:t xml:space="preserve">Selected</w:t>
      </w:r>
      <w:r>
        <w:t xml:space="preserve"> </w:t>
      </w:r>
      <w:r>
        <w:t xml:space="preserve">topics</w:t>
      </w:r>
      <w:r>
        <w:t xml:space="preserve"> </w:t>
      </w:r>
      <w:r>
        <w:t xml:space="preserve">from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Intro</w:t>
      </w:r>
    </w:p>
    <w:p>
      <w:pPr>
        <w:pStyle w:val="Date"/>
      </w:pPr>
      <w:r>
        <w:t xml:space="preserve">2025-01-26</w:t>
      </w:r>
      <w:r>
        <w:t xml:space="preserve"> </w:t>
      </w:r>
      <w:r>
        <w:t xml:space="preserve">12:54</w:t>
      </w:r>
      <w:r>
        <w:t xml:space="preserve"> </w:t>
      </w:r>
      <w:r>
        <w:t xml:space="preserve">GMT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Dirichlet</w:t>
      </w:r>
      <w:r>
        <w:t xml:space="preserve"> </w:t>
      </w:r>
      <w:r>
        <w:t xml:space="preserve">and</w:t>
      </w:r>
      <w:r>
        <w:t xml:space="preserve"> </w:t>
      </w:r>
      <w:r>
        <w:t xml:space="preserve">Multinomial</w:t>
      </w:r>
      <w:r>
        <w:t xml:space="preserve"> </w:t>
      </w:r>
      <w:r>
        <w:t xml:space="preserve">distributions</w:t>
      </w:r>
      <w:r>
        <w:t xml:space="preserve"> </w:t>
      </w:r>
      <w:r>
        <w:t xml:space="preserve">are</w:t>
      </w:r>
      <w:r>
        <w:t xml:space="preserve"> </w:t>
      </w:r>
      <w:r>
        <w:t xml:space="preserve">introduced</w:t>
      </w:r>
      <w:r>
        <w:t xml:space="preserve"> </w:t>
      </w:r>
      <w:r>
        <w:t xml:space="preserve">in</w:t>
      </w:r>
      <w:r>
        <w:t xml:space="preserve"> </w:t>
      </w:r>
      <w:r>
        <w:t xml:space="preserve">preparation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discussion</w:t>
      </w:r>
      <w:r>
        <w:t xml:space="preserve"> </w:t>
      </w:r>
      <w:r>
        <w:t xml:space="preserve">of</w:t>
      </w:r>
      <w:r>
        <w:t xml:space="preserve"> </w:t>
      </w:r>
      <w:r>
        <w:t xml:space="preserve">Latent</w:t>
      </w:r>
      <w:r>
        <w:t xml:space="preserve"> </w:t>
      </w:r>
      <w:r>
        <w:t xml:space="preserve">Dirichlet</w:t>
      </w:r>
      <w:r>
        <w:t xml:space="preserve"> </w:t>
      </w:r>
      <w:r>
        <w:t xml:space="preserve">Allocation</w:t>
      </w:r>
      <w:r>
        <w:t xml:space="preserve"> </w:t>
      </w:r>
      <w:r>
        <w:t xml:space="preserve">(LDA).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Latent Dirichlet Allocation (LDA) was proposed as a method of topic modeling in 2003 in a paper by Blei, Ng, and Jordan. The method is briefly mentioned in Part 1 of the course. Several course participants requested a more detailed description. This note prepares for the requested response by introducing the Dirichlet and Multinomial distributions.</w:t>
      </w:r>
    </w:p>
    <w:bookmarkEnd w:id="20"/>
    <w:bookmarkStart w:id="22" w:name="the-multinomial-distribution"/>
    <w:p>
      <w:pPr>
        <w:pStyle w:val="Heading2"/>
      </w:pPr>
      <w:r>
        <w:t xml:space="preserve">The Multinomial Distribution</w:t>
      </w:r>
    </w:p>
    <w:p>
      <w:pPr>
        <w:pStyle w:val="FirstParagraph"/>
      </w:pPr>
      <w:r>
        <w:t xml:space="preserve">Consider a categorical (qualitative)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that randomly selects one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distinct categories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e>
            </m:mr>
            <m:mr>
              <m:e/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  <m:mr>
              <m:e/>
            </m:m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Probability vector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thus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If the categories are ordered, we might represent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numerically as a random index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}</m:t>
        </m:r>
      </m:oMath>
      <w:r>
        <w:t xml:space="preserve">. But for present purposes we suppose the categories are not ordered, and we represent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vector of random indicator variables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rPr>
                        <m:sty m:val="p"/>
                      </m:rPr>
                      <m:t>•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e>
            </m:mr>
            <m:mr>
              <m:e/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nor/>
                    <m:sty m:val="p"/>
                  </m:rPr>
                  <m:t>, if 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k</m:t>
                    </m:r>
                  </m:sub>
                </m:sSub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nor/>
                    <m:sty m:val="p"/>
                  </m:rPr>
                  <m:t>, if </m:t>
                </m:r>
                <m:r>
                  <m:t>X</m:t>
                </m:r>
                <m:r>
                  <m:rPr>
                    <m:sty m:val="p"/>
                  </m:rPr>
                  <m:t>≠</m:t>
                </m:r>
                <m:sSub>
                  <m:e>
                    <m:r>
                      <m:t>c</m:t>
                    </m:r>
                  </m:e>
                  <m:sub>
                    <m:r>
                      <m:t>k</m:t>
                    </m:r>
                  </m:sub>
                </m:sSub>
              </m:e>
            </m:mr>
            <m:mr>
              <m:e/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rPr>
                        <m:sty m:val="p"/>
                      </m:rPr>
                      <m:t>•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  <m:r>
                  <m:rPr>
                    <m:nor/>
                    <m:sty m:val="p"/>
                  </m:rPr>
                  <m:t>, with probability 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rPr>
                        <m:sty m:val="p"/>
                      </m:rPr>
                      <m:t>•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  <m:r>
                  <m:rPr>
                    <m:nor/>
                    <m:sty m:val="p"/>
                  </m:rPr>
                  <m:t>, with probability 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m:t>⋮</m:t>
                </m:r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rPr>
                        <m:sty m:val="p"/>
                      </m:rPr>
                      <m:t>•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  <m:scr m:val="double-struck"/>
                      </m:rPr>
                      <m:t>e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  <m:r>
                  <m:rPr>
                    <m:nor/>
                    <m:sty m:val="p"/>
                  </m:rPr>
                  <m:t>, with probability 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That is, the random indicator vector</w:t>
      </w:r>
      <w:r>
        <w:t xml:space="preserve"> </w:t>
      </w:r>
      <m:oMath>
        <m:sSub>
          <m:e>
            <m:r>
              <m:t>I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selects one of the Euclidean basis vectors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with probability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 Therefore the expected value of</w:t>
      </w:r>
      <w:r>
        <w:t xml:space="preserve"> </w:t>
      </w:r>
      <m:oMath>
        <m:sSub>
          <m:e>
            <m:r>
              <m:t>I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equals the vector of category probabilities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mr>
            <m:mr>
              <m:e/>
            </m:m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r>
                      <m:t>E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I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p</m:t>
                    </m:r>
                  </m:e>
                  <m:sub>
                    <m:r>
                      <m:rPr>
                        <m:sty m:val="p"/>
                      </m:rPr>
                      <m:t>•</m:t>
                    </m:r>
                  </m:sub>
                </m:sSub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Now suppose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are independent random variables all having the same distribution as</w:t>
      </w:r>
      <w:r>
        <w:t xml:space="preserve"> </w:t>
      </w:r>
      <m:oMath>
        <m:r>
          <m:t>X</m:t>
        </m:r>
      </m:oMath>
      <w:r>
        <w:t xml:space="preserve">. Corresponding to</w:t>
      </w:r>
      <w:r>
        <w:t xml:space="preserve"> </w:t>
      </w:r>
      <m:oMath>
        <m:sSub>
          <m:e>
            <m:r>
              <m:t>X</m:t>
            </m:r>
          </m:e>
          <m:sub>
            <m:r>
              <m:t>ν</m:t>
            </m:r>
          </m:sub>
        </m:sSub>
      </m:oMath>
      <w:r>
        <w:t xml:space="preserve"> </w:t>
      </w:r>
      <w:r>
        <w:t xml:space="preserve">we have an indicator vector that we’ll denote as</w:t>
      </w:r>
      <w:r>
        <w:t xml:space="preserve"> </w:t>
      </w:r>
      <m:oMath>
        <m:sSubSup>
          <m:e>
            <m:r>
              <m:t>I</m:t>
            </m:r>
          </m:e>
          <m:sub>
            <m:r>
              <m:rPr>
                <m:sty m:val="p"/>
              </m:rPr>
              <m:t>•</m:t>
            </m:r>
          </m:sub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ν</m:t>
                </m:r>
              </m:e>
            </m:d>
          </m:sup>
        </m:sSubSup>
      </m:oMath>
      <w:r>
        <w:t xml:space="preserve">. Let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denote the sum over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indicator vectors</w:t>
      </w:r>
      <w:r>
        <w:t xml:space="preserve"> </w:t>
      </w:r>
      <m:oMath>
        <m:r>
          <m:rPr>
            <m:sty m:val="p"/>
          </m:rPr>
          <m:t>{</m:t>
        </m:r>
        <m:sSubSup>
          <m:e>
            <m:r>
              <m:t>I</m:t>
            </m:r>
          </m:e>
          <m:sub>
            <m:r>
              <m:rPr>
                <m:sty m:val="p"/>
              </m:rPr>
              <m:t>•</m:t>
            </m:r>
          </m:sub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ν</m:t>
                </m:r>
              </m:e>
            </m:d>
          </m:sup>
        </m:sSubSup>
        <m:sSub>
          <m:e>
            <m:r>
              <m:rPr>
                <m:sty m:val="p"/>
              </m:rPr>
              <m:t>}</m:t>
            </m:r>
          </m:e>
          <m:sub>
            <m:r>
              <m:t>ν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•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ν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ν</m:t>
                            </m:r>
                          </m:e>
                        </m:d>
                      </m:sup>
                    </m:sSubSup>
                  </m:e>
                </m:nary>
                <m:r>
                  <m:rPr>
                    <m:nor/>
                    <m:sty m:val="p"/>
                  </m:rPr>
                  <m:t>, so that </m:t>
                </m:r>
              </m:e>
            </m:mr>
            <m:mr>
              <m:e/>
            </m:m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ν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ν</m:t>
                            </m:r>
                          </m:e>
                        </m:d>
                      </m:sup>
                    </m:sSubSup>
                  </m:e>
                </m:nary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 number of </m:t>
                </m:r>
                <m:r>
                  <m:t>ν</m:t>
                </m:r>
                <m:r>
                  <m:rPr>
                    <m:nor/>
                    <m:sty m:val="p"/>
                  </m:rPr>
                  <m:t> such that </m:t>
                </m:r>
                <m:sSub>
                  <m:e>
                    <m:r>
                      <m:t>X</m:t>
                    </m:r>
                  </m:e>
                  <m:sub>
                    <m:r>
                      <m:t>ν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k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For any given set of possible counts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•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that is, of non-negative integers summing to</w:t>
      </w:r>
      <w:r>
        <w:t xml:space="preserve"> </w:t>
      </w:r>
      <m:oMath>
        <m:r>
          <m:t>n</m:t>
        </m:r>
      </m:oMath>
      <w:r>
        <w:t xml:space="preserve">, and for a given probability vector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, the probability that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•</m:t>
            </m:r>
          </m:sub>
        </m:sSub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is as follows.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  <m:r>
                      <m:t> 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 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hr m:val="∏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sup>
                    </m:sSubSup>
                  </m:e>
                </m:nary>
              </m:e>
            </m:mr>
          </m:m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  <m:r>
                      <m:rPr>
                        <m:sty m:val="p"/>
                      </m:rPr>
                      <m:t>⋯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gives the number of assignments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objects to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categories such that each category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receives the prescribed number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of objects.</w:t>
      </w:r>
    </w:p>
    <w:p>
      <w:pPr>
        <w:pStyle w:val="BodyText"/>
      </w:pPr>
      <w:r>
        <w:t xml:space="preserve">The probability distribution of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is called the</w:t>
      </w:r>
      <w:r>
        <w:t xml:space="preserve"> </w:t>
      </w:r>
      <w:r>
        <w:rPr>
          <w:i/>
          <w:iCs/>
        </w:rPr>
        <w:t xml:space="preserve">multinomial distribution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, this simplifies to the binomial distribution, with parameters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, where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,</m:t>
            </m:r>
            <m:r>
              <m:t> </m:t>
            </m:r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  <w:r>
        <w:t xml:space="preserve">. If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denotes the observed number of succeses 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Bernoulli trials,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ν</m:t>
            </m:r>
            <m:r>
              <m:rPr>
                <m:sty m:val="p"/>
              </m:rPr>
              <m:t>,</m:t>
            </m:r>
            <m:r>
              <m:t> </m:t>
            </m:r>
            <m:r>
              <m:t>n</m:t>
            </m:r>
            <m:r>
              <m:rPr>
                <m:sty m:val="p"/>
              </m:rPr>
              <m:t>−</m:t>
            </m:r>
            <m:r>
              <m:t>ν</m:t>
            </m:r>
          </m:e>
        </m:d>
      </m:oMath>
      <w:r>
        <w:t xml:space="preserve">.</w:t>
      </w:r>
    </w:p>
    <w:bookmarkEnd w:id="22"/>
    <w:bookmarkStart w:id="26" w:name="bayesian-inference"/>
    <w:p>
      <w:pPr>
        <w:pStyle w:val="Heading2"/>
      </w:pPr>
      <w:r>
        <w:t xml:space="preserve">Bayesian Inference</w:t>
      </w:r>
    </w:p>
    <w:p>
      <w:pPr>
        <w:pStyle w:val="FirstParagraph"/>
      </w:pPr>
      <w:r>
        <w:t xml:space="preserve">The Bayesian approach to statistical estimation provides a framework for representing the state of knowledge, or degree of uncertainty, about a model parameter before and after collecting relevant data.</w:t>
      </w:r>
    </w:p>
    <w:p>
      <w:pPr>
        <w:pStyle w:val="BodyText"/>
      </w:pPr>
      <w:r>
        <w:t xml:space="preserve">As an example consider the binomial distribution mentioned above, where we are estimating the probability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of success based on a sequence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independent Bernoulli trials. Following the notation above, we use two dependent indicator random variables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to represent success and failure respectively, with</w:t>
      </w:r>
      <w:r>
        <w:t xml:space="preserve"> </w:t>
      </w:r>
      <m:oMath>
        <m:sSub>
          <m:e>
            <m:r>
              <m:t>I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1</m:t>
            </m:r>
          </m:sub>
        </m:sSub>
      </m:oMath>
      <w:r>
        <w:t xml:space="preserve">, and with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,</m:t>
            </m:r>
            <m:r>
              <m:t> </m:t>
            </m:r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Prior to observing the sequence of Bernoulli trials, we might represent the state of information about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as a uniform distribution, so that each possible value of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deemed equally likely. Alternatively, if the Bernoulli sequence represents the outcomes of tossing a coin that is presumed fair, or nearly fair, we might represent that information as a probability distribution having a mode at the value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More specifically, it turns out to be mathematically convenient to represent prior information about probability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as a member of the beta family of probability distributions over the unit interval. The uniform distribution is the special case of setting beta shape parameters to the values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Alternatively setting the shape parameters 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gives a density function symmetric about the mode at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_6a_Dirichlet_dstn_files/figure-docx/g_beta_xmp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general, a beta distribution having shape parameters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has the following density function.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β</m:t>
                        </m:r>
                      </m:e>
                    </m:d>
                  </m:num>
                  <m:den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β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</m:mr>
            <m:mr>
              <m:e/>
              <m:e>
                <m:r>
                  <m:rPr>
                    <m:nor/>
                    <m:sty m:val="p"/>
                  </m:rPr>
                  <m:t>with </m:t>
                </m:r>
                <m:r>
                  <m:t>α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nor/>
                    <m:sty m:val="p"/>
                  </m:rPr>
                  <m:t>, and </m:t>
                </m:r>
                <m:r>
                  <m:t>β</m:t>
                </m:r>
                <m:r>
                  <m:rPr>
                    <m:sty m:val="p"/>
                  </m:rPr>
                  <m:t>&gt;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Suppose now that we adopt the distribution just mentioned,</w:t>
      </w:r>
      <w:r>
        <w:t xml:space="preserve"> </w:t>
      </w:r>
      <m:oMath>
        <m:r>
          <m:rPr>
            <m:sty m:val="p"/>
            <m:scr m:val="script"/>
          </m:rPr>
          <m:t>B</m:t>
        </m:r>
        <m:r>
          <m:rPr>
            <m:sty m:val="p"/>
            <m:scr m:val="script"/>
          </m:rPr>
          <m:t>e</m:t>
        </m:r>
        <m:r>
          <m:rPr>
            <m:sty m:val="p"/>
            <m:scr m:val="script"/>
          </m:rPr>
          <m:t>t</m:t>
        </m:r>
        <m:r>
          <m:rPr>
            <m:sty m:val="p"/>
            <m:scr m:val="script"/>
          </m:rPr>
          <m:t>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, as the prior distribution of success probability</w:t>
      </w:r>
      <w:r>
        <w:t xml:space="preserve"> </w:t>
      </w:r>
      <m:oMath>
        <m:r>
          <m:t>p</m:t>
        </m:r>
      </m:oMath>
      <w:r>
        <w:t xml:space="preserve">, for some specified positive parameter values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. We then observe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successes and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failures from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independent Bernoulli trials. Based on these observations we update the prior distribution to form the posterior distribution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as follows.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 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 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</m:e>
                    </m:d>
                  </m:num>
                  <m:den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  <m:r>
                          <m:t> 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 </m:t>
                        </m:r>
                        <m:r>
                          <m:t>p</m:t>
                        </m:r>
                      </m:e>
                    </m:d>
                    <m:r>
                      <m:t> 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p</m:t>
                        </m:r>
                      </m:e>
                    </m:d>
                  </m:num>
                  <m:den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Note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  <m:r>
                      <m:t> 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 </m:t>
                    </m:r>
                    <m:r>
                      <m:t>p</m:t>
                    </m:r>
                  </m:e>
                </m:d>
                <m:r>
                  <m:t> 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p>
                </m:s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β</m:t>
                        </m:r>
                      </m:e>
                    </m:d>
                  </m:num>
                  <m:den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β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β</m:t>
                        </m:r>
                      </m:e>
                    </m:d>
                  </m:num>
                  <m:den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  <m:sSup>
                  <m:e>
                    <m:r>
                      <m:t>p</m:t>
                    </m:r>
                  </m:e>
                  <m:sup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!</m:t>
                    </m:r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</m:den>
                </m:f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β</m:t>
                        </m:r>
                      </m:e>
                    </m:d>
                  </m:num>
                  <m:den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β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so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r>
                      <m:t>P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  <m:r>
                      <m:t> 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 </m:t>
                    </m:r>
                    <m:r>
                      <m:t>p</m:t>
                    </m:r>
                  </m:e>
                </m:d>
                <m:r>
                  <m:t> 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  <m:r>
                  <m:t> </m:t>
                </m:r>
                <m:r>
                  <m:t>d</m:t>
                </m:r>
                <m:r>
                  <m:t>p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!</m:t>
                    </m:r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</m:den>
                </m:f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β</m:t>
                        </m:r>
                      </m:e>
                    </m:d>
                  </m:num>
                  <m:den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nary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β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t> </m:t>
                </m:r>
                <m:r>
                  <m:t>d</m:t>
                </m:r>
                <m:r>
                  <m:t>p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!</m:t>
                    </m:r>
                  </m:num>
                  <m:den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</m:den>
                </m:f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β</m:t>
                        </m:r>
                      </m:e>
                    </m:d>
                  </m:num>
                  <m:den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β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Consequently, the ratio of the last two expressions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 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 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</m:e>
                    </m:d>
                  </m:num>
                  <m:den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  <m:r>
                          <m:t> 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 </m:t>
                        </m:r>
                        <m:r>
                          <m:t>p</m:t>
                        </m:r>
                      </m:e>
                    </m:d>
                    <m:r>
                      <m:t> 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p</m:t>
                        </m:r>
                      </m:e>
                    </m:d>
                  </m:num>
                  <m:den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•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β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p</m:t>
                        </m:r>
                      </m:e>
                    </m:d>
                  </m:e>
                  <m:sup>
                    <m:r>
                      <m:t>β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That is, the posterior distribution is</w:t>
      </w:r>
      <w:r>
        <w:t xml:space="preserve"> </w:t>
      </w:r>
      <m:oMath>
        <m:r>
          <m:rPr>
            <m:sty m:val="p"/>
            <m:scr m:val="script"/>
          </m:rPr>
          <m:t>B</m:t>
        </m:r>
        <m:r>
          <m:rPr>
            <m:sty m:val="p"/>
            <m:scr m:val="script"/>
          </m:rPr>
          <m:t>e</m:t>
        </m:r>
        <m:r>
          <m:rPr>
            <m:sty m:val="p"/>
            <m:scr m:val="script"/>
          </m:rPr>
          <m:t>t</m:t>
        </m:r>
        <m:r>
          <m:rPr>
            <m:sty m:val="p"/>
            <m:scr m:val="script"/>
          </m:rPr>
          <m:t>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+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β</m:t>
            </m:r>
            <m:r>
              <m:rPr>
                <m:sty m:val="p"/>
              </m:rPr>
              <m:t>+</m:t>
            </m:r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This is the</w:t>
      </w:r>
      <w:r>
        <w:t xml:space="preserve"> </w:t>
      </w:r>
      <w:r>
        <w:t xml:space="preserve">“</w:t>
      </w:r>
      <w:r>
        <w:t xml:space="preserve">mathematical convenience</w:t>
      </w:r>
      <w:r>
        <w:t xml:space="preserve">”</w:t>
      </w:r>
      <w:r>
        <w:t xml:space="preserve"> </w:t>
      </w:r>
      <w:r>
        <w:t xml:space="preserve">previously alluded to: the prior and posterior probability distributions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belong to the same family of parametric probability distributions, namely the</w:t>
      </w:r>
      <w:r>
        <w:t xml:space="preserve"> </w:t>
      </w:r>
      <m:oMath>
        <m:r>
          <m:rPr>
            <m:sty m:val="p"/>
            <m:scr m:val="script"/>
          </m:rPr>
          <m:t>B</m:t>
        </m:r>
        <m:r>
          <m:rPr>
            <m:sty m:val="p"/>
            <m:scr m:val="script"/>
          </m:rPr>
          <m:t>e</m:t>
        </m:r>
        <m:r>
          <m:rPr>
            <m:sty m:val="p"/>
            <m:scr m:val="script"/>
          </m:rPr>
          <m:t>t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family. For this reason the</w:t>
      </w:r>
      <w:r>
        <w:t xml:space="preserve"> </w:t>
      </w:r>
      <m:oMath>
        <m:r>
          <m:rPr>
            <m:sty m:val="p"/>
            <m:scr m:val="script"/>
          </m:rPr>
          <m:t>B</m:t>
        </m:r>
        <m:r>
          <m:rPr>
            <m:sty m:val="p"/>
            <m:scr m:val="script"/>
          </m:rPr>
          <m:t>e</m:t>
        </m:r>
        <m:r>
          <m:rPr>
            <m:sty m:val="p"/>
            <m:scr m:val="script"/>
          </m:rPr>
          <m:t>t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family is said to be</w:t>
      </w:r>
      <w:r>
        <w:t xml:space="preserve"> </w:t>
      </w:r>
      <w:r>
        <w:rPr>
          <w:i/>
          <w:iCs/>
        </w:rPr>
        <w:t xml:space="preserve">conjugate</w:t>
      </w:r>
      <w:r>
        <w:t xml:space="preserve"> </w:t>
      </w:r>
      <w:r>
        <w:t xml:space="preserve">to the binomial family.</w:t>
      </w:r>
    </w:p>
    <w:bookmarkEnd w:id="26"/>
    <w:bookmarkStart w:id="31" w:name="the-dirichlet-probability-distribution"/>
    <w:p>
      <w:pPr>
        <w:pStyle w:val="Heading2"/>
      </w:pPr>
      <w:r>
        <w:t xml:space="preserve">The Dirichlet Probability Distribution</w:t>
      </w:r>
    </w:p>
    <w:bookmarkStart w:id="27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The binomial distribution is a special case of the multinomial distribution in which the number of categories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equal to 2. (In the discussion above we referred to the categories as success and failue, respectively.) More generally, for a fixed integer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2</m:t>
        </m:r>
      </m:oMath>
      <w:r>
        <w:t xml:space="preserve">, the family of distributions conjugate to the multinomial family of distributions 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categories is the following</w:t>
      </w:r>
      <w:r>
        <w:t xml:space="preserve"> </w:t>
      </w:r>
      <w:r>
        <w:rPr>
          <w:i/>
          <w:iCs/>
        </w:rPr>
        <w:t xml:space="preserve">Dirichlet</w:t>
      </w:r>
      <w:r>
        <w:t xml:space="preserve"> </w:t>
      </w:r>
      <w:r>
        <w:t xml:space="preserve">family.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⋯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rPr>
                        <m:sty m:val="p"/>
                      </m:rPr>
                      <m:t>⋯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∏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bSup>
                  </m:e>
                </m:nary>
              </m:e>
            </m:mr>
            <m:mr>
              <m:e/>
            </m:mr>
            <m:mr>
              <m:e/>
              <m:e>
                <m:r>
                  <m:rPr>
                    <m:nor/>
                    <m:sty m:val="p"/>
                  </m:rPr>
                  <m:t>with </m:t>
                </m:r>
                <m:sSub>
                  <m:e>
                    <m:r>
                      <m:t>α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nor/>
                    <m:sty m:val="p"/>
                  </m:rPr>
                  <m:t> for </m:t>
                </m:r>
                <m:r>
                  <m:t>k</m:t>
                </m:r>
                <m:r>
                  <m:rPr>
                    <m:sty m:val="p"/>
                  </m:rPr>
                  <m:t>∈</m:t>
                </m:r>
                <m:r>
                  <m:rPr>
                    <m:sty m:val="p"/>
                  </m:rPr>
                  <m:t>{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  <m:r>
                  <m:rPr>
                    <m:sty m:val="p"/>
                  </m:rPr>
                  <m:t>}</m:t>
                </m:r>
              </m:e>
            </m:mr>
          </m:m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m:oMath>
        <m:r>
          <m:rPr>
            <m:sty m:val="p"/>
            <m:scr m:val="script"/>
          </m:rPr>
          <m:t>D</m:t>
        </m:r>
        <m:r>
          <m:rPr>
            <m:sty m:val="p"/>
            <m:scr m:val="script"/>
          </m:rPr>
          <m:t>i</m:t>
        </m:r>
        <m:r>
          <m:rPr>
            <m:sty m:val="p"/>
            <m:scr m:val="script"/>
          </m:rPr>
          <m:t>r</m:t>
        </m:r>
        <m:r>
          <m:rPr>
            <m:sty m:val="p"/>
            <m:scr m:val="script"/>
          </m:rPr>
          <m:t>i</m:t>
        </m:r>
        <m:r>
          <m:rPr>
            <m:sty m:val="p"/>
            <m:scr m:val="script"/>
          </m:rPr>
          <m:t>c</m:t>
        </m:r>
        <m:r>
          <m:rPr>
            <m:sty m:val="p"/>
            <m:scr m:val="script"/>
          </m:rPr>
          <m:t>h</m:t>
        </m:r>
        <m:r>
          <m:rPr>
            <m:sty m:val="p"/>
            <m:scr m:val="script"/>
          </m:rPr>
          <m:t>l</m:t>
        </m:r>
        <m:r>
          <m:rPr>
            <m:sty m:val="p"/>
            <m:scr m:val="script"/>
          </m:rPr>
          <m:t>e</m:t>
        </m:r>
        <m:r>
          <m:rPr>
            <m:sty m:val="p"/>
            <m:scr m:val="script"/>
          </m:rPr>
          <m:t>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rPr>
                    <m:sty m:val="p"/>
                  </m:rPr>
                  <m:t>•</m:t>
                </m:r>
              </m:sub>
            </m:sSub>
          </m:e>
        </m:d>
      </m:oMath>
      <w:r>
        <w:t xml:space="preserve"> </w:t>
      </w:r>
      <w:r>
        <w:t xml:space="preserve">distribution over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, where probability vector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ranges over the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dimesional simplex such that each component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non-negative and all the components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together sum to unity.</w:t>
      </w:r>
    </w:p>
    <w:bookmarkEnd w:id="27"/>
    <w:bookmarkStart w:id="29" w:name="special-case-alpha_k-fracalpha_k"/>
    <w:p>
      <w:pPr>
        <w:pStyle w:val="Heading3"/>
      </w:pPr>
      <w:r>
        <w:t xml:space="preserve">Special Case: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α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num>
          <m:den>
            <m:r>
              <m:t>K</m:t>
            </m:r>
          </m:den>
        </m:f>
      </m:oMath>
    </w:p>
    <w:p>
      <w:pPr>
        <w:pStyle w:val="FirstParagraph"/>
      </w:pPr>
      <w:r>
        <w:t xml:space="preserve">We will denote the sum of the components of</w:t>
      </w:r>
      <w:r>
        <w:t xml:space="preserve"> </w:t>
      </w:r>
      <m:oMath>
        <m:sSub>
          <m:e>
            <m:r>
              <m:t>α</m:t>
            </m:r>
          </m:e>
          <m:sub>
            <m:r>
              <m:rPr>
                <m:sty m:val="p"/>
              </m:rPr>
              <m:t>•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sSub>
          <m:e>
            <m:r>
              <m:t>α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.</w:t>
      </w:r>
      <w:r>
        <w:rPr>
          <w:rStyle w:val="FootnoteReference"/>
        </w:rPr>
        <w:footnoteReference w:id="28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α</m:t>
                    </m:r>
                  </m:e>
                  <m:sub>
                    <m:r>
                      <m:rPr>
                        <m:sty m:val="p"/>
                      </m:rPr>
                      <m:t>+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K</m:t>
                    </m:r>
                  </m:sup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Consider the special case in which all the components of</w:t>
      </w:r>
      <w:r>
        <w:t xml:space="preserve"> </w:t>
      </w:r>
      <m:oMath>
        <m:sSub>
          <m:e>
            <m:r>
              <m:t>α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have the same value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α</m:t>
                    </m:r>
                  </m:e>
                  <m:sub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m:t>+</m:t>
                        </m:r>
                      </m:sub>
                    </m:sSub>
                  </m:num>
                  <m:den>
                    <m:r>
                      <m:t>K</m:t>
                    </m:r>
                  </m:den>
                </m:f>
              </m:e>
            </m:mr>
            <m:mr>
              <m:e/>
              <m:e>
                <m:r>
                  <m:rPr>
                    <m:nor/>
                    <m:sty m:val="p"/>
                  </m:rPr>
                  <m:t>for </m:t>
                </m:r>
                <m:r>
                  <m:t>k</m:t>
                </m:r>
                <m:r>
                  <m:rPr>
                    <m:sty m:val="p"/>
                  </m:rPr>
                  <m:t>∈</m:t>
                </m:r>
                <m:r>
                  <m:rPr>
                    <m:sty m:val="p"/>
                  </m:rPr>
                  <m:t>{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  <m:r>
                  <m:rPr>
                    <m:sty m:val="p"/>
                  </m:rPr>
                  <m:t>}</m:t>
                </m:r>
              </m:e>
            </m:mr>
          </m:m>
        </m:oMath>
      </m:oMathPara>
    </w:p>
    <w:p>
      <w:pPr>
        <w:pStyle w:val="FirstParagraph"/>
      </w:pPr>
      <w:r>
        <w:t xml:space="preserve">The probability distribution is then symmetric in the components of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α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is referred to as the</w:t>
      </w:r>
      <w:r>
        <w:t xml:space="preserve"> </w:t>
      </w:r>
      <w:r>
        <w:rPr>
          <w:i/>
          <w:iCs/>
        </w:rPr>
        <w:t xml:space="preserve">concentration parameter</w:t>
      </w:r>
      <w:r>
        <w:t xml:space="preserve">. The uniform distribution over the domain of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(that is, over the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dimensional simplex) is obtained by setting</w:t>
      </w:r>
      <w:r>
        <w:t xml:space="preserve"> </w:t>
      </w:r>
      <m:oMath>
        <m:sSub>
          <m:e>
            <m:r>
              <m:t>α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 Setting</w:t>
      </w:r>
      <w:r>
        <w:t xml:space="preserve"> </w:t>
      </w:r>
      <m:oMath>
        <m:sSub>
          <m:e>
            <m:r>
              <m:t>α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&gt;</m:t>
        </m:r>
        <m:r>
          <m:t>K</m:t>
        </m:r>
      </m:oMath>
      <w:r>
        <w:t xml:space="preserve"> </w:t>
      </w:r>
      <w:r>
        <w:t xml:space="preserve">concentrates the distribution around the centroid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rPr>
                        <m:nor/>
                        <m:sty m:val="b"/>
                      </m:rPr>
                      <m:t>ctr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,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K</m:t>
                        </m:r>
                      </m:den>
                    </m:f>
                  </m:e>
                </m:d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For example the previous figure shows two alternative concentrations of the symmetric beta density function of scalar parameter</w:t>
      </w:r>
      <w:r>
        <w:t xml:space="preserve"> </w:t>
      </w:r>
      <m:oMath>
        <m:r>
          <m:t>p</m:t>
        </m:r>
      </m:oMath>
      <w:r>
        <w:t xml:space="preserve">, where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,</m:t>
            </m:r>
            <m:r>
              <m:t> </m:t>
            </m:r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  <w:r>
        <w:t xml:space="preserve">, and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nor/>
                <m:sty m:val="b"/>
              </m:rPr>
              <m:t>ctr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Alternatively, setting</w:t>
      </w:r>
      <w:r>
        <w:t xml:space="preserve"> </w:t>
      </w:r>
      <m:oMath>
        <m:sSub>
          <m:e>
            <m:r>
              <m:t>α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&lt;</m:t>
        </m:r>
        <m:r>
          <m:t>K</m:t>
        </m:r>
      </m:oMath>
      <w:r>
        <w:t xml:space="preserve"> </w:t>
      </w:r>
      <w:r>
        <w:t xml:space="preserve">concentrates the distribution away from the centroid toward the corners of the simplex.</w:t>
      </w:r>
    </w:p>
    <w:bookmarkEnd w:id="29"/>
    <w:bookmarkStart w:id="30" w:name="posterior-distribution"/>
    <w:p>
      <w:pPr>
        <w:pStyle w:val="Heading3"/>
      </w:pPr>
      <w:r>
        <w:t xml:space="preserve">Posterior Distribution</w:t>
      </w:r>
    </w:p>
    <w:p>
      <w:pPr>
        <w:pStyle w:val="FirstParagraph"/>
      </w:pPr>
      <w:r>
        <w:t xml:space="preserve">Recall that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constructed above has a multinomial distribution if it can be represented as the sum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independent trials, each trial yielding one of the Euclidean basis vectors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with probability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 Then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the</w:t>
      </w:r>
      <w:r>
        <w:t xml:space="preserve"> </w:t>
      </w:r>
      <m:oMath>
        <m:sSup>
          <m:e>
            <m:r>
              <m:t>k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component of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, counts the number of trials yielding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e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Now suppose that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has prior distribution</w:t>
      </w:r>
      <w:r>
        <w:t xml:space="preserve"> </w:t>
      </w:r>
      <m:oMath>
        <m:r>
          <m:rPr>
            <m:sty m:val="p"/>
            <m:scr m:val="script"/>
          </m:rPr>
          <m:t>D</m:t>
        </m:r>
        <m:r>
          <m:rPr>
            <m:sty m:val="p"/>
            <m:scr m:val="script"/>
          </m:rPr>
          <m:t>i</m:t>
        </m:r>
        <m:r>
          <m:rPr>
            <m:sty m:val="p"/>
            <m:scr m:val="script"/>
          </m:rPr>
          <m:t>r</m:t>
        </m:r>
        <m:r>
          <m:rPr>
            <m:sty m:val="p"/>
            <m:scr m:val="script"/>
          </m:rPr>
          <m:t>i</m:t>
        </m:r>
        <m:r>
          <m:rPr>
            <m:sty m:val="p"/>
            <m:scr m:val="script"/>
          </m:rPr>
          <m:t>c</m:t>
        </m:r>
        <m:r>
          <m:rPr>
            <m:sty m:val="p"/>
            <m:scr m:val="script"/>
          </m:rPr>
          <m:t>h</m:t>
        </m:r>
        <m:r>
          <m:rPr>
            <m:sty m:val="p"/>
            <m:scr m:val="script"/>
          </m:rPr>
          <m:t>l</m:t>
        </m:r>
        <m:r>
          <m:rPr>
            <m:sty m:val="p"/>
            <m:scr m:val="script"/>
          </m:rPr>
          <m:t>e</m:t>
        </m:r>
        <m:r>
          <m:rPr>
            <m:sty m:val="p"/>
            <m:scr m:val="script"/>
          </m:rPr>
          <m:t>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rPr>
                    <m:sty m:val="p"/>
                  </m:rPr>
                  <m:t>•</m:t>
                </m:r>
              </m:sub>
            </m:sSub>
          </m:e>
        </m:d>
      </m:oMath>
      <w:r>
        <w:t xml:space="preserve">, for some specification of</w:t>
      </w:r>
      <w:r>
        <w:t xml:space="preserve"> </w:t>
      </w:r>
      <m:oMath>
        <m:sSub>
          <m:e>
            <m:r>
              <m:t>α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, and that the observed outcome of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trials is a given vector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of counts. What is the posterior distribution of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 </w:t>
      </w:r>
      <w:r>
        <w:t xml:space="preserve">given the observation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•</m:t>
            </m:r>
          </m:sub>
        </m:sSub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rPr>
                <m:sty m:val="p"/>
              </m:rPr>
              <m:t>•</m:t>
            </m:r>
          </m:sub>
        </m:sSub>
      </m:oMath>
      <w:r>
        <w:t xml:space="preserve">? This turns out to be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{</m:t>
                </m:r>
                <m:sSub>
                  <m:e>
                    <m:r>
                      <m:t>p</m:t>
                    </m:r>
                  </m:e>
                  <m:sub>
                    <m:r>
                      <m:rPr>
                        <m:sty m:val="p"/>
                      </m:rPr>
                      <m:t>•</m:t>
                    </m:r>
                  </m:sub>
                </m:sSub>
                <m:r>
                  <m:t> </m:t>
                </m:r>
                <m:r>
                  <m:rPr>
                    <m:sty m:val="p"/>
                  </m:rPr>
                  <m:t>|</m:t>
                </m:r>
                <m:r>
                  <m:t> </m:t>
                </m:r>
                <m:sSub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•</m:t>
                    </m:r>
                  </m:sub>
                </m:sSub>
                <m:r>
                  <m:rPr>
                    <m:sty m:val="p"/>
                  </m:rPr>
                  <m:t>}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•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That is, the Dirichlet family is conjugate to the multinomial family, just as the beta family is conjugate to the binomial family.</w:t>
      </w:r>
    </w:p>
    <w:bookmarkEnd w:id="30"/>
    <w:bookmarkEnd w:id="31"/>
    <w:bookmarkStart w:id="33" w:name="resources"/>
    <w:p>
      <w:pPr>
        <w:pStyle w:val="Heading2"/>
      </w:pPr>
      <w:r>
        <w:t xml:space="preserve">Resources</w:t>
      </w:r>
    </w:p>
    <w:p>
      <w:pPr>
        <w:pStyle w:val="FirstParagraph"/>
      </w:pPr>
      <w:hyperlink r:id="rId32">
        <w:r>
          <w:rPr>
            <w:rStyle w:val="Hyperlink"/>
          </w:rPr>
          <w:t xml:space="preserve">Dirichlet distribution - Wikipedia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machine learning this mapping of a categorical variable to an indicator vector is called</w:t>
      </w:r>
      <w:r>
        <w:t xml:space="preserve"> </w:t>
      </w:r>
      <w:r>
        <w:t xml:space="preserve">“</w:t>
      </w:r>
      <w:r>
        <w:t xml:space="preserve">one-hot encoding</w:t>
      </w:r>
      <w:r>
        <w:t xml:space="preserve">”</w:t>
      </w:r>
      <w:r>
        <w:t xml:space="preserve">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 alternative notation for the sum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α</m:t>
            </m:r>
          </m:e>
          <m:sub>
            <m:r>
              <m:t>0</m:t>
            </m:r>
          </m:sub>
        </m:sSub>
      </m:oMath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2" Target="https://en.wikipedia.org/wiki/Dirichlet_distribu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n.wikipedia.org/wiki/Dirichlet_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Dirichlet Distribution</dc:title>
  <dc:creator/>
  <cp:keywords/>
  <dcterms:created xsi:type="dcterms:W3CDTF">2025-01-26T12:54:22Z</dcterms:created>
  <dcterms:modified xsi:type="dcterms:W3CDTF">2025-01-26T12:54:22Z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Dirichlet and Multinomial distributions are introduced in preparation for a discussion of Latent Dirichlet Allocation (LDA).</vt:lpwstr>
  </property>
  <property fmtid="{D5CDD505-2E9C-101B-9397-08002B2CF9AE}" pid="3" name="date">
    <vt:lpwstr>2025-01-26 12:54 GMT</vt:lpwstr>
  </property>
  <property fmtid="{D5CDD505-2E9C-101B-9397-08002B2CF9AE}" pid="4" name="output">
    <vt:lpwstr/>
  </property>
  <property fmtid="{D5CDD505-2E9C-101B-9397-08002B2CF9AE}" pid="5" name="subtitle">
    <vt:lpwstr>Selected topics from Part 1 of Data Mining Intro</vt:lpwstr>
  </property>
</Properties>
</file>