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image8.jpeg" ContentType="image/jpeg"/>
  <Override PartName="/word/media/image9.png" ContentType="image/png"/>
  <Override PartName="/word/media/image11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MCBOMs</w:t>
      </w:r>
      <w:r>
        <w:t xml:space="preserve"> </w:t>
      </w:r>
      <w:r>
        <w:t xml:space="preserve">Task</w:t>
      </w:r>
      <w:r>
        <w:t xml:space="preserve"> </w:t>
      </w:r>
      <w:r>
        <w:t xml:space="preserve">4</w:t>
      </w:r>
      <w:r>
        <w:t xml:space="preserve"> </w:t>
      </w:r>
      <w:r>
        <w:t xml:space="preserve">Report</w:t>
      </w:r>
      <w:r>
        <w:br/>
      </w:r>
      <w:r>
        <w:t xml:space="preserve">Chapter</w:t>
      </w:r>
      <w:r>
        <w:t xml:space="preserve"> </w:t>
      </w:r>
      <w:r>
        <w:t xml:space="preserve">2:</w:t>
      </w:r>
      <w:r>
        <w:t xml:space="preserve"> </w:t>
      </w:r>
      <w:r>
        <w:t xml:space="preserve">Updated</w:t>
      </w:r>
      <w:r>
        <w:t xml:space="preserve"> </w:t>
      </w:r>
      <w:r>
        <w:t xml:space="preserve">Formulation</w:t>
      </w:r>
      <w:r>
        <w:t xml:space="preserve"> </w:t>
      </w:r>
      <w:r>
        <w:t xml:space="preserve">of</w:t>
      </w:r>
      <w:r>
        <w:t xml:space="preserve"> </w:t>
      </w:r>
      <w:r>
        <w:t xml:space="preserve">MCBOMs</w:t>
      </w:r>
      <w:r>
        <w:t xml:space="preserve"> </w:t>
      </w:r>
      <w:r>
        <w:t xml:space="preserve">(Formulation</w:t>
      </w:r>
      <w:r>
        <w:t xml:space="preserve"> </w:t>
      </w:r>
      <w:r>
        <w:t xml:space="preserve">and</w:t>
      </w:r>
      <w:r>
        <w:t xml:space="preserve"> </w:t>
      </w:r>
      <w:r>
        <w:t xml:space="preserve">Validation)</w:t>
      </w:r>
    </w:p>
    <w:p>
      <w:pPr>
        <w:pStyle w:val="Author"/>
      </w:pPr>
      <w:r>
        <w:t xml:space="preserve">Texas</w:t>
      </w:r>
      <w:r>
        <w:t xml:space="preserve"> </w:t>
      </w:r>
      <w:r>
        <w:t xml:space="preserve">A&amp;M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Institute</w:t>
      </w:r>
      <w:r>
        <w:br/>
      </w:r>
      <w:r>
        <w:t xml:space="preserve">FHWA</w:t>
      </w:r>
      <w:r>
        <w:t xml:space="preserve"> </w:t>
      </w:r>
      <w:r>
        <w:t xml:space="preserve">Contract</w:t>
      </w:r>
      <w:r>
        <w:t xml:space="preserve"> </w:t>
      </w:r>
      <w:r>
        <w:t xml:space="preserve">HRSO20240009PR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</w:p>
    <w:bookmarkStart w:id="20" w:name="chapter-2-updated-formulation-of-mcboms"/>
    <w:p>
      <w:pPr>
        <w:pStyle w:val="Heading1"/>
      </w:pPr>
      <w:r>
        <w:t xml:space="preserve">Chapter 2: Updated Formulation of MCBOMs</w:t>
      </w:r>
    </w:p>
    <w:p>
      <w:pPr>
        <w:pStyle w:val="FirstParagraph"/>
      </w:pPr>
      <w:r>
        <w:t xml:space="preserve">The objective of Task 4 is to develop the network-level optimization model that</w:t>
      </w:r>
      <w:r>
        <w:t xml:space="preserve"> </w:t>
      </w:r>
      <w:r>
        <w:t xml:space="preserve">forms the analytical core of the Multidisciplinary Cost Benefit Optimization</w:t>
      </w:r>
      <w:r>
        <w:t xml:space="preserve"> </w:t>
      </w:r>
      <w:r>
        <w:t xml:space="preserve">Models (MCBOMs) framework. This chapter presents the updated mathematical</w:t>
      </w:r>
      <w:r>
        <w:t xml:space="preserve"> </w:t>
      </w:r>
      <w:r>
        <w:t xml:space="preserve">formulation, integrating safety, operational, and corridor condition benefits</w:t>
      </w:r>
      <w:r>
        <w:t xml:space="preserve"> </w:t>
      </w:r>
      <w:r>
        <w:t xml:space="preserve">within a Mixed-Integer Linear Programming (MILP) structure suitable for both</w:t>
      </w:r>
      <w:r>
        <w:t xml:space="preserve"> </w:t>
      </w:r>
      <w:r>
        <w:t xml:space="preserve">project-level and network-level investment decisions. The chapter then documents</w:t>
      </w:r>
      <w:r>
        <w:t xml:space="preserve"> </w:t>
      </w:r>
      <w:r>
        <w:t xml:space="preserve">the validation of the MCBOMs implementation against two published benchmarks:</w:t>
      </w:r>
      <w:r>
        <w:t xml:space="preserve"> </w:t>
      </w:r>
      <w:r>
        <w:t xml:space="preserve">Harwood et al. (2003), who developed the Resurfacing Safety Resource</w:t>
      </w:r>
      <w:r>
        <w:t xml:space="preserve"> </w:t>
      </w:r>
      <w:r>
        <w:t xml:space="preserve">Allocation Program (RSRAP) for allocating resources to safety improvements</w:t>
      </w:r>
      <w:r>
        <w:t xml:space="preserve"> </w:t>
      </w:r>
      <w:r>
        <w:t xml:space="preserve">within Resurfacing, Restoration, and Rehabilitation (RRR) projects on</w:t>
      </w:r>
      <w:r>
        <w:t xml:space="preserve"> </w:t>
      </w:r>
      <w:r>
        <w:t xml:space="preserve">nonfreeway facilities, and Banihashemi (2007), who developed a segment- and</w:t>
      </w:r>
      <w:r>
        <w:t xml:space="preserve"> </w:t>
      </w:r>
      <w:r>
        <w:t xml:space="preserve">intersection-level network optimization framework integrating safety and</w:t>
      </w:r>
      <w:r>
        <w:t xml:space="preserve"> </w:t>
      </w:r>
      <w:r>
        <w:t xml:space="preserve">operational performance.</w:t>
      </w:r>
    </w:p>
    <w:bookmarkEnd w:id="20"/>
    <w:bookmarkStart w:id="37" w:name="foundational-framework"/>
    <w:p>
      <w:pPr>
        <w:pStyle w:val="Heading1"/>
      </w:pPr>
      <w:r>
        <w:t xml:space="preserve">Foundational Framework</w:t>
      </w:r>
    </w:p>
    <w:p>
      <w:pPr>
        <w:pStyle w:val="FirstParagraph"/>
      </w:pPr>
      <w:r>
        <w:t xml:space="preserve">The MCBOMs framework addresses the multi-objective resource allocation problem</w:t>
      </w:r>
      <w:r>
        <w:t xml:space="preserve"> </w:t>
      </w:r>
      <w:r>
        <w:t xml:space="preserve">faced by transportation agencies: given a portfolio of candidate projects, each</w:t>
      </w:r>
      <w:r>
        <w:t xml:space="preserve"> </w:t>
      </w:r>
      <w:r>
        <w:t xml:space="preserve">with multiple possible improvement alternatives, determine the combination of</w:t>
      </w:r>
      <w:r>
        <w:t xml:space="preserve"> </w:t>
      </w:r>
      <w:r>
        <w:t xml:space="preserve">alternatives that maximizes total societal benefit subject to a budget</w:t>
      </w:r>
      <w:r>
        <w:t xml:space="preserve"> </w:t>
      </w:r>
      <w:r>
        <w:t xml:space="preserve">constraint. Three foundational design choices govern the formulation: the</w:t>
      </w:r>
      <w:r>
        <w:t xml:space="preserve"> </w:t>
      </w:r>
      <w:r>
        <w:t xml:space="preserve">project–alternative structure, the benefit definition and quantification</w:t>
      </w:r>
      <w:r>
        <w:t xml:space="preserve"> </w:t>
      </w:r>
      <w:r>
        <w:t xml:space="preserve">structure, and the discounting and time-horizon convention.</w:t>
      </w:r>
    </w:p>
    <w:bookmarkStart w:id="21" w:name="projectalternative-structure"/>
    <w:p>
      <w:pPr>
        <w:pStyle w:val="Heading2"/>
      </w:pPr>
      <w:r>
        <w:t xml:space="preserve">Project–Alternative Structure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project</w:t>
      </w:r>
      <w:r>
        <w:t xml:space="preserve"> </w:t>
      </w:r>
      <w:r>
        <w:t xml:space="preserve">represents a candidate location for investment. Examples</w:t>
      </w:r>
      <w:r>
        <w:t xml:space="preserve"> </w:t>
      </w:r>
      <w:r>
        <w:t xml:space="preserve">include a corridor segment, an intersection, a bridge, or any other discrete</w:t>
      </w:r>
      <w:r>
        <w:t xml:space="preserve"> </w:t>
      </w:r>
      <w:r>
        <w:t xml:space="preserve">asset for which an improvement decision can be made. Each project is denoted by</w:t>
      </w:r>
      <w:r>
        <w:t xml:space="preserve"> </w:t>
      </w:r>
      <w:r>
        <w:t xml:space="preserve">the index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}</m:t>
        </m:r>
      </m:oMath>
      <w:r>
        <w:t xml:space="preserve">, 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total number of</w:t>
      </w:r>
      <w:r>
        <w:t xml:space="preserve"> </w:t>
      </w:r>
      <w:r>
        <w:t xml:space="preserve">projects in the analysis.</w:t>
      </w:r>
    </w:p>
    <w:p>
      <w:pPr>
        <w:pStyle w:val="BodyText"/>
      </w:pPr>
      <w:r>
        <w:t xml:space="preserve">For each project</w:t>
      </w:r>
      <w:r>
        <w:t xml:space="preserve"> </w:t>
      </w:r>
      <m:oMath>
        <m:r>
          <m:t>i</m:t>
        </m:r>
      </m:oMath>
      <w:r>
        <w:t xml:space="preserve">, the analyst defines a set of</w:t>
      </w:r>
      <w:r>
        <w:t xml:space="preserve"> </w:t>
      </w:r>
      <w:r>
        <w:rPr>
          <w:iCs/>
          <w:i/>
        </w:rPr>
        <w:t xml:space="preserve">improvement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alternatives</w:t>
      </w:r>
      <w:r>
        <w:t xml:space="preserve">,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J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. The alternative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always the do-nothing baseline (no improvement implemented at site</w:t>
      </w:r>
      <w:r>
        <w:t xml:space="preserve"> </w:t>
      </w:r>
      <m:oMath>
        <m:r>
          <m:t>i</m:t>
        </m:r>
      </m:oMath>
      <w:r>
        <w:t xml:space="preserve">). Alternatives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each represent a distinct combination of</w:t>
      </w:r>
      <w:r>
        <w:t xml:space="preserve"> </w:t>
      </w:r>
      <w:r>
        <w:t xml:space="preserve">treatments. Treatments may include, for example, lane widening, shoulder paving,</w:t>
      </w:r>
      <w:r>
        <w:t xml:space="preserve"> </w:t>
      </w:r>
      <w:r>
        <w:t xml:space="preserve">intersection signalization, or pavement resurfacing. A single alternative may</w:t>
      </w:r>
      <w:r>
        <w:t xml:space="preserve"> </w:t>
      </w:r>
      <w:r>
        <w:t xml:space="preserve">bundle multiple treatments, in which case the alternative’s combined effect is</w:t>
      </w:r>
      <w:r>
        <w:t xml:space="preserve"> </w:t>
      </w:r>
      <w:r>
        <w:t xml:space="preserve">computed using the appropriate combination rule for each benefit category (see</w:t>
      </w:r>
      <w:r>
        <w:t xml:space="preserve"> </w:t>
      </w:r>
      <w:r>
        <w:t xml:space="preserve">Section </w:t>
      </w:r>
      <w:hyperlink w:anchor="sec:safet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for safety, Section </w:t>
      </w:r>
      <w:hyperlink w:anchor="sec:op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for operations).</w:t>
      </w:r>
    </w:p>
    <w:p>
      <w:pPr>
        <w:pStyle w:val="BodyText"/>
      </w:pPr>
      <w:r>
        <w:t xml:space="preserve">Each project is characterized by a record: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for each alternative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capturing the data required to</w:t>
      </w:r>
      <w:r>
        <w:t xml:space="preserve"> </w:t>
      </w:r>
      <w:r>
        <w:t xml:space="preserve">evaluate that alternative.</w:t>
      </w:r>
    </w:p>
    <w:p>
      <w:pPr>
        <w:pStyle w:val="BodyText"/>
      </w:pPr>
      <w:r>
        <w:t xml:space="preserve">The optimization decision variable is binary: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alternative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 is selected for project 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mutual-exclusivity constraint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ensures that at most one alternative (including</w:t>
      </w:r>
      <w:r>
        <w:t xml:space="preserve"> </w:t>
      </w:r>
      <w:r>
        <w:t xml:space="preserve">do-nothing) is selected for each project.</w:t>
      </w:r>
    </w:p>
    <w:bookmarkEnd w:id="21"/>
    <w:bookmarkStart w:id="22" w:name="X3e415cfa3e9673ff80d003f4403d3ac6b1c41c2"/>
    <w:p>
      <w:pPr>
        <w:pStyle w:val="Heading2"/>
      </w:pPr>
      <w:r>
        <w:t xml:space="preserve">Benefit Definition and Quantification Structure</w:t>
      </w:r>
    </w:p>
    <w:p>
      <w:pPr>
        <w:pStyle w:val="FirstParagraph"/>
      </w:pPr>
      <w:r>
        <w:t xml:space="preserve">The total present-value societal benefit of selecting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project</w:t>
      </w:r>
      <w:r>
        <w:t xml:space="preserve"> </w:t>
      </w:r>
      <m:oMath>
        <m:r>
          <m:t>i</m:t>
        </m:r>
      </m:oMath>
      <w:r>
        <w:t xml:space="preserve">, evaluated over the analysis horizon</w:t>
      </w:r>
      <w:r>
        <w:t xml:space="preserve"> </w:t>
      </w:r>
      <m:oMath>
        <m:r>
          <m:t>T</m:t>
        </m:r>
      </m:oMath>
      <w:r>
        <w:t xml:space="preserve">, is the discounted sum</w:t>
      </w:r>
      <w:r>
        <w:t xml:space="preserve"> </w:t>
      </w:r>
      <w:r>
        <w:t xml:space="preserve">of three additive annual benefit components: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y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s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r</m:t>
                      </m:r>
                    </m:sup>
                  </m:sSubSup>
                  <m:r>
                    <m:t> </m:t>
                  </m:r>
                </m:e>
              </m:d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F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  <m:r>
              <m:t>t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</m:oMath>
      <w:r>
        <w:t xml:space="preserve"> </w:t>
      </w:r>
      <w:r>
        <w:t xml:space="preserve">is the annual monetized safety benefit</w:t>
      </w:r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(crash cost reduction); see Section </w:t>
      </w:r>
      <w:hyperlink w:anchor="sec:safety">
        <w:r>
          <w:rPr>
            <w:rStyle w:val="Hyperlink"/>
          </w:rPr>
          <w:t xml:space="preserve">3</w:t>
        </w:r>
      </w:hyperlink>
      <w:r>
        <w:t xml:space="preserve">.</w:t>
      </w:r>
    </w:p>
    <w:p>
      <w:pPr>
        <w:numPr>
          <w:ilvl w:val="0"/>
          <w:numId w:val="1001"/>
        </w:numPr>
      </w:pP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  <m:r>
              <m:t>t</m:t>
            </m:r>
          </m:sub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p>
        </m:sSubSup>
      </m:oMath>
      <w:r>
        <w:t xml:space="preserve"> </w:t>
      </w:r>
      <w:r>
        <w:t xml:space="preserve">is the annual monetized operational</w:t>
      </w:r>
      <w:r>
        <w:t xml:space="preserve"> </w:t>
      </w:r>
      <w:r>
        <w:t xml:space="preserve">benefit in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(travel time, vehicle operating costs, reliability);</w:t>
      </w:r>
      <w:r>
        <w:t xml:space="preserve"> </w:t>
      </w:r>
      <w:r>
        <w:t xml:space="preserve">see Section </w:t>
      </w:r>
      <w:hyperlink w:anchor="sec:ops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numPr>
          <w:ilvl w:val="0"/>
          <w:numId w:val="1001"/>
        </w:numPr>
      </w:pP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  <m:r>
              <m:t>t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p>
        </m:sSubSup>
      </m:oMath>
      <w:r>
        <w:t xml:space="preserve"> </w:t>
      </w:r>
      <w:r>
        <w:t xml:space="preserve">is the annual monetized corridor</w:t>
      </w:r>
      <w:r>
        <w:t xml:space="preserve"> </w:t>
      </w:r>
      <w:r>
        <w:t xml:space="preserve">condition benefit in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(energy, environmental, resilience,</w:t>
      </w:r>
      <w:r>
        <w:t xml:space="preserve"> </w:t>
      </w:r>
      <w:r>
        <w:t xml:space="preserve">accessibility); see Section </w:t>
      </w:r>
      <w:hyperlink w:anchor="sec:ccm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i"/>
              </m:rPr>
              <m:t>D</m:t>
            </m:r>
            <m:r>
              <m:rPr>
                <m:sty m:val="i"/>
              </m:rP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is the discount factor in year</w:t>
      </w:r>
      <w:r>
        <w:t xml:space="preserve"> </w:t>
      </w:r>
      <m:oMath>
        <m:r>
          <m:t>t</m:t>
        </m:r>
      </m:oMath>
      <w:r>
        <w:t xml:space="preserve">, 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real discount rate (Section </w:t>
      </w:r>
      <w:hyperlink w:anchor="sec:discounting">
        <w:r>
          <w:rPr>
            <w:rStyle w:val="Hyperlink"/>
          </w:rPr>
          <w:t xml:space="preserve">1.4</w:t>
        </w:r>
      </w:hyperlink>
      <w:r>
        <w:t xml:space="preserve">).</w:t>
      </w:r>
    </w:p>
    <w:p>
      <w:pPr>
        <w:pStyle w:val="FirstParagraph"/>
      </w:pPr>
      <w:r>
        <w:t xml:space="preserve">For notational compactness in the optimization formulation</w:t>
      </w:r>
      <w:r>
        <w:t xml:space="preserve"> </w:t>
      </w:r>
      <w:r>
        <w:t xml:space="preserve">(Section </w:t>
      </w:r>
      <w:hyperlink w:anchor="sec:milp">
        <w:r>
          <w:rPr>
            <w:rStyle w:val="Hyperlink"/>
          </w:rPr>
          <w:t xml:space="preserve">2</w:t>
        </w:r>
      </w:hyperlink>
      <w:r>
        <w:t xml:space="preserve">), the present-value-aggregated forms are denoted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p>
        </m:sSubSup>
      </m:oMath>
      <w:r>
        <w:t xml:space="preserve">, and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p>
        </m:sSubSup>
      </m:oMath>
      <w:r>
        <w:t xml:space="preserve">, with the relationship: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sup>
          </m:sSubSup>
        </m:oMath>
      </m:oMathPara>
    </w:p>
    <w:p>
      <w:pPr>
        <w:pStyle w:val="FirstParagraph"/>
      </w:pPr>
      <w:r>
        <w:t xml:space="preserve">The additive decomposition assumes that the three benefit categories are</w:t>
      </w:r>
      <w:r>
        <w:t xml:space="preserve"> </w:t>
      </w:r>
      <w:r>
        <w:t xml:space="preserve">independent of one another. Where overlap exists (for example, when a composite</w:t>
      </w:r>
      <w:r>
        <w:t xml:space="preserve"> </w:t>
      </w:r>
      <w:r>
        <w:t xml:space="preserve">metric such as the Mobility Energy Productivity (MEP) index embeds both travel</w:t>
      </w:r>
      <w:r>
        <w:t xml:space="preserve"> </w:t>
      </w:r>
      <w:r>
        <w:t xml:space="preserve">time and energy components), explicit double-counting prevention rules are</w:t>
      </w:r>
      <w:r>
        <w:t xml:space="preserve"> </w:t>
      </w:r>
      <w:r>
        <w:t xml:space="preserve">applied; see Section </w:t>
      </w:r>
      <w:hyperlink w:anchor="sec:ccm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for the relevant adjustments.</w:t>
      </w:r>
    </w:p>
    <w:p>
      <w:pPr>
        <w:pStyle w:val="BodyText"/>
      </w:pPr>
      <w:r>
        <w:t xml:space="preserve">Each project–alternative pair has an associated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</m:sup>
          </m:sSubSup>
        </m:oMath>
      </m:oMathPara>
    </w:p>
    <w:p>
      <w:pPr>
        <w:pStyle w:val="FirstParagraph"/>
      </w:pPr>
      <w:r>
        <w:t xml:space="preserve">where construction cost includes resurfacing and geometric</w:t>
      </w:r>
      <w:r>
        <w:t xml:space="preserve"> </w:t>
      </w:r>
      <w:r>
        <w:t xml:space="preserve">improvements as applicable, and indirect cost captures traffic management</w:t>
      </w:r>
      <w:r>
        <w:t xml:space="preserve"> </w:t>
      </w:r>
      <w:r>
        <w:t xml:space="preserve">during construction, environmental mitigation, and utility relocation. For the</w:t>
      </w:r>
      <w:r>
        <w:t xml:space="preserve"> </w:t>
      </w:r>
      <w:r>
        <w:t xml:space="preserve">Task 4 prototype, indirect cost is folded into construction cost where data</w:t>
      </w:r>
      <w:r>
        <w:t xml:space="preserve"> </w:t>
      </w:r>
      <w:r>
        <w:t xml:space="preserve">permits; otherwise it is set to zero.</w:t>
      </w:r>
    </w:p>
    <w:p>
      <w:pPr>
        <w:pStyle w:val="BodyText"/>
      </w:pPr>
      <w:r>
        <w:t xml:space="preserve">Section </w:t>
      </w:r>
      <w:hyperlink w:anchor="sec:alt-composition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extends this cost definition to the</w:t>
      </w:r>
      <w:r>
        <w:t xml:space="preserve"> </w:t>
      </w:r>
      <w:r>
        <w:t xml:space="preserve">segment level, showing how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composed from per-treatment</w:t>
      </w:r>
      <w:r>
        <w:t xml:space="preserve"> </w:t>
      </w:r>
      <w:r>
        <w:t xml:space="preserve">per-segment cost contributions.</w:t>
      </w:r>
    </w:p>
    <w:bookmarkEnd w:id="22"/>
    <w:bookmarkStart w:id="32" w:name="sec:alt-composition"/>
    <w:p>
      <w:pPr>
        <w:pStyle w:val="Heading2"/>
      </w:pPr>
      <w:r>
        <w:t xml:space="preserve">Alternative Composition and Segment-Level Treatment Specification</w:t>
      </w:r>
    </w:p>
    <w:p>
      <w:pPr>
        <w:pStyle w:val="FirstParagraph"/>
      </w:pPr>
      <w:r>
        <w:t xml:space="preserve">A central modeling concept in the MCBOMs framework, requested by FHWA</w:t>
      </w:r>
      <w:r>
        <w:t xml:space="preserve"> </w:t>
      </w:r>
      <w:r>
        <w:t xml:space="preserve">reviewers and consistent with Banihashemi (2007), is that an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for project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necessarily a single uniform treatment applied</w:t>
      </w:r>
      <w:r>
        <w:t xml:space="preserve"> </w:t>
      </w:r>
      <w:r>
        <w:t xml:space="preserve">across the entire project. Rather, an alternative is a</w:t>
      </w:r>
      <w:r>
        <w:t xml:space="preserve"> </w:t>
      </w:r>
      <w:r>
        <w:rPr>
          <w:iCs/>
          <w:i/>
        </w:rPr>
        <w:t xml:space="preserve">composition</w:t>
      </w:r>
      <w:r>
        <w:t xml:space="preserve"> </w:t>
      </w:r>
      <w:r>
        <w:t xml:space="preserve">of segment-specific treatments: different homogeneous segments within the</w:t>
      </w:r>
      <w:r>
        <w:t xml:space="preserve"> </w:t>
      </w:r>
      <w:r>
        <w:t xml:space="preserve">same project may receive different treatment combinations under the same</w:t>
      </w:r>
      <w:r>
        <w:t xml:space="preserve"> </w:t>
      </w:r>
      <w:r>
        <w:t xml:space="preserve">alternative.</w:t>
      </w:r>
    </w:p>
    <w:bookmarkStart w:id="23" w:name="homogeneous-segmentation."/>
    <w:p>
      <w:pPr>
        <w:pStyle w:val="Heading4"/>
      </w:pPr>
      <w:r>
        <w:t xml:space="preserve">Homogeneous segmentation.</w:t>
      </w:r>
    </w:p>
    <w:p>
      <w:pPr>
        <w:pStyle w:val="FirstParagraph"/>
      </w:pPr>
      <w:r>
        <w:t xml:space="preserve">Each project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partitioned into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homogeneous segments, where a segment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a length of facility over which the relevant geometric, traffic, and</w:t>
      </w:r>
      <w:r>
        <w:t xml:space="preserve"> </w:t>
      </w:r>
      <w:r>
        <w:t xml:space="preserve">crash-history attributes are approximately constant. New segments begin</w:t>
      </w:r>
      <w:r>
        <w:t xml:space="preserve"> </w:t>
      </w:r>
      <w:r>
        <w:t xml:space="preserve">where the AADT, lane configuration, shoulder treatment, horizontal/vertical</w:t>
      </w:r>
      <w:r>
        <w:t xml:space="preserve"> </w:t>
      </w:r>
      <w:r>
        <w:t xml:space="preserve">alignment, or roadside condition changes materially. This segmentation rule</w:t>
      </w:r>
      <w:r>
        <w:t xml:space="preserve"> </w:t>
      </w:r>
      <w:r>
        <w:t xml:space="preserve">matches the Highway Safety Manual (AASHTO, 2010, Part C) homogeneous-segment</w:t>
      </w:r>
      <w:r>
        <w:t xml:space="preserve"> </w:t>
      </w:r>
      <w:r>
        <w:t xml:space="preserve">definition and the construction Banihashemi (2007, page 112) uses for his</w:t>
      </w:r>
      <w:r>
        <w:t xml:space="preserve"> </w:t>
      </w:r>
      <w:r>
        <w:t xml:space="preserve">Crash Prediction Module.</w:t>
      </w:r>
    </w:p>
    <w:bookmarkEnd w:id="23"/>
    <w:bookmarkStart w:id="24" w:name="treatment-sets."/>
    <w:p>
      <w:pPr>
        <w:pStyle w:val="Heading4"/>
      </w:pPr>
      <w:r>
        <w:t xml:space="preserve">Treatment sets.</w:t>
      </w:r>
    </w:p>
    <w:p>
      <w:pPr>
        <w:pStyle w:val="FirstParagraph"/>
      </w:pPr>
      <w:r>
        <w:t xml:space="preserve">For each alternative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each</w:t>
      </w:r>
      <w:r>
        <w:t xml:space="preserve"> </w:t>
      </w:r>
      <w:r>
        <w:t xml:space="preserve">segment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 the analyst defines a treatment set: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{</m:t>
          </m:r>
          <m:r>
            <m:t> </m:t>
          </m:r>
          <m:r>
            <m:rPr>
              <m:nor/>
              <m:sty m:val="p"/>
            </m:rPr>
            <m:t>treatments applied to segment </m:t>
          </m:r>
          <m:r>
            <m:t>k</m:t>
          </m:r>
          <m:r>
            <m:rPr>
              <m:nor/>
              <m:sty m:val="p"/>
            </m:rPr>
            <m:t> under alternative </m:t>
          </m:r>
          <m:r>
            <m:t>j</m:t>
          </m:r>
          <m:r>
            <m:t> 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For the do-nothing alternative (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every segment</w:t>
      </w:r>
      <w:r>
        <w:t xml:space="preserve"> </w:t>
      </w:r>
      <m:oMath>
        <m:r>
          <m:t>k</m:t>
        </m:r>
      </m:oMath>
      <w:r>
        <w:t xml:space="preserve">. For non-trivial alternatives,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may differ across</w:t>
      </w:r>
      <w:r>
        <w:t xml:space="preserve"> </w:t>
      </w:r>
      <w:r>
        <w:t xml:space="preserve">segments within the same alternative; this is the segment-level composition</w:t>
      </w:r>
      <w:r>
        <w:t xml:space="preserve"> </w:t>
      </w:r>
      <w:r>
        <w:t xml:space="preserve">property.</w:t>
      </w:r>
    </w:p>
    <w:bookmarkEnd w:id="24"/>
    <w:bookmarkStart w:id="25" w:name="alternative-as-a-composition."/>
    <w:p>
      <w:pPr>
        <w:pStyle w:val="Heading4"/>
      </w:pPr>
      <w:r>
        <w:t xml:space="preserve">Alternative as a composition.</w:t>
      </w:r>
    </w:p>
    <w:p>
      <w:pPr>
        <w:pStyle w:val="FirstParagraph"/>
      </w:pPr>
      <w:r>
        <w:t xml:space="preserve">An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for project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fully specified by the collection of its segment-level treatment sets: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Alternative </m:t>
          </m:r>
          <m:r>
            <m:t>j</m:t>
          </m:r>
          <m:r>
            <m:rPr>
              <m:nor/>
              <m:sty m:val="p"/>
            </m:rPr>
            <m:t> for project </m:t>
          </m:r>
          <m:r>
            <m:t>i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{</m:t>
          </m:r>
          <m:r>
            <m:t> </m:t>
          </m:r>
          <m:sSub>
            <m:e>
              <m:r>
                <m:t>T</m:t>
              </m:r>
            </m:e>
            <m:sub>
              <m:r>
                <m:t>j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r>
                <m:t>j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r>
                <m:t>j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t> </m:t>
          </m:r>
          <m:r>
            <m:rPr>
              <m:sty m:val="p"/>
            </m:rPr>
            <m:t>}</m:t>
          </m:r>
        </m:oMath>
      </m:oMathPara>
    </w:p>
    <w:bookmarkEnd w:id="25"/>
    <w:bookmarkStart w:id="26" w:name="cost-decomposition."/>
    <w:p>
      <w:pPr>
        <w:pStyle w:val="Heading4"/>
      </w:pPr>
      <w:r>
        <w:t xml:space="preserve">Cost decomposition.</w:t>
      </w:r>
    </w:p>
    <w:p>
      <w:pPr>
        <w:pStyle w:val="FirstParagraph"/>
      </w:pPr>
      <w:r>
        <w:t xml:space="preserve">The total cost of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project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sum of treatment-level costs across all segments: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i"/>
                        </m:rPr>
                        <m:t>C</m:t>
                      </m:r>
                      <m:r>
                        <m:rPr>
                          <m:sty m:val="i"/>
                        </m:rPr>
                        <m:t>o</m:t>
                      </m:r>
                      <m:r>
                        <m:rPr>
                          <m:sty m:val="i"/>
                        </m:rPr>
                        <m:t>s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  <m:r>
                        <m:t>n</m:t>
                      </m:r>
                    </m:sub>
                  </m:sSub>
                </m:e>
              </m:nary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i"/>
              </m:rPr>
              <m:t>C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</m:e>
          <m:sub>
            <m:r>
              <m:t>i</m:t>
            </m:r>
            <m:r>
              <m:t>k</m:t>
            </m:r>
            <m:r>
              <m:t>n</m:t>
            </m:r>
          </m:sub>
        </m:sSub>
      </m:oMath>
      <w:r>
        <w:t xml:space="preserve"> </w:t>
      </w:r>
      <w:r>
        <w:t xml:space="preserve">is the implementation cost of</w:t>
      </w:r>
      <w:r>
        <w:t xml:space="preserve"> </w:t>
      </w:r>
      <w:r>
        <w:t xml:space="preserve">treatment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segment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project</w:t>
      </w:r>
      <w:r>
        <w:t xml:space="preserve"> </w:t>
      </w:r>
      <m:oMath>
        <m:r>
          <m:t>i</m:t>
        </m:r>
      </m:oMath>
      <w:r>
        <w:t xml:space="preserve">.</w:t>
      </w:r>
    </w:p>
    <w:bookmarkEnd w:id="26"/>
    <w:bookmarkStart w:id="27" w:name="benefit-decomposition."/>
    <w:p>
      <w:pPr>
        <w:pStyle w:val="Heading4"/>
      </w:pPr>
      <w:r>
        <w:t xml:space="preserve">Benefit decomposition.</w:t>
      </w:r>
    </w:p>
    <w:p>
      <w:pPr>
        <w:pStyle w:val="FirstParagraph"/>
      </w:pPr>
      <w:r>
        <w:t xml:space="preserve">Total present-value benefit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</m:oMath>
      <w:r>
        <w:t xml:space="preserve">, defined in Equation </w:t>
      </w:r>
      <w:hyperlink w:anchor="eq:btot">
        <w:r>
          <w:rPr>
            <w:rStyle w:val="Hyperlink"/>
          </w:rPr>
          <w:t xml:space="preserve">[eq:btot]</w:t>
        </w:r>
      </w:hyperlink>
      <w:r>
        <w:t xml:space="preserve">, similarly aggregates</w:t>
      </w:r>
      <w:r>
        <w:t xml:space="preserve"> </w:t>
      </w:r>
      <w:r>
        <w:t xml:space="preserve">segment-level contributions. Each annual benefit component</w:t>
      </w:r>
      <w:r>
        <w:t xml:space="preserve"> </w:t>
      </w:r>
      <w:r>
        <w:t xml:space="preserve">(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  <m:r>
              <m:t>t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  <m:r>
              <m:t>t</m:t>
            </m:r>
          </m:sub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  <m:r>
              <m:t>t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p>
        </m:sSubSup>
      </m:oMath>
      <w:r>
        <w:t xml:space="preserve">) is computed as a sum over segments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, with the segment-level value depending on the</w:t>
      </w:r>
      <w:r>
        <w:t xml:space="preserve"> </w:t>
      </w:r>
      <w:r>
        <w:t xml:space="preserve">treatment set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applied to that segment. The detailed</w:t>
      </w:r>
      <w:r>
        <w:t xml:space="preserve"> </w:t>
      </w:r>
      <w:r>
        <w:t xml:space="preserve">segment-level expansions are given in Section </w:t>
      </w:r>
      <w:hyperlink w:anchor="sec:safet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(Equation </w:t>
      </w:r>
      <w:hyperlink w:anchor="eq:safety-benefit">
        <w:r>
          <w:rPr>
            <w:rStyle w:val="Hyperlink"/>
          </w:rPr>
          <w:t xml:space="preserve">[eq:safety-benefit]</w:t>
        </w:r>
      </w:hyperlink>
      <w:r>
        <w:t xml:space="preserve">) for safety, Section </w:t>
      </w:r>
      <w:hyperlink w:anchor="sec:op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(Equation </w:t>
      </w:r>
      <w:hyperlink w:anchor="eq:ops-benefit">
        <w:r>
          <w:rPr>
            <w:rStyle w:val="Hyperlink"/>
          </w:rPr>
          <w:t xml:space="preserve">[eq:ops-benefit]</w:t>
        </w:r>
      </w:hyperlink>
      <w:r>
        <w:t xml:space="preserve">) for operations, and Section </w:t>
      </w:r>
      <w:hyperlink w:anchor="sec:ccm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(Equation </w:t>
      </w:r>
      <w:hyperlink w:anchor="eq:ccm-benefit">
        <w:r>
          <w:rPr>
            <w:rStyle w:val="Hyperlink"/>
          </w:rPr>
          <w:t xml:space="preserve">[eq:ccm-benefit]</w:t>
        </w:r>
      </w:hyperlink>
      <w:r>
        <w:t xml:space="preserve">) for corridor condition.</w:t>
      </w:r>
    </w:p>
    <w:bookmarkEnd w:id="27"/>
    <w:bookmarkStart w:id="28" w:name="X6d34dc44e6290a9f42cdf8bf3786289e05a744f"/>
    <w:p>
      <w:pPr>
        <w:pStyle w:val="Heading4"/>
      </w:pPr>
      <w:r>
        <w:t xml:space="preserve">Optimization decision variable remains alternative-level.</w:t>
      </w:r>
    </w:p>
    <w:p>
      <w:pPr>
        <w:pStyle w:val="FirstParagraph"/>
      </w:pPr>
      <w:r>
        <w:t xml:space="preserve">Although costs and benefits are computed at the treatment-segment level,</w:t>
      </w:r>
      <w:r>
        <w:t xml:space="preserve"> </w:t>
      </w:r>
      <w:r>
        <w:t xml:space="preserve">the optimization decision variable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remains binary at the</w:t>
      </w:r>
      <w:r>
        <w:t xml:space="preserve"> </w:t>
      </w:r>
      <w:r>
        <w:t xml:space="preserve">alternative level. The optimizer selects an entire alternative (with its</w:t>
      </w:r>
      <w:r>
        <w:t xml:space="preserve"> </w:t>
      </w:r>
      <w:r>
        <w:t xml:space="preserve">full collection of segment-specific treatments) or rejects it; partial</w:t>
      </w:r>
      <w:r>
        <w:t xml:space="preserve"> </w:t>
      </w:r>
      <w:r>
        <w:t xml:space="preserve">alternatives are not selectable. This matches Harwood (2003)’s site-level</w:t>
      </w:r>
      <w:r>
        <w:t xml:space="preserve"> </w:t>
      </w:r>
      <w:r>
        <w:t xml:space="preserve">decision-variable structure and is consistent with the Banihashemi (2007)</w:t>
      </w:r>
      <w:r>
        <w:t xml:space="preserve"> </w:t>
      </w:r>
      <w:r>
        <w:t xml:space="preserve">formulation interpreted at the alternative level.</w:t>
      </w:r>
    </w:p>
    <w:bookmarkEnd w:id="28"/>
    <w:bookmarkStart w:id="29" w:name="illustrative-example."/>
    <w:p>
      <w:pPr>
        <w:pStyle w:val="Heading4"/>
      </w:pPr>
      <w:r>
        <w:t xml:space="preserve">Illustrative example.</w:t>
      </w:r>
    </w:p>
    <w:p>
      <w:pPr>
        <w:pStyle w:val="FirstParagraph"/>
      </w:pPr>
      <w:r>
        <w:t xml:space="preserve">Consider a 6-mile rural two-lane highway</w:t>
      </w:r>
      <w:r>
        <w:t xml:space="preserve"> </w:t>
      </w:r>
      <w:r>
        <w:t xml:space="preserve">project (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) partitioned into three 2-mile homogeneous segments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). A single non-trivial alternative (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) is defined as the</w:t>
      </w:r>
      <w:r>
        <w:t xml:space="preserve"> </w:t>
      </w:r>
      <w:r>
        <w:t xml:space="preserve">following composition:</w:t>
      </w:r>
    </w:p>
    <w:p>
      <w:pPr>
        <w:numPr>
          <w:ilvl w:val="0"/>
          <w:numId w:val="1002"/>
        </w:numPr>
      </w:pPr>
      <w:r>
        <w:t xml:space="preserve">Segment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(miles 0–2): left-turn lane addition at the</w:t>
      </w:r>
      <w:r>
        <w:t xml:space="preserve"> </w:t>
      </w:r>
      <w:r>
        <w:t xml:space="preserve">intersection located within this segment.</w:t>
      </w:r>
      <w:r>
        <w:t xml:space="preserve"> </w:t>
      </w:r>
      <m:oMath>
        <m:sSub>
          <m:e>
            <m:r>
              <m:t>T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 </m:t>
        </m:r>
        <m:r>
          <m:rPr>
            <m:nor/>
            <m:sty m:val="p"/>
          </m:rPr>
          <m:t>left-turn lane</m:t>
        </m:r>
        <m:r>
          <m:t> 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Segment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(miles 2–4): centerline rumble strips.</w:t>
      </w:r>
      <w:r>
        <w:t xml:space="preserve"> </w:t>
      </w:r>
      <m:oMath>
        <m:sSub>
          <m:e>
            <m:r>
              <m:t>T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 </m:t>
        </m:r>
        <m:r>
          <m:rPr>
            <m:nor/>
            <m:sty m:val="p"/>
          </m:rPr>
          <m:t>rumble strips</m:t>
        </m:r>
        <m:r>
          <m:t> 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Segment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(miles 4–6): traffic signal installation at the</w:t>
      </w:r>
      <w:r>
        <w:t xml:space="preserve"> </w:t>
      </w:r>
      <w:r>
        <w:t xml:space="preserve">intersection located within this segment.</w:t>
      </w:r>
      <w:r>
        <w:t xml:space="preserve"> </w:t>
      </w:r>
      <m:oMath>
        <m:sSub>
          <m:e>
            <m:r>
              <m:t>T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 </m:t>
        </m:r>
        <m:r>
          <m:rPr>
            <m:nor/>
            <m:sty m:val="p"/>
          </m:rPr>
          <m:t>traffic signal</m:t>
        </m:r>
        <m:r>
          <m:t> 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The total cost of this alternative is computed by</w:t>
      </w:r>
      <w:r>
        <w:t xml:space="preserve"> </w:t>
      </w:r>
      <w:r>
        <w:t xml:space="preserve">Equation </w:t>
      </w:r>
      <w:hyperlink w:anchor="eq:cost-decomp">
        <w:r>
          <w:rPr>
            <w:rStyle w:val="Hyperlink"/>
          </w:rPr>
          <w:t xml:space="preserve">[eq:cost-decomp]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11</m:t>
                    </m:r>
                  </m:sub>
                </m:sSub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LTL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rumble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signal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rPr>
                    <m:sty m:val="p"/>
                  </m:rPr>
                  <m:t>$</m:t>
                </m:r>
                <m:r>
                  <m:t>300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$</m:t>
                </m:r>
                <m:r>
                  <m:t>50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  <m:r>
                  <m:rPr>
                    <m:sty m:val="p"/>
                  </m:rPr>
                  <m:t>⋅</m:t>
                </m:r>
                <m:r>
                  <m:t>2</m:t>
                </m:r>
                <m:r>
                  <m:t> </m:t>
                </m:r>
                <m:r>
                  <m:rPr>
                    <m:nor/>
                    <m:sty m:val="p"/>
                  </m:rPr>
                  <m:t>mi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$</m:t>
                </m:r>
                <m:r>
                  <m:t>250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rPr>
                    <m:sty m:val="p"/>
                  </m:rPr>
                  <m:t>$</m:t>
                </m:r>
                <m:r>
                  <m:t>650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</m:e>
            </m:mr>
          </m:m>
        </m:oMath>
      </m:oMathPara>
    </w:p>
    <w:p>
      <w:pPr>
        <w:pStyle w:val="FirstParagraph"/>
      </w:pPr>
      <w:r>
        <w:t xml:space="preserve">and total present-value benefit</w:t>
      </w:r>
      <w:r>
        <w:t xml:space="preserve"> </w:t>
      </w:r>
      <m:oMath>
        <m:sSubSup>
          <m:e>
            <m:r>
              <m:t>B</m:t>
            </m:r>
          </m:e>
          <m:sub>
            <m:r>
              <m:t>11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</m:oMath>
      <w:r>
        <w:t xml:space="preserve"> </w:t>
      </w:r>
      <w:r>
        <w:t xml:space="preserve">is the sum of</w:t>
      </w:r>
      <w:r>
        <w:t xml:space="preserve"> </w:t>
      </w:r>
      <w:r>
        <w:t xml:space="preserve">segment-level safety, operational, and corridor benefits computed under</w:t>
      </w:r>
      <w:r>
        <w:t xml:space="preserve"> </w:t>
      </w:r>
      <w:r>
        <w:t xml:space="preserve">each segment’s treatment set, discounted via Equation </w:t>
      </w:r>
      <w:hyperlink w:anchor="eq:btot">
        <w:r>
          <w:rPr>
            <w:rStyle w:val="Hyperlink"/>
          </w:rPr>
          <w:t xml:space="preserve">[eq:btot]</w:t>
        </w:r>
      </w:hyperlink>
      <w:r>
        <w:t xml:space="preserve">.</w:t>
      </w:r>
    </w:p>
    <w:bookmarkEnd w:id="29"/>
    <w:bookmarkStart w:id="30" w:name="X730a79a2c413f64efae0f0fd9f2d13ff904ce19"/>
    <w:p>
      <w:pPr>
        <w:pStyle w:val="Heading4"/>
      </w:pPr>
      <w:r>
        <w:t xml:space="preserve">Combined-treatment effects within a segment.</w:t>
      </w:r>
    </w:p>
    <w:p>
      <w:pPr>
        <w:pStyle w:val="FirstParagraph"/>
      </w:pPr>
      <w:r>
        <w:t xml:space="preserve">When a single</w:t>
      </w:r>
      <w:r>
        <w:t xml:space="preserve"> </w:t>
      </w:r>
      <w:r>
        <w:t xml:space="preserve">segment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receives multiple treatments simultaneously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1</m:t>
        </m:r>
      </m:oMath>
      <w:r>
        <w:t xml:space="preserve">), the combined safety effect uses the</w:t>
      </w:r>
      <w:r>
        <w:t xml:space="preserve"> </w:t>
      </w:r>
      <w:r>
        <w:t xml:space="preserve">multiplicative Crash Modification Factor rule</w:t>
      </w:r>
      <w:r>
        <w:t xml:space="preserve"> </w:t>
      </w:r>
      <w:r>
        <w:t xml:space="preserve">(Equation </w:t>
      </w:r>
      <w:hyperlink w:anchor="eq:cmf-combine">
        <w:r>
          <w:rPr>
            <w:rStyle w:val="Hyperlink"/>
          </w:rPr>
          <w:t xml:space="preserve">[eq:cmf-combine]</w:t>
        </w:r>
      </w:hyperlink>
      <w:r>
        <w:t xml:space="preserve">). For example, a segment receiving both</w:t>
      </w:r>
      <w:r>
        <w:t xml:space="preserve"> </w:t>
      </w:r>
      <w:r>
        <w:t xml:space="preserve">shoulder widening (CMF =</w:t>
      </w:r>
      <w:r>
        <w:t xml:space="preserve"> </w:t>
      </w:r>
      <m:oMath>
        <m:r>
          <m:t>0.93</m:t>
        </m:r>
      </m:oMath>
      <w:r>
        <w:t xml:space="preserve">) and rumble strips (CMF =</w:t>
      </w:r>
      <w:r>
        <w:t xml:space="preserve"> </w:t>
      </w:r>
      <m:oMath>
        <m:r>
          <m:t>0.86</m:t>
        </m:r>
      </m:oMath>
      <w:r>
        <w:t xml:space="preserve">) has a</w:t>
      </w:r>
      <w:r>
        <w:t xml:space="preserve"> </w:t>
      </w:r>
      <w:r>
        <w:t xml:space="preserve">combined CMF of</w:t>
      </w:r>
      <w:r>
        <w:t xml:space="preserve"> </w:t>
      </w:r>
      <m:oMath>
        <m:r>
          <m:t>0.93</m:t>
        </m:r>
        <m:r>
          <m:rPr>
            <m:sty m:val="p"/>
          </m:rPr>
          <m:t>×</m:t>
        </m:r>
        <m:r>
          <m:t>0.86</m:t>
        </m:r>
        <m:r>
          <m:rPr>
            <m:sty m:val="p"/>
          </m:rPr>
          <m:t>=</m:t>
        </m:r>
        <m:r>
          <m:t>0.80</m:t>
        </m:r>
      </m:oMath>
      <w:r>
        <w:t xml:space="preserve">. This rule is the HSM-recommended</w:t>
      </w:r>
      <w:r>
        <w:t xml:space="preserve"> </w:t>
      </w:r>
      <w:r>
        <w:t xml:space="preserve">default; ongoing CMF Clearinghouse research is refining combined-treatment</w:t>
      </w:r>
      <w:r>
        <w:t xml:space="preserve"> </w:t>
      </w:r>
      <w:r>
        <w:t xml:space="preserve">estimates.</w:t>
      </w:r>
    </w:p>
    <w:bookmarkEnd w:id="30"/>
    <w:bookmarkStart w:id="31" w:name="implementation-note."/>
    <w:p>
      <w:pPr>
        <w:pStyle w:val="Heading4"/>
      </w:pPr>
      <w:r>
        <w:t xml:space="preserve">Implementation note.</w:t>
      </w:r>
    </w:p>
    <w:p>
      <w:pPr>
        <w:pStyle w:val="FirstParagraph"/>
      </w:pPr>
      <w:r>
        <w:t xml:space="preserve">The Task 4 prototype dataset encodes</w:t>
      </w:r>
      <w:r>
        <w:t xml:space="preserve"> </w:t>
      </w:r>
      <w:r>
        <w:t xml:space="preserve">alternative composition through the alternative identifier itself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Pavement Marking, Cable Barrier</w:t>
      </w:r>
      <w:r>
        <w:t xml:space="preserve">”</w:t>
      </w:r>
      <w:r>
        <w:t xml:space="preserve"> </w:t>
      </w:r>
      <w:r>
        <w:t xml:space="preserve">as a single alternative label).</w:t>
      </w:r>
      <w:r>
        <w:t xml:space="preserve"> </w:t>
      </w:r>
      <w:r>
        <w:t xml:space="preserve">A treatment-level cost catalog is required to evaluate</w:t>
      </w:r>
      <w:r>
        <w:t xml:space="preserve"> </w:t>
      </w:r>
      <w:r>
        <w:t xml:space="preserve">Equation </w:t>
      </w:r>
      <w:hyperlink w:anchor="eq:cost-decomp">
        <w:r>
          <w:rPr>
            <w:rStyle w:val="Hyperlink"/>
          </w:rPr>
          <w:t xml:space="preserve">[eq:cost-decomp]</w:t>
        </w:r>
      </w:hyperlink>
      <w:r>
        <w:t xml:space="preserve"> </w:t>
      </w:r>
      <w:r>
        <w:t xml:space="preserve">term-by-term; in the prototype’s BCA</w:t>
      </w:r>
      <w:r>
        <w:t xml:space="preserve"> </w:t>
      </w:r>
      <w:r>
        <w:t xml:space="preserve">spreadsheet, this catalog is partially captured through per-mile unit cost</w:t>
      </w:r>
      <w:r>
        <w:t xml:space="preserve"> </w:t>
      </w:r>
      <w:r>
        <w:t xml:space="preserve">fields by treatment type. Full treatment-level decomposition (in which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rPr>
                <m:sty m:val="i"/>
              </m:rPr>
              <m:t>C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</m:e>
          <m:sub>
            <m:r>
              <m:t>i</m:t>
            </m:r>
            <m:r>
              <m:t>k</m:t>
            </m:r>
            <m:r>
              <m:t>n</m:t>
            </m:r>
          </m:sub>
        </m:sSub>
      </m:oMath>
      <w:r>
        <w:t xml:space="preserve"> </w:t>
      </w:r>
      <w:r>
        <w:t xml:space="preserve">is computed from a separate treatment-cost table</w:t>
      </w:r>
      <w:r>
        <w:t xml:space="preserve"> </w:t>
      </w:r>
      <w:r>
        <w:t xml:space="preserve">joined to a segment-treatment assignment table) is documented as a planned</w:t>
      </w:r>
      <w:r>
        <w:t xml:space="preserve"> </w:t>
      </w:r>
      <w:r>
        <w:t xml:space="preserve">enhancement; the prototype currently uses alternative-level aggregate</w:t>
      </w:r>
      <w:r>
        <w:t xml:space="preserve"> </w:t>
      </w:r>
      <w:r>
        <w:t xml:space="preserve">costs as an equivalent simplification.</w:t>
      </w:r>
    </w:p>
    <w:bookmarkEnd w:id="31"/>
    <w:bookmarkEnd w:id="32"/>
    <w:bookmarkStart w:id="36" w:name="sec:discounting"/>
    <w:p>
      <w:pPr>
        <w:pStyle w:val="Heading2"/>
      </w:pPr>
      <w:r>
        <w:t xml:space="preserve">Discounting and Analysis Horizon</w:t>
      </w:r>
    </w:p>
    <w:p>
      <w:pPr>
        <w:pStyle w:val="FirstParagraph"/>
      </w:pPr>
      <w:r>
        <w:t xml:space="preserve">All benefit and cost streams are discounted to present value using the</w:t>
      </w:r>
      <w:r>
        <w:t xml:space="preserve"> </w:t>
      </w:r>
      <w:r>
        <w:t xml:space="preserve">USDOT-recommended real discount rate of 7 percent per year (USDOT, 2025,</w:t>
      </w:r>
      <w:r>
        <w:t xml:space="preserve"> </w:t>
      </w:r>
      <w:r>
        <w:t xml:space="preserve">Section 4.3). The discount factor for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0.07</m:t>
          </m:r>
        </m:oMath>
      </m:oMathPara>
    </w:p>
    <w:p>
      <w:pPr>
        <w:pStyle w:val="FirstParagraph"/>
      </w:pPr>
      <w:r>
        <w:t xml:space="preserve">For benefit streams that are constant across years (the standard assumption for</w:t>
      </w:r>
      <w:r>
        <w:t xml:space="preserve"> </w:t>
      </w:r>
      <w:r>
        <w:t xml:space="preserve">the Task 4 prototype), the present-value calculation reduces to multiplication</w:t>
      </w:r>
      <w:r>
        <w:t xml:space="preserve"> </w:t>
      </w:r>
      <w:r>
        <w:t xml:space="preserve">by the uniform-series present worth factor: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i"/>
            </m:rPr>
            <m:t>P</m:t>
          </m:r>
          <m:r>
            <m:rPr>
              <m:sty m:val="i"/>
            </m:rPr>
            <m:t>W</m:t>
          </m:r>
          <m:r>
            <m:rPr>
              <m:sty m:val="i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</m:e>
                  </m:d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r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At the framework defaults 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years, this</w:t>
      </w:r>
      <w:r>
        <w:t xml:space="preserve"> </w:t>
      </w:r>
      <w:r>
        <w:t xml:space="preserve">evaluates to</w:t>
      </w:r>
      <w:r>
        <w:t xml:space="preserve"> </w:t>
      </w:r>
      <m:oMath>
        <m:r>
          <m:rPr>
            <m:sty m:val="i"/>
          </m:rPr>
          <m:t>P</m:t>
        </m:r>
        <m:r>
          <m:rPr>
            <m:sty m:val="i"/>
          </m:rPr>
          <m:t>W</m:t>
        </m:r>
        <m:r>
          <m:rPr>
            <m:sty m:val="i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0.07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=</m:t>
        </m:r>
        <m:r>
          <m:t>10.594</m:t>
        </m:r>
      </m:oMath>
      <w:r>
        <w:t xml:space="preserve">.</w:t>
      </w:r>
    </w:p>
    <w:bookmarkStart w:id="33" w:name="analysis-horizon."/>
    <w:p>
      <w:pPr>
        <w:pStyle w:val="Heading4"/>
      </w:pPr>
      <w:r>
        <w:t xml:space="preserve">Analysis horizon.</w:t>
      </w:r>
    </w:p>
    <w:p>
      <w:pPr>
        <w:pStyle w:val="FirstParagraph"/>
      </w:pPr>
      <w:r>
        <w:t xml:space="preserve">The Task 4 prototype uses a uniform 20-year</w:t>
      </w:r>
      <w:r>
        <w:t xml:space="preserve"> </w:t>
      </w:r>
      <w:r>
        <w:t xml:space="preserve">analysis horizon for all alternatives, consistent with USDOT BCA Guidance</w:t>
      </w:r>
      <w:r>
        <w:t xml:space="preserve"> </w:t>
      </w:r>
      <w:r>
        <w:t xml:space="preserve">(May 2025, Section 4.4) for capacity and operating improvements and with</w:t>
      </w:r>
      <w:r>
        <w:t xml:space="preserve"> </w:t>
      </w:r>
      <w:r>
        <w:t xml:space="preserve">Banihashemi (2007), who applied a uniform 20-year project lifetime to all</w:t>
      </w:r>
      <w:r>
        <w:t xml:space="preserve"> </w:t>
      </w:r>
      <w:r>
        <w:t xml:space="preserve">improvement alternatives in his case study.</w:t>
      </w:r>
    </w:p>
    <w:bookmarkEnd w:id="33"/>
    <w:bookmarkStart w:id="35" w:name="treatment-specific-service-life."/>
    <w:p>
      <w:pPr>
        <w:pStyle w:val="Heading4"/>
      </w:pPr>
      <w:r>
        <w:t xml:space="preserve">Treatment-specific service life.</w:t>
      </w:r>
    </w:p>
    <w:p>
      <w:pPr>
        <w:pStyle w:val="FirstParagraph"/>
      </w:pPr>
      <w:r>
        <w:t xml:space="preserve">Table </w:t>
      </w:r>
      <w:hyperlink w:anchor="tab:service-lif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documents typical service lives by treatment type for reference. These values</w:t>
      </w:r>
      <w:r>
        <w:t xml:space="preserve"> </w:t>
      </w:r>
      <w:r>
        <w:t xml:space="preserve">are not currently applied to the prototype’s benefit calculations; all benefits</w:t>
      </w:r>
      <w:r>
        <w:t xml:space="preserve"> </w:t>
      </w:r>
      <w:r>
        <w:t xml:space="preserve">are evaluated over the uniform 20-year horizon. This simplification applies</w:t>
      </w:r>
      <w:r>
        <w:t xml:space="preserve"> </w:t>
      </w:r>
      <w:r>
        <w:t xml:space="preserve">uniformly across alternatives, which preserves the relative ranking that drives</w:t>
      </w:r>
      <w:r>
        <w:t xml:space="preserve"> </w:t>
      </w:r>
      <w:r>
        <w:t xml:space="preserve">the optimization. Per-treatment service life and residual-value adjustments</w:t>
      </w:r>
      <w:r>
        <w:t xml:space="preserve"> </w:t>
      </w:r>
      <w:r>
        <w:t xml:space="preserve">(in the sense of USDOT BCA Guidance Section 6.3, which applies residual value</w:t>
      </w:r>
      <w:r>
        <w:t xml:space="preserve"> </w:t>
      </w:r>
      <w:r>
        <w:t xml:space="preserve">to construction costs rather than to benefit streams) are documented as</w:t>
      </w:r>
      <w:r>
        <w:t xml:space="preserve"> </w:t>
      </w:r>
      <w:r>
        <w:t xml:space="preserve">planned enhancements.</w:t>
      </w:r>
    </w:p>
    <w:bookmarkStart w:id="34" w:name="tab:service-life"/>
    <w:p>
      <w:pPr>
        <w:pStyle w:val="TableCaption"/>
      </w:pPr>
      <w:r>
        <w:t xml:space="preserve">Reference service lives by treatment type. These values are</w:t>
      </w:r>
      <w:r>
        <w:t xml:space="preserve"> </w:t>
      </w:r>
      <w:r>
        <w:t xml:space="preserve">documented for reference and for future model enhancements; they are not</w:t>
      </w:r>
      <w:r>
        <w:t xml:space="preserve"> </w:t>
      </w:r>
      <w:r>
        <w:t xml:space="preserve">currently applied to the Task 4 prototype’s benefit calculations, which use a</w:t>
      </w:r>
      <w:r>
        <w:t xml:space="preserve"> </w:t>
      </w:r>
      <w:r>
        <w:t xml:space="preserve">uniform 20-year analysis horizon.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ference service lives by treatment type. These values are documented for reference and for future model enhancements; they are not currently applied to the Task 4 prototype’s benefit calculations, which use a uniform 20-year analysis horizon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 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Reference Service Life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Pavement resurfacing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 widening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 widening / paving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curve improvement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alignment improvement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 signalization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lane addition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Climbing/passing lane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Sight distance improvement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</w:tbl>
    <w:bookmarkEnd w:id="34"/>
    <w:bookmarkEnd w:id="35"/>
    <w:bookmarkEnd w:id="36"/>
    <w:bookmarkEnd w:id="37"/>
    <w:bookmarkStart w:id="59" w:name="sec:milp"/>
    <w:p>
      <w:pPr>
        <w:pStyle w:val="Heading1"/>
      </w:pPr>
      <w:r>
        <w:t xml:space="preserve">Mixed-Integer Linear Programming Formulation</w:t>
      </w:r>
    </w:p>
    <w:p>
      <w:pPr>
        <w:pStyle w:val="FirstParagraph"/>
      </w:pPr>
      <w:r>
        <w:t xml:space="preserve">The MCBOMs optimization problem is formulated as a Mixed-Integer Linear</w:t>
      </w:r>
      <w:r>
        <w:t xml:space="preserve"> </w:t>
      </w:r>
      <w:r>
        <w:t xml:space="preserve">Program. This section presents the project-level formulation, in which only a</w:t>
      </w:r>
      <w:r>
        <w:t xml:space="preserve"> </w:t>
      </w:r>
      <w:r>
        <w:t xml:space="preserve">single budget constraint applies, followed by the network-level formulation,</w:t>
      </w:r>
      <w:r>
        <w:t xml:space="preserve"> </w:t>
      </w:r>
      <w:r>
        <w:t xml:space="preserve">which adds facility-type and regional sub-budget constraints.</w:t>
      </w:r>
    </w:p>
    <w:bookmarkStart w:id="46" w:name="sec:milp-project"/>
    <w:p>
      <w:pPr>
        <w:pStyle w:val="Heading2"/>
      </w:pPr>
      <w:r>
        <w:t xml:space="preserve">Project-Level Formulation</w:t>
      </w:r>
    </w:p>
    <w:p>
      <w:pPr>
        <w:pStyle w:val="FirstParagraph"/>
      </w:pPr>
      <w:r>
        <w:t xml:space="preserve">The project-level MILP maximizes total net benefit subject to a single</w:t>
      </w:r>
      <w:r>
        <w:t xml:space="preserve"> </w:t>
      </w:r>
      <w:r>
        <w:t xml:space="preserve">program-wide budget. The formulation consists of an objective function and</w:t>
      </w:r>
      <w:r>
        <w:t xml:space="preserve"> </w:t>
      </w:r>
      <w:r>
        <w:t xml:space="preserve">three constraint families.</w:t>
      </w:r>
    </w:p>
    <w:bookmarkStart w:id="38" w:name="objective-function."/>
    <w:p>
      <w:pPr>
        <w:pStyle w:val="Heading4"/>
      </w:pPr>
      <w:r>
        <w:t xml:space="preserve">Objective function.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 </m:t>
          </m:r>
          <m:r>
            <m:t>Z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I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</m:sup>
                      </m:sSubSup>
                    </m:e>
                  </m:d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 objective expresses total net societal benefit as the sum, over all</w:t>
      </w:r>
      <w:r>
        <w:t xml:space="preserve"> </w:t>
      </w:r>
      <w:r>
        <w:t xml:space="preserve">projects and selected alternatives, of benefit minus the</w:t>
      </w:r>
      <w:r>
        <w:t xml:space="preserve"> </w:t>
      </w:r>
      <w:r>
        <w:rPr>
          <w:iCs/>
          <w:i/>
        </w:rPr>
        <w:t xml:space="preserve">discretionary</w:t>
      </w:r>
      <w:r>
        <w:t xml:space="preserve"> </w:t>
      </w:r>
      <w:r>
        <w:t xml:space="preserve">cost component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p>
        </m:sSubSup>
      </m:oMath>
      <w:r>
        <w:t xml:space="preserve">. The</w:t>
      </w:r>
      <w:r>
        <w:t xml:space="preserve"> </w:t>
      </w:r>
      <w:r>
        <w:t xml:space="preserve">parentheses around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</m:sup>
            </m:sSubSup>
          </m:e>
        </m:d>
      </m:oMath>
      <w:r>
        <w:t xml:space="preserve"> </w:t>
      </w:r>
      <w:r>
        <w:t xml:space="preserve">are essential:</w:t>
      </w:r>
      <w:r>
        <w:t xml:space="preserve"> </w:t>
      </w:r>
      <w:r>
        <w:t xml:space="preserve">the multiplication by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applies to the entire net-benefit term,</w:t>
      </w:r>
      <w:r>
        <w:t xml:space="preserve"> </w:t>
      </w:r>
      <w:r>
        <w:t xml:space="preserve">not to the cost alone.</w:t>
      </w:r>
    </w:p>
    <w:bookmarkEnd w:id="38"/>
    <w:bookmarkStart w:id="39" w:name="discretionary-versus-committed-cost."/>
    <w:p>
      <w:pPr>
        <w:pStyle w:val="Heading4"/>
      </w:pPr>
      <w:r>
        <w:t xml:space="preserve">Discretionary versus committed cost.</w:t>
      </w:r>
    </w:p>
    <w:p>
      <w:pPr>
        <w:pStyle w:val="FirstParagraph"/>
      </w:pPr>
      <w:r>
        <w:t xml:space="preserve">For projects where</w:t>
      </w:r>
      <w:r>
        <w:t xml:space="preserve"> </w:t>
      </w:r>
      <w:r>
        <w:t xml:space="preserve">project cost decomposes into a committed component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sup>
        </m:sSubSup>
      </m:oMath>
      <w:r>
        <w:t xml:space="preserve"> </w:t>
      </w:r>
      <w:r>
        <w:t xml:space="preserve">(expenditure that will occur regardless of the optimization outcome,</w:t>
      </w:r>
      <w:r>
        <w:t xml:space="preserve"> </w:t>
      </w:r>
      <w:r>
        <w:t xml:space="preserve">typically because policy or asset condition mandates it) and a</w:t>
      </w:r>
      <w:r>
        <w:t xml:space="preserve"> </w:t>
      </w:r>
      <w:r>
        <w:t xml:space="preserve">discretionary component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(expenditure subject to</w:t>
      </w:r>
      <w:r>
        <w:t xml:space="preserve"> </w:t>
      </w:r>
      <w:r>
        <w:t xml:space="preserve">optimization choice), the objective subtracts only the discretionary</w:t>
      </w:r>
      <w:r>
        <w:t xml:space="preserve"> </w:t>
      </w:r>
      <w:r>
        <w:t xml:space="preserve">portion. The total cost remains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and is the quantity used in the budget</w:t>
      </w:r>
      <w:r>
        <w:t xml:space="preserve"> </w:t>
      </w:r>
      <w:r>
        <w:t xml:space="preserve">constraint (Equation </w:t>
      </w:r>
      <w:hyperlink w:anchor="eq:budget-project">
        <w:r>
          <w:rPr>
            <w:rStyle w:val="Hyperlink"/>
          </w:rPr>
          <w:t xml:space="preserve">[eq:budget-project]</w:t>
        </w:r>
      </w:hyperlink>
      <w:r>
        <w:t xml:space="preserve">).</w:t>
      </w:r>
    </w:p>
    <w:p>
      <w:pPr>
        <w:pStyle w:val="BodyText"/>
      </w:pPr>
      <w:r>
        <w:t xml:space="preserve">This distinction is consistent with Harwood et al. (2003), who model</w:t>
      </w:r>
      <w:r>
        <w:t xml:space="preserve"> </w:t>
      </w:r>
      <w:r>
        <w:t xml:space="preserve">RRR projects in which pavement resurfacing is committed (every site is</w:t>
      </w:r>
      <w:r>
        <w:t xml:space="preserve"> </w:t>
      </w:r>
      <w:r>
        <w:t xml:space="preserve">resurfaced under the program) and only the safety improvement cost is</w:t>
      </w:r>
      <w:r>
        <w:t xml:space="preserve"> </w:t>
      </w:r>
      <w:r>
        <w:t xml:space="preserve">optimized. In that case: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Sup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m</m:t>
                    </m:r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resurfacing cost (committed by the RRR program)</m:t>
                </m:r>
              </m:e>
            </m:mr>
            <m:mr>
              <m:e>
                <m:sSubSup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c</m:t>
                    </m:r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safety improvement cost (the optimization variable)</m:t>
                </m:r>
              </m:e>
            </m:mr>
          </m:m>
        </m:oMath>
      </m:oMathPara>
    </w:p>
    <w:p>
      <w:pPr>
        <w:pStyle w:val="FirstParagraph"/>
      </w:pPr>
      <w:r>
        <w:t xml:space="preserve">For projects where no committed component exists —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Equation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 </w:t>
      </w:r>
      <w:r>
        <w:t xml:space="preserve">reduces to the simple form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which is the case for the</w:t>
      </w:r>
      <w:r>
        <w:t xml:space="preserve"> </w:t>
      </w:r>
      <w:r>
        <w:t xml:space="preserve">Banihashemi (2007) validation and for general projects without a fixed</w:t>
      </w:r>
      <w:r>
        <w:t xml:space="preserve"> </w:t>
      </w:r>
      <w:r>
        <w:t xml:space="preserve">infrastructure baseline.</w:t>
      </w:r>
    </w:p>
    <w:p>
      <w:pPr>
        <w:pStyle w:val="BodyText"/>
      </w:pPr>
      <w:r>
        <w:t xml:space="preserve">The MCBOMs implementation supports both conventions: the optimizer</w:t>
      </w:r>
      <w:r>
        <w:t xml:space="preserve"> </w:t>
      </w:r>
      <w:r>
        <w:t xml:space="preserve">accepts a per-alternative objective coefficient, which the analyst sets</w:t>
      </w:r>
      <w:r>
        <w:t xml:space="preserve"> </w:t>
      </w:r>
      <w:r>
        <w:t xml:space="preserve">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</m:sup>
            </m:sSubSup>
          </m:e>
        </m:d>
      </m:oMath>
      <w:r>
        <w:t xml:space="preserve"> </w:t>
      </w:r>
      <w:r>
        <w:t xml:space="preserve">when modeling a Harwood-style</w:t>
      </w:r>
      <w:r>
        <w:t xml:space="preserve"> </w:t>
      </w:r>
      <w:r>
        <w:t xml:space="preserve">problem and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for a generic problem.</w:t>
      </w:r>
    </w:p>
    <w:bookmarkEnd w:id="39"/>
    <w:bookmarkStart w:id="40" w:name="budget-constraint."/>
    <w:p>
      <w:pPr>
        <w:pStyle w:val="Heading4"/>
      </w:pPr>
      <w:r>
        <w:t xml:space="preserve">Budget constraint.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I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is the total program budget.</w:t>
      </w:r>
    </w:p>
    <w:bookmarkEnd w:id="40"/>
    <w:bookmarkStart w:id="41" w:name="mutual-exclusivity."/>
    <w:p>
      <w:pPr>
        <w:pStyle w:val="Heading4"/>
      </w:pPr>
      <w:r>
        <w:t xml:space="preserve">Mutual exclusivity.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 </m:t>
          </m:r>
          <m:r>
            <m:rPr>
              <m:sty m:val="p"/>
            </m:rPr>
            <m:t>≤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This constraint allows at most one alternative (including do-nothing) to be</w:t>
      </w:r>
      <w:r>
        <w:t xml:space="preserve"> </w:t>
      </w:r>
      <w:r>
        <w:t xml:space="preserve">selected for each project. When the inequality is strict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the optimizer has implicitly chosen do-nothing for project</w:t>
      </w:r>
      <w:r>
        <w:t xml:space="preserve"> </w:t>
      </w:r>
      <m:oMath>
        <m:r>
          <m:t>i</m:t>
        </m:r>
      </m:oMath>
      <w:r>
        <w:t xml:space="preserve">.</w:t>
      </w:r>
    </w:p>
    <w:bookmarkEnd w:id="41"/>
    <w:bookmarkStart w:id="42" w:name="binary-decision-variables."/>
    <w:p>
      <w:pPr>
        <w:pStyle w:val="Heading4"/>
      </w:pPr>
      <w:r>
        <w:t xml:space="preserve">Binary decision variables.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bookmarkEnd w:id="42"/>
    <w:bookmarkStart w:id="43" w:name="optional-constraints."/>
    <w:p>
      <w:pPr>
        <w:pStyle w:val="Heading4"/>
      </w:pPr>
      <w:r>
        <w:t xml:space="preserve">Optional constraints.</w:t>
      </w:r>
    </w:p>
    <w:p>
      <w:pPr>
        <w:pStyle w:val="FirstParagraph"/>
      </w:pPr>
      <w:r>
        <w:t xml:space="preserve">Beyond the four core constraints above,</w:t>
      </w:r>
      <w:r>
        <w:t xml:space="preserve"> </w:t>
      </w:r>
      <w:r>
        <w:t xml:space="preserve">the project-level formulation supports three optional constraint families</w:t>
      </w:r>
      <w:r>
        <w:t xml:space="preserve"> </w:t>
      </w:r>
      <w:r>
        <w:t xml:space="preserve">that reflect common real-world policy and engineering requirements. These</w:t>
      </w:r>
      <w:r>
        <w:t xml:space="preserve"> </w:t>
      </w:r>
      <w:r>
        <w:t xml:space="preserve">constraints are activated only when the corresponding data is provided.</w:t>
      </w:r>
    </w:p>
    <w:p>
      <w:pPr>
        <w:pStyle w:val="BodyText"/>
      </w:pPr>
      <w:r>
        <w:rPr>
          <w:bCs/>
          <w:b/>
        </w:rPr>
        <w:t xml:space="preserve">(a) Dependency constraints.</w:t>
      </w:r>
      <w:r>
        <w:t xml:space="preserve"> </w:t>
      </w:r>
      <w:r>
        <w:t xml:space="preserve">If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project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requires the prior completion of alternative</w:t>
      </w:r>
      <w:r>
        <w:t xml:space="preserve"> </w:t>
      </w:r>
      <m:oMath>
        <m:r>
          <m:t>j</m:t>
        </m:r>
        <m:r>
          <m:rPr>
            <m:sty m:val="p"/>
          </m:rPr>
          <m:t>′</m:t>
        </m:r>
      </m:oMath>
      <w:r>
        <w:t xml:space="preserve"> </w:t>
      </w:r>
      <w:r>
        <w:t xml:space="preserve">of project</w:t>
      </w:r>
      <w:r>
        <w:t xml:space="preserve"> </w:t>
      </w:r>
      <m:oMath>
        <m:r>
          <m:t>i</m:t>
        </m:r>
        <m:r>
          <m:rPr>
            <m:sty m:val="p"/>
          </m:rPr>
          <m:t>′</m:t>
        </m:r>
      </m:oMath>
      <w:r>
        <w:t xml:space="preserve"> </w:t>
      </w:r>
      <w:r>
        <w:t xml:space="preserve">(for</w:t>
      </w:r>
      <w:r>
        <w:t xml:space="preserve"> </w:t>
      </w:r>
      <w:r>
        <w:t xml:space="preserve">example, a corridor signalization plan that depends on an upstream</w:t>
      </w:r>
      <w:r>
        <w:t xml:space="preserve"> </w:t>
      </w:r>
      <w:r>
        <w:t xml:space="preserve">intersection upgrade), the dependency is enforced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′</m:t>
              </m:r>
              <m:r>
                <m:t>j</m:t>
              </m:r>
              <m:r>
                <m:rPr>
                  <m:sty m:val="p"/>
                </m:rPr>
                <m:t>′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(b) Cross-project exclusivity.</w:t>
      </w:r>
      <w:r>
        <w:t xml:space="preserve"> </w:t>
      </w:r>
      <w:r>
        <w:t xml:space="preserve">If alternatives at different</w:t>
      </w:r>
      <w:r>
        <w:t xml:space="preserve"> </w:t>
      </w:r>
      <w:r>
        <w:t xml:space="preserve">projects conflict (for example, when two adjacent projects compete for</w:t>
      </w:r>
      <w:r>
        <w:t xml:space="preserve"> </w:t>
      </w:r>
      <w:r>
        <w:t xml:space="preserve">the same right-of-way or land use), the conflict is enforced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′</m:t>
              </m:r>
              <m:r>
                <m:t>j</m:t>
              </m:r>
              <m:r>
                <m:rPr>
                  <m:sty m:val="p"/>
                </m:rPr>
                <m:t>′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(c) Minimum benefit-cost ratio.</w:t>
      </w:r>
      <w:r>
        <w:t xml:space="preserve"> </w:t>
      </w:r>
      <w:r>
        <w:t xml:space="preserve">To require selected alternatives</w:t>
      </w:r>
      <w:r>
        <w:t xml:space="preserve"> </w:t>
      </w:r>
      <w:r>
        <w:t xml:space="preserve">to exceed a minimum benefit-cost ratio: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Sup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p>
              </m:sSubSup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t>θ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minimum acceptable benefit-cost ratio</w:t>
      </w:r>
      <w:r>
        <w:t xml:space="preserve"> </w:t>
      </w:r>
      <w:r>
        <w:t xml:space="preserve">(for example,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enforces positive net benefit at every</w:t>
      </w:r>
      <w:r>
        <w:t xml:space="preserve"> </w:t>
      </w:r>
      <w:r>
        <w:t xml:space="preserve">selected project;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enforces a</w:t>
      </w:r>
      <w: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benefit-cost ratio).</w:t>
      </w:r>
    </w:p>
    <w:bookmarkEnd w:id="43"/>
    <w:bookmarkStart w:id="44" w:name="X9529cbe0984f78daf466fd2d687a544c032bbab"/>
    <w:p>
      <w:pPr>
        <w:pStyle w:val="Heading4"/>
      </w:pPr>
      <w:r>
        <w:t xml:space="preserve">Implementation status of optional constraints.</w:t>
      </w:r>
    </w:p>
    <w:p>
      <w:pPr>
        <w:pStyle w:val="FirstParagraph"/>
      </w:pPr>
      <w:r>
        <w:t xml:space="preserve">The MCBOMs</w:t>
      </w:r>
      <w:r>
        <w:t xml:space="preserve"> </w:t>
      </w:r>
      <w:r>
        <w:t xml:space="preserve">prototype optimizer currently implements the four core constraints</w:t>
      </w:r>
      <w:r>
        <w:t xml:space="preserve"> </w:t>
      </w:r>
      <w:r>
        <w:t xml:space="preserve">(Equations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–</w:t>
      </w:r>
      <w:hyperlink w:anchor="eq:binary-project">
        <w:r>
          <w:rPr>
            <w:rStyle w:val="Hyperlink"/>
          </w:rPr>
          <w:t xml:space="preserve">[eq:binary-project]</w:t>
        </w:r>
      </w:hyperlink>
      <w:r>
        <w:t xml:space="preserve">); the three</w:t>
      </w:r>
      <w:r>
        <w:t xml:space="preserve"> </w:t>
      </w:r>
      <w:r>
        <w:t xml:space="preserve">optional constraints are documented in this chapter as supported by the</w:t>
      </w:r>
      <w:r>
        <w:t xml:space="preserve"> </w:t>
      </w:r>
      <w:r>
        <w:t xml:space="preserve">mathematical framework and are added to the optimizer as agency-data</w:t>
      </w:r>
      <w:r>
        <w:t xml:space="preserve"> </w:t>
      </w:r>
      <w:r>
        <w:t xml:space="preserve">becomes available to populate them. The Harwood (2003) and</w:t>
      </w:r>
      <w:r>
        <w:t xml:space="preserve"> </w:t>
      </w:r>
      <w:r>
        <w:t xml:space="preserve">Banihashemi (2007) validation case studies do not exercise dependency or</w:t>
      </w:r>
      <w:r>
        <w:t xml:space="preserve"> </w:t>
      </w:r>
      <w:r>
        <w:t xml:space="preserve">cross-project exclusivity constraints; minimum-BCR enforcement is</w:t>
      </w:r>
      <w:r>
        <w:t xml:space="preserve"> </w:t>
      </w:r>
      <w:r>
        <w:t xml:space="preserve">optional and disabled by default.</w:t>
      </w:r>
    </w:p>
    <w:bookmarkEnd w:id="44"/>
    <w:bookmarkStart w:id="45" w:name="facility-type-scope."/>
    <w:p>
      <w:pPr>
        <w:pStyle w:val="Heading4"/>
      </w:pPr>
      <w:r>
        <w:t xml:space="preserve">Facility-type scope.</w:t>
      </w:r>
    </w:p>
    <w:p>
      <w:pPr>
        <w:pStyle w:val="FirstParagraph"/>
      </w:pPr>
      <w:r>
        <w:t xml:space="preserve">The project-level optimization framework</w:t>
      </w:r>
      <w:r>
        <w:t xml:space="preserve"> </w:t>
      </w:r>
      <w:r>
        <w:t xml:space="preserve">applies to the following facility types, with facility-specific Safety</w:t>
      </w:r>
      <w:r>
        <w:t xml:space="preserve"> </w:t>
      </w:r>
      <w:r>
        <w:t xml:space="preserve">Performance Functions (SPFs), Crash Modification Factors (CMFs), and</w:t>
      </w:r>
      <w:r>
        <w:t xml:space="preserve"> </w:t>
      </w:r>
      <w:r>
        <w:t xml:space="preserve">operational performance parameters as defined in</w:t>
      </w:r>
      <w:r>
        <w:t xml:space="preserve"> </w:t>
      </w:r>
      <w:r>
        <w:t xml:space="preserve">Section </w:t>
      </w:r>
      <w:hyperlink w:anchor="sec:safet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(safety) and Section </w:t>
      </w:r>
      <w:hyperlink w:anchor="sec:op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(operations):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Rural highways:</w:t>
      </w:r>
      <w:r>
        <w:t xml:space="preserve"> </w:t>
      </w:r>
      <w:r>
        <w:t xml:space="preserve">two-lane highways and intersections</w:t>
      </w:r>
      <w:r>
        <w:t xml:space="preserve"> </w:t>
      </w:r>
      <w:r>
        <w:t xml:space="preserve">(including roundabouts); four-lane divided and undivided highways</w:t>
      </w:r>
      <w:r>
        <w:t xml:space="preserve"> </w:t>
      </w:r>
      <w:r>
        <w:t xml:space="preserve">and intersections; freeways, ramps, and ramp terminals.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Urban / suburban facilities:</w:t>
      </w:r>
      <w:r>
        <w:t xml:space="preserve"> </w:t>
      </w:r>
      <w:r>
        <w:t xml:space="preserve">two-lane highways and</w:t>
      </w:r>
      <w:r>
        <w:t xml:space="preserve"> </w:t>
      </w:r>
      <w:r>
        <w:t xml:space="preserve">intersections; multilane highways and intersections; one-way</w:t>
      </w:r>
      <w:r>
        <w:t xml:space="preserve"> </w:t>
      </w:r>
      <w:r>
        <w:t xml:space="preserve">arterials and intersections; freeways, ramps, and ramp terminals.</w:t>
      </w:r>
    </w:p>
    <w:bookmarkEnd w:id="45"/>
    <w:bookmarkEnd w:id="46"/>
    <w:bookmarkStart w:id="55" w:name="sec:milp-network"/>
    <w:p>
      <w:pPr>
        <w:pStyle w:val="Heading2"/>
      </w:pPr>
      <w:r>
        <w:t xml:space="preserve">Network-Level Formulation</w:t>
      </w:r>
    </w:p>
    <w:p>
      <w:pPr>
        <w:pStyle w:val="FirstParagraph"/>
      </w:pPr>
      <w:r>
        <w:t xml:space="preserve">The network-level formulation extends the project-level MILP by adding</w:t>
      </w:r>
      <w:r>
        <w:t xml:space="preserve"> </w:t>
      </w:r>
      <w:r>
        <w:t xml:space="preserve">facility-type sub-budget constraints, regional cap constraints, and regional</w:t>
      </w:r>
      <w:r>
        <w:t xml:space="preserve"> </w:t>
      </w:r>
      <w:r>
        <w:t xml:space="preserve">minimum-investment constraints. These additional constraints reflect common</w:t>
      </w:r>
      <w:r>
        <w:t xml:space="preserve"> </w:t>
      </w:r>
      <w:r>
        <w:t xml:space="preserve">real-world resource allocation requirements, such as ensuring that no single</w:t>
      </w:r>
      <w:r>
        <w:t xml:space="preserve"> </w:t>
      </w:r>
      <w:r>
        <w:t xml:space="preserve">facility class consumes a disproportionate share of the budget, or that each</w:t>
      </w:r>
      <w:r>
        <w:t xml:space="preserve"> </w:t>
      </w:r>
      <w:r>
        <w:t xml:space="preserve">geographic region receives a minimum allocation of investment.</w:t>
      </w:r>
    </w:p>
    <w:bookmarkStart w:id="47" w:name="sets-for-network-level-constraints."/>
    <w:p>
      <w:pPr>
        <w:pStyle w:val="Heading4"/>
      </w:pPr>
      <w:r>
        <w:t xml:space="preserve">Sets for network-level constraints.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denote the set of project indices belonging to facility</w:t>
      </w:r>
      <w:r>
        <w:t xml:space="preserve"> </w:t>
      </w:r>
      <w:r>
        <w:t xml:space="preserve">type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(e.g., rural two-lane, rural multilane,</w:t>
      </w:r>
      <w:r>
        <w:t xml:space="preserve"> </w:t>
      </w:r>
      <w:r>
        <w:t xml:space="preserve">urban arterial). Let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denote the set of project indices located</w:t>
      </w:r>
      <w:r>
        <w:t xml:space="preserve"> </w:t>
      </w:r>
      <w:r>
        <w:t xml:space="preserve">in region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(e.g., District 1, District 2).</w:t>
      </w:r>
    </w:p>
    <w:bookmarkEnd w:id="47"/>
    <w:bookmarkStart w:id="48" w:name="objective-function.-1"/>
    <w:p>
      <w:pPr>
        <w:pStyle w:val="Heading4"/>
      </w:pPr>
      <w:r>
        <w:t xml:space="preserve">Objective function.</w:t>
      </w:r>
    </w:p>
    <w:p>
      <w:pPr>
        <w:pStyle w:val="FirstParagraph"/>
      </w:pPr>
      <w:r>
        <w:t xml:space="preserve">Identical to the project-level objective</w:t>
      </w:r>
      <w:r>
        <w:t xml:space="preserve"> </w:t>
      </w:r>
      <w:r>
        <w:t xml:space="preserve">(Equation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); the summation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now ranges over all</w:t>
      </w:r>
      <w:r>
        <w:t xml:space="preserve"> </w:t>
      </w:r>
      <w:r>
        <w:t xml:space="preserve">projects across all facility types and regions.</w:t>
      </w:r>
    </w:p>
    <w:bookmarkEnd w:id="48"/>
    <w:bookmarkStart w:id="49" w:name="total-budget-constraint."/>
    <w:p>
      <w:pPr>
        <w:pStyle w:val="Heading4"/>
      </w:pPr>
      <w:r>
        <w:t xml:space="preserve">Total budget constraint.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t xml:space="preserve">Equation </w:t>
      </w:r>
      <w:hyperlink w:anchor="eq:budget-project">
        <w:r>
          <w:rPr>
            <w:rStyle w:val="Hyperlink"/>
          </w:rPr>
          <w:t xml:space="preserve">[eq:budget-project]</w:t>
        </w:r>
      </w:hyperlink>
      <w:r>
        <w:t xml:space="preserve">.</w:t>
      </w:r>
    </w:p>
    <w:bookmarkEnd w:id="49"/>
    <w:bookmarkStart w:id="50" w:name="mutual-exclusivity.-1"/>
    <w:p>
      <w:pPr>
        <w:pStyle w:val="Heading4"/>
      </w:pPr>
      <w:r>
        <w:t xml:space="preserve">Mutual exclusivity.</w:t>
      </w:r>
    </w:p>
    <w:p>
      <w:pPr>
        <w:pStyle w:val="FirstParagraph"/>
      </w:pPr>
      <w:r>
        <w:t xml:space="preserve">Identical to Equation </w:t>
      </w:r>
      <w:hyperlink w:anchor="eq:mutex">
        <w:r>
          <w:rPr>
            <w:rStyle w:val="Hyperlink"/>
          </w:rPr>
          <w:t xml:space="preserve">[eq:mutex]</w:t>
        </w:r>
      </w:hyperlink>
      <w:r>
        <w:t xml:space="preserve">.</w:t>
      </w:r>
    </w:p>
    <w:bookmarkEnd w:id="50"/>
    <w:bookmarkStart w:id="51" w:name="facility-type-sub-budget-constraints."/>
    <w:p>
      <w:pPr>
        <w:pStyle w:val="Heading4"/>
      </w:pPr>
      <w:r>
        <w:t xml:space="preserve">Facility-type sub-budget constraints.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  <m:sub>
                  <m:r>
                    <m:t>m</m:t>
                  </m:r>
                </m:sub>
              </m:sSub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m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maximum allocation to facility type</w:t>
      </w:r>
      <w:r>
        <w:t xml:space="preserve"> </w:t>
      </w:r>
      <m:oMath>
        <m:r>
          <m:t>m</m:t>
        </m:r>
      </m:oMath>
      <w:r>
        <w:t xml:space="preserve">.</w:t>
      </w:r>
    </w:p>
    <w:bookmarkEnd w:id="51"/>
    <w:bookmarkStart w:id="52" w:name="regional-sub-budget-constraints-cap."/>
    <w:p>
      <w:pPr>
        <w:pStyle w:val="Heading4"/>
      </w:pPr>
      <w:r>
        <w:t xml:space="preserve">Regional sub-budget constraints (cap).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r</m:t>
          </m:r>
        </m:oMath>
      </m:oMathPara>
    </w:p>
    <w:bookmarkEnd w:id="52"/>
    <w:bookmarkStart w:id="53" w:name="X794571ed96ad4ad1e58958dcb893ead3ea326c3"/>
    <w:p>
      <w:pPr>
        <w:pStyle w:val="Heading4"/>
      </w:pPr>
      <w:r>
        <w:t xml:space="preserve">Regional minimum-investment constraints (floor).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  <m:sub>
                  <m:r>
                    <m:t>r</m:t>
                  </m:r>
                </m:sub>
              </m:sSub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 </m:t>
          </m:r>
          <m:r>
            <m:rPr>
              <m:sty m:val="p"/>
            </m:rPr>
            <m:t>≥</m:t>
          </m:r>
          <m:r>
            <m:t> 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r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the minimum-investment fraction for</w:t>
      </w:r>
      <w:r>
        <w:t xml:space="preserve"> </w:t>
      </w:r>
      <w:r>
        <w:t xml:space="preserve">region</w:t>
      </w:r>
      <w:r>
        <w:t xml:space="preserve"> </w:t>
      </w:r>
      <m:oMath>
        <m:r>
          <m:t>r</m:t>
        </m:r>
      </m:oMath>
      <w:r>
        <w:t xml:space="preserve">. Setting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disables the floor constraint for that</w:t>
      </w:r>
      <w:r>
        <w:t xml:space="preserve"> </w:t>
      </w:r>
      <w:r>
        <w:t xml:space="preserve">region.</w:t>
      </w:r>
    </w:p>
    <w:bookmarkEnd w:id="53"/>
    <w:bookmarkStart w:id="54" w:name="binary-decision-variables.-1"/>
    <w:p>
      <w:pPr>
        <w:pStyle w:val="Heading4"/>
      </w:pPr>
      <w:r>
        <w:t xml:space="preserve">Binary decision variables.</w:t>
      </w:r>
    </w:p>
    <w:p>
      <w:pPr>
        <w:pStyle w:val="FirstParagraph"/>
      </w:pPr>
      <w:r>
        <w:t xml:space="preserve">Identical to</w:t>
      </w:r>
      <w:r>
        <w:t xml:space="preserve"> </w:t>
      </w:r>
      <w:r>
        <w:t xml:space="preserve">Equation </w:t>
      </w:r>
      <w:hyperlink w:anchor="eq:binary-project">
        <w:r>
          <w:rPr>
            <w:rStyle w:val="Hyperlink"/>
          </w:rPr>
          <w:t xml:space="preserve">[eq:binary-project]</w:t>
        </w:r>
      </w:hyperlink>
      <w:r>
        <w:t xml:space="preserve">.</w:t>
      </w:r>
    </w:p>
    <w:bookmarkEnd w:id="54"/>
    <w:bookmarkEnd w:id="55"/>
    <w:bookmarkStart w:id="58" w:name="sec:milp-worked"/>
    <w:p>
      <w:pPr>
        <w:pStyle w:val="Heading2"/>
      </w:pPr>
      <w:r>
        <w:t xml:space="preserve">Worked Example: Project-Level Optimization for Three Rural Highway Segments</w:t>
      </w:r>
    </w:p>
    <w:p>
      <w:pPr>
        <w:pStyle w:val="FirstParagraph"/>
      </w:pPr>
      <w:r>
        <w:t xml:space="preserve">To illustrate the project-level MILP, consider three rural two-lane</w:t>
      </w:r>
      <w:r>
        <w:t xml:space="preserve"> </w:t>
      </w:r>
      <w:r>
        <w:t xml:space="preserve">highway projects with the following alternative inventory and a program</w:t>
      </w:r>
      <w:r>
        <w:t xml:space="preserve"> </w:t>
      </w:r>
      <w:r>
        <w:t xml:space="preserve">budget of</w:t>
      </w:r>
      <w:r>
        <w:t xml:space="preserve"> </w:t>
      </w:r>
      <m:oMath>
        <m:r>
          <m:rPr>
            <m:sty m:val="p"/>
          </m:rPr>
          <m:t>$</m:t>
        </m:r>
        <m:r>
          <m:t>2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000</m:t>
        </m:r>
      </m:oMath>
      <w:r>
        <w:t xml:space="preserve">. Costs and total present-value benefits are</w:t>
      </w:r>
      <w:r>
        <w:t xml:space="preserve"> </w:t>
      </w:r>
      <w:r>
        <w:t xml:space="preserve">expressed in thousands of dollars.</w:t>
      </w:r>
    </w:p>
    <w:p>
      <w:pPr>
        <w:pStyle w:val="BodyText"/>
      </w:pPr>
      <w:r>
        <w:rPr>
          <w:bCs/>
          <w:b/>
        </w:rPr>
        <w:t xml:space="preserve">Project 1 (5-mile rural segment):</w:t>
      </w:r>
    </w:p>
    <w:p>
      <w:pPr>
        <w:numPr>
          <w:ilvl w:val="0"/>
          <w:numId w:val="1004"/>
        </w:numPr>
      </w:pP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(do nothing):</w:t>
      </w:r>
      <w: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10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4"/>
        </w:numPr>
      </w:pP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(widen lanes to 12 ft):</w:t>
      </w:r>
      <w:r>
        <w:t xml:space="preserve"> </w:t>
      </w:r>
      <m:oMath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800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11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200</m:t>
        </m:r>
      </m:oMath>
    </w:p>
    <w:p>
      <w:pPr>
        <w:numPr>
          <w:ilvl w:val="0"/>
          <w:numId w:val="1004"/>
        </w:numPr>
      </w:pPr>
      <m:oMath>
        <m:r>
          <m:t>j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(widen shoulders to 6 ft):</w:t>
      </w:r>
      <w:r>
        <w:t xml:space="preserve"> </w:t>
      </w: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600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12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$</m:t>
        </m:r>
        <m:r>
          <m:t>950</m:t>
        </m:r>
      </m:oMath>
    </w:p>
    <w:p>
      <w:pPr>
        <w:pStyle w:val="FirstParagraph"/>
      </w:pPr>
      <w:r>
        <w:rPr>
          <w:bCs/>
          <w:b/>
        </w:rPr>
        <w:t xml:space="preserve">Project 2 (3-mile rural segment with curve):</w:t>
      </w:r>
    </w:p>
    <w:p>
      <w:pPr>
        <w:numPr>
          <w:ilvl w:val="0"/>
          <w:numId w:val="1005"/>
        </w:numPr>
      </w:pP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20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5"/>
        </w:numPr>
      </w:pP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(flatten curve):</w:t>
      </w:r>
      <w:r>
        <w:t xml:space="preserve"> </w:t>
      </w:r>
      <m:oMath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500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21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$</m:t>
        </m:r>
        <m:r>
          <m:t>2</m:t>
        </m:r>
        <m:r>
          <m:rPr>
            <m:sty m:val="p"/>
          </m:rPr>
          <m:t>,</m:t>
        </m:r>
        <m:r>
          <m:t>400</m:t>
        </m:r>
      </m:oMath>
    </w:p>
    <w:p>
      <w:pPr>
        <w:pStyle w:val="FirstParagraph"/>
      </w:pPr>
      <w:r>
        <w:rPr>
          <w:bCs/>
          <w:b/>
        </w:rPr>
        <w:t xml:space="preserve">Project 3 (2-mile rural segment):</w:t>
      </w:r>
    </w:p>
    <w:p>
      <w:pPr>
        <w:numPr>
          <w:ilvl w:val="0"/>
          <w:numId w:val="1006"/>
        </w:numPr>
      </w:pP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30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6"/>
        </w:numPr>
      </w:pP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(rumble strips):</w:t>
      </w:r>
      <w: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100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31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$</m:t>
        </m:r>
        <m:r>
          <m:t>150</m:t>
        </m:r>
      </m:oMath>
    </w:p>
    <w:p>
      <w:pPr>
        <w:numPr>
          <w:ilvl w:val="0"/>
          <w:numId w:val="1006"/>
        </w:numPr>
      </w:pPr>
      <m:oMath>
        <m:r>
          <m:t>j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(widen lanes + shoulders):</w:t>
      </w:r>
      <w:r>
        <w:t xml:space="preserve"> </w:t>
      </w:r>
      <m:oMath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200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32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800</m:t>
        </m:r>
      </m:oMath>
    </w:p>
    <w:bookmarkStart w:id="56" w:name="milp-instance."/>
    <w:p>
      <w:pPr>
        <w:pStyle w:val="Heading4"/>
      </w:pPr>
      <w:r>
        <w:t xml:space="preserve">MILP instance.</w:t>
      </w:r>
    </w:p>
    <w:p>
      <w:pPr>
        <w:pStyle w:val="FirstParagraph"/>
      </w:pPr>
      <w:r>
        <w:t xml:space="preserve">The objective function and constraints</w:t>
      </w:r>
      <w:r>
        <w:t xml:space="preserve"> </w:t>
      </w:r>
      <w:r>
        <w:t xml:space="preserve">specialize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Maximize:</m:t>
                </m:r>
                <m:r>
                  <m:t> </m:t>
                </m:r>
              </m:e>
              <m:e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sSub>
                  <m:e>
                    <m:r>
                      <m:t>x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350</m:t>
                </m:r>
                <m:sSub>
                  <m:e>
                    <m:r>
                      <m:t>x</m:t>
                    </m:r>
                  </m:e>
                  <m:sub>
                    <m:r>
                      <m:t>12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900</m:t>
                </m:r>
                <m:sSub>
                  <m:e>
                    <m:r>
                      <m:t>x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50</m:t>
                </m:r>
                <m:sSub>
                  <m:e>
                    <m:r>
                      <m:t>x</m:t>
                    </m:r>
                  </m:e>
                  <m:sub>
                    <m:r>
                      <m:t>31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600</m:t>
                </m:r>
                <m:sSub>
                  <m:e>
                    <m:r>
                      <m:t>x</m:t>
                    </m:r>
                  </m:e>
                  <m:sub>
                    <m:r>
                      <m:t>32</m:t>
                    </m:r>
                  </m:sub>
                </m:sSub>
              </m:e>
            </m:mr>
            <m:mr>
              <m:e>
                <m:r>
                  <m:rPr>
                    <m:nor/>
                    <m:sty m:val="p"/>
                  </m:rPr>
                  <m:t>Subject to:</m:t>
                </m:r>
                <m:r>
                  <m:t> </m:t>
                </m:r>
              </m:e>
              <m:e>
                <m:r>
                  <m:t>800</m:t>
                </m:r>
                <m:sSub>
                  <m:e>
                    <m:r>
                      <m:t>x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600</m:t>
                </m:r>
                <m:sSub>
                  <m:e>
                    <m:r>
                      <m:t>x</m:t>
                    </m:r>
                  </m:e>
                  <m:sub>
                    <m:r>
                      <m:t>12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1500</m:t>
                </m:r>
                <m:sSub>
                  <m:e>
                    <m:r>
                      <m:t>x</m:t>
                    </m:r>
                  </m:e>
                  <m:sub>
                    <m:r>
                      <m:t>21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100</m:t>
                </m:r>
                <m:sSub>
                  <m:e>
                    <m:r>
                      <m:t>x</m:t>
                    </m:r>
                  </m:e>
                  <m:sub>
                    <m:r>
                      <m:t>31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1200</m:t>
                </m:r>
                <m:sSub>
                  <m:e>
                    <m:r>
                      <m:t>x</m:t>
                    </m:r>
                  </m:e>
                  <m:sub>
                    <m:r>
                      <m:t>32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≤</m:t>
                </m:r>
                <m:r>
                  <m:t> </m:t>
                </m:r>
                <m:r>
                  <m:t>2000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12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≤</m:t>
                </m:r>
                <m:r>
                  <m:t> </m:t>
                </m:r>
                <m:r>
                  <m:t>1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20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21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≤</m:t>
                </m:r>
                <m:r>
                  <m:t> </m:t>
                </m:r>
                <m:r>
                  <m:t>1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30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31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32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≤</m:t>
                </m:r>
                <m:r>
                  <m:t> </m:t>
                </m:r>
                <m:r>
                  <m:t>1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}</m:t>
                </m:r>
              </m:e>
            </m:mr>
          </m:m>
        </m:oMath>
      </m:oMathPara>
    </w:p>
    <w:p>
      <w:pPr>
        <w:pStyle w:val="FirstParagraph"/>
      </w:pPr>
      <w:r>
        <w:t xml:space="preserve">where the objective coefficients are net benefits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sup>
            </m:sSub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for non-zero alternatives. This worked example</w:t>
      </w:r>
      <w:r>
        <w:t xml:space="preserve"> </w:t>
      </w:r>
      <w:r>
        <w:t xml:space="preserve">has no committed cost component</w:t>
      </w:r>
      <w:r>
        <w:t xml:space="preserve"> </w:t>
      </w:r>
      <w:r>
        <w:t xml:space="preserve">(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 </w:t>
      </w:r>
      <m:oMath>
        <m:sSubSup>
          <m:e>
            <m:r>
              <m:t>C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), so</w:t>
      </w:r>
      <w:r>
        <w:t xml:space="preserve"> </w:t>
      </w:r>
      <w:r>
        <w:t xml:space="preserve">the objective uses the simple form.</w:t>
      </w:r>
    </w:p>
    <w:bookmarkEnd w:id="56"/>
    <w:bookmarkStart w:id="57" w:name="optimal-solution."/>
    <w:p>
      <w:pPr>
        <w:pStyle w:val="Heading4"/>
      </w:pPr>
      <w:r>
        <w:t xml:space="preserve">Optimal solution.</w:t>
      </w:r>
    </w:p>
    <w:p>
      <w:pPr>
        <w:pStyle w:val="FirstParagraph"/>
      </w:pPr>
      <w:r>
        <w:t xml:space="preserve">A MILP solver evaluates all feasible</w:t>
      </w:r>
      <w:r>
        <w:t xml:space="preserve"> </w:t>
      </w:r>
      <w:r>
        <w:t xml:space="preserve">combinations of project–alternative selections and returns the</w:t>
      </w:r>
      <w:r>
        <w:t xml:space="preserve"> </w:t>
      </w:r>
      <w:r>
        <w:t xml:space="preserve">combination that maximizes total net benefit subject to the budget</w:t>
      </w:r>
      <w:r>
        <w:t xml:space="preserve"> </w:t>
      </w:r>
      <w:r>
        <w:t xml:space="preserve">constraint. The optimal solution for this instance is:</w:t>
      </w:r>
    </w:p>
    <w:p>
      <w:pPr>
        <w:numPr>
          <w:ilvl w:val="0"/>
          <w:numId w:val="1007"/>
        </w:numPr>
      </w:pP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(Project 1, lane widening) – net benefit $400, cost $800</w:t>
      </w:r>
    </w:p>
    <w:p>
      <w:pPr>
        <w:numPr>
          <w:ilvl w:val="0"/>
          <w:numId w:val="1007"/>
        </w:numPr>
      </w:pPr>
      <m:oMath>
        <m:sSub>
          <m:e>
            <m:r>
              <m:t>x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(Project 2, do nothing) – net benefit $0, cost $0</w:t>
      </w:r>
    </w:p>
    <w:p>
      <w:pPr>
        <w:numPr>
          <w:ilvl w:val="0"/>
          <w:numId w:val="1007"/>
        </w:numPr>
      </w:pPr>
      <m:oMath>
        <m:sSub>
          <m:e>
            <m:r>
              <m:t>x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(Project 3, lane + shoulder widening) – net benefit $600, cost $1</w:t>
      </w:r>
      <w:r>
        <w:t xml:space="preserve">,</w:t>
      </w:r>
      <w:r>
        <w:t xml:space="preserve">200</w:t>
      </w:r>
    </w:p>
    <w:p>
      <w:pPr>
        <w:pStyle w:val="FirstParagraph"/>
      </w:pPr>
      <w:r>
        <w:rPr>
          <w:bCs/>
          <w:b/>
        </w:rPr>
        <w:t xml:space="preserve">Total cost:</w:t>
      </w:r>
      <w:r>
        <w:t xml:space="preserve"> </w:t>
      </w:r>
      <m:oMath>
        <m:r>
          <m:rPr>
            <m:sty m:val="p"/>
          </m:rPr>
          <m:t>$</m:t>
        </m:r>
        <m:r>
          <m:t>800</m:t>
        </m:r>
        <m:r>
          <m:rPr>
            <m:sty m:val="p"/>
          </m:rPr>
          <m:t>+</m:t>
        </m:r>
        <m:r>
          <m:rPr>
            <m:sty m:val="p"/>
          </m:rPr>
          <m:t>$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(at budget).</w:t>
      </w:r>
      <w:r>
        <w:t xml:space="preserve"> </w:t>
      </w:r>
      <w:r>
        <w:rPr>
          <w:bCs/>
          <w:b/>
        </w:rPr>
        <w:t xml:space="preserve">Total net benefit:</w:t>
      </w:r>
      <w:r>
        <w:t xml:space="preserve"> </w:t>
      </w:r>
      <m:oMath>
        <m:r>
          <m:rPr>
            <m:sty m:val="p"/>
          </m:rPr>
          <m:t>$</m:t>
        </m:r>
        <m:r>
          <m:t>400</m:t>
        </m:r>
        <m:r>
          <m:rPr>
            <m:sty m:val="p"/>
          </m:rPr>
          <m:t>+</m:t>
        </m:r>
        <m:r>
          <m:rPr>
            <m:sty m:val="p"/>
          </m:rPr>
          <m:t>$</m:t>
        </m:r>
        <m:r>
          <m:t>600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(thousand dollars).</w:t>
      </w:r>
    </w:p>
    <w:p>
      <w:pPr>
        <w:pStyle w:val="BodyText"/>
      </w:pPr>
      <w:r>
        <w:t xml:space="preserve">This example illustrates two key features of the MILP formulation:</w:t>
      </w:r>
      <w:r>
        <w:t xml:space="preserve"> </w:t>
      </w:r>
      <w:r>
        <w:t xml:space="preserve">(a) the trade-off between high-cost / high-benefit alternatives</w:t>
      </w:r>
      <w:r>
        <w:t xml:space="preserve"> </w:t>
      </w:r>
      <w:r>
        <w:t xml:space="preserve">(Project 2’s curve flattening is rejected despite its</w:t>
      </w:r>
      <w:r>
        <w:t xml:space="preserve"> </w:t>
      </w:r>
      <m:oMath>
        <m:r>
          <m:rPr>
            <m:sty m:val="p"/>
          </m:rPr>
          <m:t>$</m:t>
        </m:r>
        <m:r>
          <m:t>900</m:t>
        </m:r>
      </m:oMath>
      <w:r>
        <w:t xml:space="preserve"> </w:t>
      </w:r>
      <w:r>
        <w:t xml:space="preserve">net benefit</w:t>
      </w:r>
      <w:r>
        <w:t xml:space="preserve"> </w:t>
      </w:r>
      <w:r>
        <w:t xml:space="preserve">because its</w:t>
      </w:r>
      <w:r>
        <w:t xml:space="preserve"> </w:t>
      </w:r>
      <m:oMath>
        <m:r>
          <m:rPr>
            <m:sty m:val="p"/>
          </m:rPr>
          <m:t>$</m:t>
        </m:r>
        <m:r>
          <m:t>1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cost would crowd out higher-net-benefit</w:t>
      </w:r>
      <w:r>
        <w:t xml:space="preserve"> </w:t>
      </w:r>
      <w:r>
        <w:t xml:space="preserve">combinations elsewhere); and (b) the role of the do-nothing alternative</w:t>
      </w:r>
      <w:r>
        <w:t xml:space="preserve"> </w:t>
      </w:r>
      <w:r>
        <w:t xml:space="preserve">in providing a feasible default when budget constraints prevent funding</w:t>
      </w:r>
      <w:r>
        <w:t xml:space="preserve"> </w:t>
      </w:r>
      <w:r>
        <w:t xml:space="preserve">any improvement at a given site.</w:t>
      </w:r>
    </w:p>
    <w:bookmarkEnd w:id="57"/>
    <w:bookmarkEnd w:id="58"/>
    <w:bookmarkEnd w:id="59"/>
    <w:bookmarkStart w:id="72" w:name="sec:safety"/>
    <w:p>
      <w:pPr>
        <w:pStyle w:val="Heading1"/>
      </w:pPr>
      <w:r>
        <w:t xml:space="preserve">Safety Benefit Quantification</w:t>
      </w:r>
    </w:p>
    <w:p>
      <w:pPr>
        <w:pStyle w:val="FirstParagraph"/>
      </w:pPr>
      <w:r>
        <w:t xml:space="preserve">The safety benefit module quantifies the present-value reduction in expected</w:t>
      </w:r>
      <w:r>
        <w:t xml:space="preserve"> </w:t>
      </w:r>
      <w:r>
        <w:t xml:space="preserve">crash costs resulting from each improvement alternative. The formulation</w:t>
      </w:r>
      <w:r>
        <w:t xml:space="preserve"> </w:t>
      </w:r>
      <w:r>
        <w:t xml:space="preserve">follows the methodology of the Highway Safety Manual (AASHTO, 2010, Part C),</w:t>
      </w:r>
      <w:r>
        <w:t xml:space="preserve"> </w:t>
      </w:r>
      <w:r>
        <w:t xml:space="preserve">extended to the optimization context developed by Harwood et al. (2003) and</w:t>
      </w:r>
      <w:r>
        <w:t xml:space="preserve"> </w:t>
      </w:r>
      <w:r>
        <w:t xml:space="preserve">Banihashemi (2007), and updated to use current USDOT-recommended unit crash</w:t>
      </w:r>
      <w:r>
        <w:t xml:space="preserve"> </w:t>
      </w:r>
      <w:r>
        <w:t xml:space="preserve">costs.</w:t>
      </w:r>
    </w:p>
    <w:bookmarkStart w:id="61" w:name="severity-disaggregation"/>
    <w:p>
      <w:pPr>
        <w:pStyle w:val="Heading2"/>
      </w:pPr>
      <w:r>
        <w:t xml:space="preserve">Severity Disaggregation</w:t>
      </w:r>
    </w:p>
    <w:p>
      <w:pPr>
        <w:pStyle w:val="FirstParagraph"/>
      </w:pPr>
      <w:r>
        <w:t xml:space="preserve">The MCBOMs framework adopts the five-bin KABCO crash severity classification</w:t>
      </w:r>
      <w:r>
        <w:t xml:space="preserve"> </w:t>
      </w:r>
      <w:r>
        <w:t xml:space="preserve">as the standard: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K</w:t>
      </w:r>
      <w:r>
        <w:t xml:space="preserve"> </w:t>
      </w:r>
      <w:r>
        <w:t xml:space="preserve">— Killed (fatal injury)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</w:t>
      </w:r>
      <w:r>
        <w:t xml:space="preserve"> </w:t>
      </w:r>
      <w:r>
        <w:t xml:space="preserve">— Suspected serious (incapacitating) injury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</w:t>
      </w:r>
      <w:r>
        <w:t xml:space="preserve"> </w:t>
      </w:r>
      <w:r>
        <w:t xml:space="preserve">— Suspected minor (non-incapacitating) injury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</w:t>
      </w:r>
      <w:r>
        <w:t xml:space="preserve"> </w:t>
      </w:r>
      <w:r>
        <w:t xml:space="preserve">— Possible injury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</w:t>
      </w:r>
      <w:r>
        <w:t xml:space="preserve"> </w:t>
      </w:r>
      <w:r>
        <w:t xml:space="preserve">— Property damage only (no injury)</w:t>
      </w:r>
    </w:p>
    <w:p>
      <w:pPr>
        <w:pStyle w:val="FirstParagraph"/>
      </w:pPr>
      <w:r>
        <w:t xml:space="preserve">The severity index set is denoted</w:t>
      </w:r>
      <w:r>
        <w:t xml:space="preserve"> </w:t>
      </w:r>
      <m:oMath>
        <m:r>
          <m:rPr>
            <m:sty m:val="p"/>
            <m:scr m:val="script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}</m:t>
        </m:r>
      </m:oMath>
      <w:r>
        <w:t xml:space="preserve">. All</w:t>
      </w:r>
      <w:r>
        <w:t xml:space="preserve"> </w:t>
      </w:r>
      <w:r>
        <w:t xml:space="preserve">benefit calculations sum over this five-element set.</w:t>
      </w:r>
    </w:p>
    <w:bookmarkStart w:id="60" w:name="variants-for-benchmark-reproduction."/>
    <w:p>
      <w:pPr>
        <w:pStyle w:val="Heading4"/>
      </w:pPr>
      <w:r>
        <w:t xml:space="preserve">Variants for benchmark reproduction.</w:t>
      </w:r>
    </w:p>
    <w:p>
      <w:pPr>
        <w:pStyle w:val="FirstParagraph"/>
      </w:pPr>
      <w:r>
        <w:t xml:space="preserve">Two legacy severity</w:t>
      </w:r>
      <w:r>
        <w:t xml:space="preserve"> </w:t>
      </w:r>
      <w:r>
        <w:t xml:space="preserve">conventions are used in the validation reproductions described in</w:t>
      </w:r>
      <w:r>
        <w:t xml:space="preserve"> </w:t>
      </w:r>
      <w:r>
        <w:t xml:space="preserve">Section </w:t>
      </w:r>
      <w:hyperlink w:anchor="sec:validation">
        <w:r>
          <w:rPr>
            <w:rStyle w:val="Hyperlink"/>
          </w:rPr>
          <w:t xml:space="preserve">7</w:t>
        </w:r>
      </w:hyperlink>
      <w:r>
        <w:t xml:space="preserve">: Harwood (2003) used a two-bin convention</w:t>
      </w:r>
      <w:r>
        <w:t xml:space="preserve"> </w:t>
      </w:r>
      <w:r>
        <w:t xml:space="preserve">(fatal+injury combined; PDO), and Banihashemi (2007) collapsed five severity</w:t>
      </w:r>
      <w:r>
        <w:t xml:space="preserve"> </w:t>
      </w:r>
      <w:r>
        <w:t xml:space="preserve">levels into a single average crash cost per facility type. These variants are</w:t>
      </w:r>
      <w:r>
        <w:t xml:space="preserve"> </w:t>
      </w:r>
      <w:r>
        <w:t xml:space="preserve">documented as conversion bridges and applied only when reproducing the</w:t>
      </w:r>
      <w:r>
        <w:t xml:space="preserve"> </w:t>
      </w:r>
      <w:r>
        <w:t xml:space="preserve">respective papers’ published results.</w:t>
      </w:r>
    </w:p>
    <w:bookmarkEnd w:id="60"/>
    <w:bookmarkEnd w:id="61"/>
    <w:bookmarkStart w:id="62" w:name="unit-crash-costs"/>
    <w:p>
      <w:pPr>
        <w:pStyle w:val="Heading2"/>
      </w:pPr>
      <w:r>
        <w:t xml:space="preserve">Unit Crash Costs</w:t>
      </w:r>
    </w:p>
    <w:p>
      <w:pPr>
        <w:pStyle w:val="FirstParagraph"/>
      </w:pPr>
      <w:r>
        <w:t xml:space="preserve">The framework default unit crash costs are taken from USDOT BCA Guidance</w:t>
      </w:r>
      <w:r>
        <w:t xml:space="preserve"> </w:t>
      </w:r>
      <w:r>
        <w:t xml:space="preserve">(May 2025), Appendix A, Table A-1 (page 39), in 2023 dollars: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13</m:t>
          </m:r>
          <m:r>
            <m:rPr>
              <m:sty m:val="p"/>
            </m:rPr>
            <m:t>,</m:t>
          </m:r>
          <m:r>
            <m:t>200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</m:t>
          </m:r>
          <m:r>
            <m:rPr>
              <m:sty m:val="p"/>
            </m:rPr>
            <m:t>,</m:t>
          </m:r>
          <m:r>
            <m:t>254</m:t>
          </m:r>
          <m:r>
            <m:rPr>
              <m:sty m:val="p"/>
            </m:rPr>
            <m:t>,</m:t>
          </m:r>
          <m:r>
            <m:t>700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246</m:t>
          </m:r>
          <m:r>
            <m:rPr>
              <m:sty m:val="p"/>
            </m:rPr>
            <m:t>,</m:t>
          </m:r>
          <m:r>
            <m:t>900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118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5</m:t>
          </m:r>
          <m:r>
            <m:rPr>
              <m:sty m:val="p"/>
            </m:rPr>
            <m:t>,</m:t>
          </m:r>
          <m:r>
            <m:t>300</m:t>
          </m:r>
        </m:oMath>
      </m:oMathPara>
    </w:p>
    <w:p>
      <w:pPr>
        <w:pStyle w:val="FirstParagraph"/>
      </w:pPr>
      <w:r>
        <w:t xml:space="preserve">These values include both economic costs (medical, vehicle damage, lost wages)</w:t>
      </w:r>
      <w:r>
        <w:t xml:space="preserve"> </w:t>
      </w:r>
      <w:r>
        <w:t xml:space="preserve">and quality-adjusted-life-year (QALY) costs. State agencies applying the</w:t>
      </w:r>
      <w:r>
        <w:t xml:space="preserve"> </w:t>
      </w:r>
      <w:r>
        <w:t xml:space="preserve">MCBOMs framework may substitute state-specific crash costs in place of the</w:t>
      </w:r>
      <w:r>
        <w:t xml:space="preserve"> </w:t>
      </w:r>
      <w:r>
        <w:t xml:space="preserve">national defaults; FHWA-SA-25-021 (October 2025), Step 5, provides a</w:t>
      </w:r>
      <w:r>
        <w:t xml:space="preserve"> </w:t>
      </w:r>
      <w:r>
        <w:t xml:space="preserve">per-capita-income adjustment procedure for converting national values to</w:t>
      </w:r>
      <w:r>
        <w:t xml:space="preserve"> </w:t>
      </w:r>
      <w:r>
        <w:t xml:space="preserve">state-level values.</w:t>
      </w:r>
    </w:p>
    <w:bookmarkEnd w:id="62"/>
    <w:bookmarkStart w:id="63" w:name="safety-benefit-equation"/>
    <w:p>
      <w:pPr>
        <w:pStyle w:val="Heading2"/>
      </w:pPr>
      <w:r>
        <w:t xml:space="preserve">Safety Benefit Equation</w:t>
      </w:r>
    </w:p>
    <w:p>
      <w:pPr>
        <w:pStyle w:val="FirstParagraph"/>
      </w:pPr>
      <w:r>
        <w:t xml:space="preserve">The present-value safety benefit for project</w:t>
      </w:r>
      <w:r>
        <w:t xml:space="preserve"> </w:t>
      </w:r>
      <m:oMath>
        <m:r>
          <m:t>i</m:t>
        </m:r>
      </m:oMath>
      <w:r>
        <w:t xml:space="preserve">, alternative</w:t>
      </w:r>
      <w:r>
        <w:t xml:space="preserve"> </w:t>
      </w:r>
      <m:oMath>
        <m:r>
          <m:t>j</m:t>
        </m:r>
      </m:oMath>
      <w:r>
        <w:t xml:space="preserve">, over the</w:t>
      </w:r>
      <w:r>
        <w:t xml:space="preserve"> </w:t>
      </w:r>
      <w:r>
        <w:t xml:space="preserve">analysis horizon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  <m:scr m:val="script"/>
                        </m:rPr>
                        <m:t>S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k</m:t>
                              </m:r>
                              <m:r>
                                <m:t>s</m:t>
                              </m:r>
                              <m:r>
                                <m:t>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d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  <m:r>
                                <m:t>k</m:t>
                              </m:r>
                              <m:r>
                                <m:t>s</m:t>
                              </m:r>
                              <m:r>
                                <m:t>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d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F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9"/>
        </w:numPr>
      </w:pP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homogeneous segments (or intersections)</w:t>
      </w:r>
      <w:r>
        <w:t xml:space="preserve"> </w:t>
      </w:r>
      <w:r>
        <w:t xml:space="preserve">composing project</w:t>
      </w:r>
      <w:r>
        <w:t xml:space="preserve"> </w:t>
      </w:r>
      <m:oMath>
        <m:r>
          <m:t>i</m:t>
        </m:r>
      </m:oMath>
      <w:r>
        <w:t xml:space="preserve">, per HSM Part C segmentation</w:t>
      </w:r>
    </w:p>
    <w:p>
      <w:pPr>
        <w:numPr>
          <w:ilvl w:val="0"/>
          <w:numId w:val="1009"/>
        </w:numPr>
      </w:pPr>
      <m:oMath>
        <m:sSubSup>
          <m:e>
            <m:r>
              <m:t>E</m:t>
            </m:r>
          </m:e>
          <m:sub>
            <m:r>
              <m:t>i</m:t>
            </m:r>
            <m:r>
              <m:t>k</m:t>
            </m:r>
            <m:r>
              <m:t>s</m:t>
            </m:r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is the expected number of crashes of severity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segment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under the no-build (existing) condition</w:t>
      </w:r>
    </w:p>
    <w:p>
      <w:pPr>
        <w:numPr>
          <w:ilvl w:val="0"/>
          <w:numId w:val="1009"/>
        </w:numPr>
      </w:pPr>
      <m:oMath>
        <m:sSubSup>
          <m:e>
            <m:r>
              <m:t>E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s</m:t>
            </m:r>
            <m:r>
              <m:t>t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is the corresponding expected count under the build</w:t>
      </w:r>
      <w:r>
        <w:t xml:space="preserve"> </w:t>
      </w:r>
      <w:r>
        <w:t xml:space="preserve">condition (alternative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implemented)</w:t>
      </w:r>
    </w:p>
    <w:p>
      <w:pPr>
        <w:numPr>
          <w:ilvl w:val="0"/>
          <w:numId w:val="1009"/>
        </w:numPr>
      </w:pPr>
      <m:oMath>
        <m:sSub>
          <m:e>
            <m:r>
              <m:rPr>
                <m:sty m:val="i"/>
              </m:rPr>
              <m:t>U</m:t>
            </m:r>
            <m:r>
              <m:rPr>
                <m:sty m:val="i"/>
              </m:rP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unit crash cost for severity</w:t>
      </w:r>
      <w:r>
        <w:t xml:space="preserve"> </w:t>
      </w:r>
      <m:oMath>
        <m:r>
          <m:t>s</m:t>
        </m:r>
      </m:oMath>
    </w:p>
    <w:p>
      <w:pPr>
        <w:numPr>
          <w:ilvl w:val="0"/>
          <w:numId w:val="1009"/>
        </w:numPr>
      </w:pPr>
      <m:oMath>
        <m:sSub>
          <m:e>
            <m:r>
              <m:rPr>
                <m:sty m:val="i"/>
              </m:rPr>
              <m:t>D</m:t>
            </m:r>
            <m:r>
              <m:rPr>
                <m:sty m:val="i"/>
              </m:rP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discount factor from Equation </w:t>
      </w:r>
      <w:hyperlink w:anchor="eq:df">
        <w:r>
          <w:rPr>
            <w:rStyle w:val="Hyperlink"/>
          </w:rPr>
          <w:t xml:space="preserve">[eq:df]</w:t>
        </w:r>
      </w:hyperlink>
    </w:p>
    <w:p>
      <w:pPr>
        <w:pStyle w:val="FirstParagraph"/>
      </w:pPr>
      <w:r>
        <w:t xml:space="preserve">The build-condition expected crash count is obtained by applying the relevant</w:t>
      </w:r>
      <w:r>
        <w:t xml:space="preserve"> </w:t>
      </w:r>
      <w:r>
        <w:t xml:space="preserve">Crash Modification Factor (CMF):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sSubSup>
            <m:e>
              <m:r>
                <m:t>E</m:t>
              </m:r>
            </m:e>
            <m:sub>
              <m:r>
                <m:t>i</m:t>
              </m:r>
              <m:r>
                <m:t>k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F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For alternatives that bundle multiple individual treatments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the combined CMF is computed using the</w:t>
      </w:r>
      <w:r>
        <w:t xml:space="preserve"> </w:t>
      </w:r>
      <w:r>
        <w:t xml:space="preserve">HSM-recommended multiplicative rule: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p>
            <m:e>
              <m:sSub>
                <m:e>
                  <m:r>
                    <m:rPr>
                      <m:sty m:val="i"/>
                    </m:rPr>
                    <m:t>C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i"/>
                    </m:rPr>
                    <m:t>F</m:t>
                  </m:r>
                </m:e>
                <m:sub>
                  <m:r>
                    <m:t>n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This rule assumes that individual treatment effects are independent. The HSM</w:t>
      </w:r>
      <w:r>
        <w:t xml:space="preserve"> </w:t>
      </w:r>
      <w:r>
        <w:t xml:space="preserve">acknowledges this as a known simplification; ongoing research in the FHWA CMF</w:t>
      </w:r>
      <w:r>
        <w:t xml:space="preserve"> </w:t>
      </w:r>
      <w:r>
        <w:t xml:space="preserve">Clearinghouse is refining combined CMF estimates, but no consensus alternative</w:t>
      </w:r>
      <w:r>
        <w:t xml:space="preserve"> </w:t>
      </w:r>
      <w:r>
        <w:t xml:space="preserve">exists at the time of this writing.</w:t>
      </w:r>
    </w:p>
    <w:bookmarkEnd w:id="63"/>
    <w:bookmarkStart w:id="64" w:name="constant-annual-crashes-simplification"/>
    <w:p>
      <w:pPr>
        <w:pStyle w:val="Heading2"/>
      </w:pPr>
      <w:r>
        <w:t xml:space="preserve">Constant-Annual-Crashes Simplification</w:t>
      </w:r>
    </w:p>
    <w:p>
      <w:pPr>
        <w:pStyle w:val="FirstParagraph"/>
      </w:pPr>
      <w:r>
        <w:t xml:space="preserve">For the Task 4 prototype, the no-build expected crash count is assumed</w:t>
      </w:r>
      <w:r>
        <w:t xml:space="preserve"> </w:t>
      </w:r>
      <w:r>
        <w:t xml:space="preserve">constant across years (no traffic growth or treatment-effectiveness decay):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i</m:t>
              </m:r>
              <m:r>
                <m:t>k</m:t>
              </m:r>
              <m:r>
                <m:t>s</m:t>
              </m:r>
              <m:r>
                <m:t>t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t>i</m:t>
              </m:r>
              <m:r>
                <m:t>k</m:t>
              </m:r>
              <m:r>
                <m:t>s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Under this assumption, Equation </w:t>
      </w:r>
      <w:hyperlink w:anchor="eq:safety-benefit">
        <w:r>
          <w:rPr>
            <w:rStyle w:val="Hyperlink"/>
          </w:rPr>
          <w:t xml:space="preserve">[eq:safety-benefit]</w:t>
        </w:r>
      </w:hyperlink>
      <w:r>
        <w:t xml:space="preserve"> </w:t>
      </w:r>
      <w:r>
        <w:t xml:space="preserve">factors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  <m:scr m:val="script"/>
                        </m:rPr>
                        <m:t>S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k</m:t>
                              </m:r>
                              <m:r>
                                <m:t>s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nor/>
                                  <m:sty m:val="p"/>
                                </m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d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  <m:r>
                                <m:t>k</m:t>
                              </m:r>
                              <m:r>
                                <m:t>s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u</m:t>
                              </m:r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d</m:t>
                              </m:r>
                            </m:sup>
                          </m:sSubSup>
                        </m:e>
                      </m:d>
                    </m:e>
                  </m:nary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i"/>
                    </m:rPr>
                    <m:t>U</m:t>
                  </m:r>
                  <m:r>
                    <m:rPr>
                      <m:sty m:val="i"/>
                    </m:rPr>
                    <m:t>C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i"/>
            </m:rPr>
            <m:t>P</m:t>
          </m:r>
          <m:r>
            <m:rPr>
              <m:sty m:val="i"/>
            </m:rPr>
            <m:t>W</m:t>
          </m:r>
          <m:r>
            <m:rPr>
              <m:sty m:val="i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This is the form implemented in the MCBOMs Python module</w:t>
      </w:r>
      <w:r>
        <w:t xml:space="preserve"> </w:t>
      </w:r>
      <w:r>
        <w:rPr>
          <w:rStyle w:val="VerbatimChar"/>
        </w:rPr>
        <w:t xml:space="preserve">mcboms.benefits.safety</w:t>
      </w:r>
      <w:r>
        <w:t xml:space="preserve">. Time-varying expectations (for traffic growth</w:t>
      </w:r>
      <w:r>
        <w:t xml:space="preserve"> </w:t>
      </w:r>
      <w:r>
        <w:t xml:space="preserve">or effectiveness decay) are supported by an alternative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safety_benefit_time_varying</w:t>
      </w:r>
      <w:r>
        <w:t xml:space="preserve">) but are not exercised in the Task 4</w:t>
      </w:r>
      <w:r>
        <w:t xml:space="preserve"> </w:t>
      </w:r>
      <w:r>
        <w:t xml:space="preserve">prototype.</w:t>
      </w:r>
    </w:p>
    <w:bookmarkEnd w:id="64"/>
    <w:bookmarkStart w:id="65" w:name="Xa22ad5d91843643b27f6b297ab091a16aa3e465"/>
    <w:p>
      <w:pPr>
        <w:pStyle w:val="Heading2"/>
      </w:pPr>
      <w:r>
        <w:t xml:space="preserve">Source of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for the Prototype</w:t>
      </w:r>
    </w:p>
    <w:p>
      <w:pPr>
        <w:pStyle w:val="FirstParagraph"/>
      </w:pPr>
      <w:r>
        <w:t xml:space="preserve">For the Task 4 prototype, the no-build expected crash count</w:t>
      </w:r>
      <w:r>
        <w:t xml:space="preserve"> </w:t>
      </w:r>
      <m:oMath>
        <m:sSubSup>
          <m:e>
            <m:r>
              <m:t>E</m:t>
            </m:r>
          </m:e>
          <m:sub>
            <m:r>
              <m:t>i</m:t>
            </m:r>
            <m:r>
              <m:t>k</m:t>
            </m:r>
            <m:r>
              <m:t>s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bSup>
      </m:oMath>
      <w:r>
        <w:t xml:space="preserve"> </w:t>
      </w:r>
      <w:r>
        <w:t xml:space="preserve">is drawn directly from observed crash counts (typically a</w:t>
      </w:r>
      <w:r>
        <w:t xml:space="preserve"> </w:t>
      </w:r>
      <w:r>
        <w:t xml:space="preserve">3- to 5-year crash history annualized). This convention matches:</w:t>
      </w:r>
    </w:p>
    <w:p>
      <w:pPr>
        <w:numPr>
          <w:ilvl w:val="0"/>
          <w:numId w:val="1010"/>
        </w:numPr>
      </w:pPr>
      <w:r>
        <w:t xml:space="preserve">Banihashemi (2007), who explicitly states:</w:t>
      </w:r>
      <w:r>
        <w:t xml:space="preserve"> </w:t>
      </w:r>
      <w:r>
        <w:t xml:space="preserve">“</w:t>
      </w:r>
      <w:r>
        <w:t xml:space="preserve">This optimization model</w:t>
      </w:r>
      <w:r>
        <w:t xml:space="preserve"> </w:t>
      </w:r>
      <w:r>
        <w:t xml:space="preserve">is for cases in which the EB procedure is not appropriate or there are</w:t>
      </w:r>
      <w:r>
        <w:t xml:space="preserve"> </w:t>
      </w:r>
      <w:r>
        <w:t xml:space="preserve">not enough crash data to support this process</w:t>
      </w:r>
      <w:r>
        <w:t xml:space="preserve">”</w:t>
      </w:r>
      <w:r>
        <w:t xml:space="preserve"> </w:t>
      </w:r>
      <w:r>
        <w:t xml:space="preserve">(page 6).</w:t>
      </w:r>
    </w:p>
    <w:p>
      <w:pPr>
        <w:numPr>
          <w:ilvl w:val="0"/>
          <w:numId w:val="1010"/>
        </w:numPr>
      </w:pPr>
      <w:r>
        <w:t xml:space="preserve">Harwood (2003), who uses observed crash counts subdivided by default</w:t>
      </w:r>
      <w:r>
        <w:t xml:space="preserve"> </w:t>
      </w:r>
      <w:r>
        <w:t xml:space="preserve">severity proportions (page 4).</w:t>
      </w:r>
    </w:p>
    <w:p>
      <w:pPr>
        <w:numPr>
          <w:ilvl w:val="0"/>
          <w:numId w:val="1010"/>
        </w:numPr>
      </w:pPr>
      <w:r>
        <w:t xml:space="preserve">The parallel data-curation BCA spreadsheet developed in Task 4, which</w:t>
      </w:r>
      <w:r>
        <w:t xml:space="preserve"> </w:t>
      </w:r>
      <w:r>
        <w:t xml:space="preserve">uses observed crashes directly.</w:t>
      </w:r>
    </w:p>
    <w:p>
      <w:pPr>
        <w:pStyle w:val="FirstParagraph"/>
      </w:pPr>
      <w:r>
        <w:t xml:space="preserve">Empirical Bayes adjustment of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per Hauer (1997) is a documented</w:t>
      </w:r>
      <w:r>
        <w:t xml:space="preserve"> </w:t>
      </w:r>
      <w:r>
        <w:t xml:space="preserve">methodological option for implementations with adequate crash history data.</w:t>
      </w:r>
      <w:r>
        <w:t xml:space="preserve"> </w:t>
      </w:r>
      <w:r>
        <w:t xml:space="preserve">EB adjustment, when applied, operates as a preprocessing step that produces</w:t>
      </w:r>
      <w:r>
        <w:t xml:space="preserve"> </w:t>
      </w:r>
      <w:r>
        <w:t xml:space="preserve">an EB-adjusted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p>
      </m:oMath>
      <w:r>
        <w:t xml:space="preserve"> </w:t>
      </w:r>
      <w:r>
        <w:t xml:space="preserve">consumed unchanged by</w:t>
      </w:r>
      <w:r>
        <w:t xml:space="preserve"> </w:t>
      </w:r>
      <w:r>
        <w:t xml:space="preserve">Equation </w:t>
      </w:r>
      <w:hyperlink w:anchor="eq:safety-benefit">
        <w:r>
          <w:rPr>
            <w:rStyle w:val="Hyperlink"/>
          </w:rPr>
          <w:t xml:space="preserve">[eq:safety-benefit]</w:t>
        </w:r>
      </w:hyperlink>
      <w:r>
        <w:t xml:space="preserve">. The MCBOMs framework neither requires nor</w:t>
      </w:r>
      <w:r>
        <w:t xml:space="preserve"> </w:t>
      </w:r>
      <w:r>
        <w:t xml:space="preserve">forbids EB adjustment; it is a deployment-time choice.</w:t>
      </w:r>
    </w:p>
    <w:bookmarkEnd w:id="65"/>
    <w:bookmarkStart w:id="66" w:name="Xb0f6e38b8f404ee42301144b3153a33eca2ef2d"/>
    <w:p>
      <w:pPr>
        <w:pStyle w:val="Heading2"/>
      </w:pPr>
      <w:r>
        <w:t xml:space="preserve">Connection to the Optimization Decision Variable</w:t>
      </w:r>
    </w:p>
    <w:p>
      <w:pPr>
        <w:pStyle w:val="FirstParagraph"/>
      </w:pPr>
      <w:r>
        <w:t xml:space="preserve">The safety benefit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</m:oMath>
      <w:r>
        <w:t xml:space="preserve"> </w:t>
      </w:r>
      <w:r>
        <w:t xml:space="preserve">defined in Equation </w:t>
      </w:r>
      <w:hyperlink w:anchor="eq:safety-benefit">
        <w:r>
          <w:rPr>
            <w:rStyle w:val="Hyperlink"/>
          </w:rPr>
          <w:t xml:space="preserve">[eq:safety-benefit]</w:t>
        </w:r>
      </w:hyperlink>
      <w:r>
        <w:t xml:space="preserve"> </w:t>
      </w:r>
      <w:r>
        <w:t xml:space="preserve">is computed during preprocessing for every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every project</w:t>
      </w:r>
      <w:r>
        <w:t xml:space="preserve"> </w:t>
      </w:r>
      <m:oMath>
        <m:r>
          <m:t>i</m:t>
        </m:r>
      </m:oMath>
      <w:r>
        <w:t xml:space="preserve">. The optimizer’s objective function</w:t>
      </w:r>
      <w:r>
        <w:t xml:space="preserve"> </w:t>
      </w:r>
      <w:r>
        <w:t xml:space="preserve">(Equation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) multiplies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</m:oMath>
      <w:r>
        <w:t xml:space="preserve"> </w:t>
      </w:r>
      <w:r>
        <w:t xml:space="preserve">by the binary</w:t>
      </w:r>
      <w:r>
        <w:t xml:space="preserve"> </w:t>
      </w:r>
      <w:r>
        <w:t xml:space="preserve">decision variable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ensuring that benefits are credited only when an</w:t>
      </w:r>
      <w:r>
        <w:t xml:space="preserve"> </w:t>
      </w:r>
      <w:r>
        <w:t xml:space="preserve">alternative is actually selected.</w:t>
      </w:r>
    </w:p>
    <w:p>
      <w:pPr>
        <w:pStyle w:val="BodyText"/>
      </w:pPr>
      <w:r>
        <w:t xml:space="preserve">The expected crash count that materializes after the optimization completes</w:t>
      </w:r>
      <w:r>
        <w:t xml:space="preserve"> </w:t>
      </w:r>
      <w:r>
        <w:t xml:space="preserve">is given by the gating identity: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i</m:t>
              </m:r>
              <m:r>
                <m:t>k</m:t>
              </m:r>
              <m:r>
                <m:t>s</m:t>
              </m:r>
            </m:sub>
            <m:su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d>
          <m:sSubSup>
            <m:e>
              <m:r>
                <m:t>E</m:t>
              </m:r>
            </m:e>
            <m:sub>
              <m:r>
                <m:t>i</m:t>
              </m:r>
              <m:r>
                <m:t>k</m:t>
              </m:r>
              <m:r>
                <m:t>s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t> </m:t>
          </m:r>
          <m:r>
            <m:rPr>
              <m:sty m:val="p"/>
            </m:rPr>
            <m:t>+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sSubSup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s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≤</m:t>
        </m:r>
        <m:r>
          <m:t>1</m:t>
        </m:r>
      </m:oMath>
      <w:r>
        <w:t xml:space="preserve">. This identity is included</w:t>
      </w:r>
      <w:r>
        <w:t xml:space="preserve"> </w:t>
      </w:r>
      <w:r>
        <w:t xml:space="preserve">for expository completeness; it is not needed in computation, since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</m:oMath>
      <w:r>
        <w:t xml:space="preserve"> </w:t>
      </w:r>
      <w:r>
        <w:t xml:space="preserve">is precomputed and the optimizer operates on</w:t>
      </w:r>
      <w:r>
        <w:t xml:space="preserve"> </w:t>
      </w:r>
      <w:r>
        <w:t xml:space="preserve">Equation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 </w:t>
      </w:r>
      <w:r>
        <w:t xml:space="preserve">directly.</w:t>
      </w:r>
    </w:p>
    <w:bookmarkEnd w:id="66"/>
    <w:bookmarkStart w:id="71" w:name="sec:safety-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t xml:space="preserve">To illustrate the application of Equation </w:t>
      </w:r>
      <w:hyperlink w:anchor="eq:safety-benefit-pwf">
        <w:r>
          <w:rPr>
            <w:rStyle w:val="Hyperlink"/>
          </w:rPr>
          <w:t xml:space="preserve">[eq:safety-benefit-pwf]</w:t>
        </w:r>
      </w:hyperlink>
      <w:r>
        <w:t xml:space="preserve">,</w:t>
      </w:r>
      <w:r>
        <w:t xml:space="preserve"> </w:t>
      </w:r>
      <w:r>
        <w:t xml:space="preserve">consider a single rural two-lane segment with the following characteristics:</w:t>
      </w:r>
    </w:p>
    <w:p>
      <w:pPr>
        <w:numPr>
          <w:ilvl w:val="0"/>
          <w:numId w:val="1011"/>
        </w:numPr>
      </w:pPr>
      <w:r>
        <w:t xml:space="preserve">Segment length: 5 miles</w:t>
      </w:r>
    </w:p>
    <w:p>
      <w:pPr>
        <w:numPr>
          <w:ilvl w:val="0"/>
          <w:numId w:val="1011"/>
        </w:numPr>
      </w:pPr>
      <w:r>
        <w:t xml:space="preserve">AADT: 5</w:t>
      </w:r>
      <w:r>
        <w:t xml:space="preserve">,</w:t>
      </w:r>
      <w:r>
        <w:t xml:space="preserve">000 vehicles per day</w:t>
      </w:r>
    </w:p>
    <w:p>
      <w:pPr>
        <w:numPr>
          <w:ilvl w:val="0"/>
          <w:numId w:val="1011"/>
        </w:numPr>
      </w:pPr>
      <w:r>
        <w:t xml:space="preserve">Observed annual crash frequency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d</m:t>
            </m:r>
          </m:sup>
        </m:sSup>
        <m:r>
          <m:rPr>
            <m:sty m:val="p"/>
          </m:rPr>
          <m:t>=</m:t>
        </m:r>
        <m:r>
          <m:t>6.0</m:t>
        </m:r>
      </m:oMath>
      <w:r>
        <w:t xml:space="preserve"> </w:t>
      </w:r>
      <w:r>
        <w:t xml:space="preserve">crashes per year</w:t>
      </w:r>
    </w:p>
    <w:p>
      <w:pPr>
        <w:numPr>
          <w:ilvl w:val="0"/>
          <w:numId w:val="1011"/>
        </w:numPr>
      </w:pPr>
      <w:r>
        <w:t xml:space="preserve">Severity distribution (from observed crash history):</w:t>
      </w:r>
      <w:r>
        <w:t xml:space="preserve"> </w:t>
      </w:r>
      <w:r>
        <w:t xml:space="preserve">1.3% K, 6.5% A, 9.5% B, 11.7% C, 71.0% O</w:t>
      </w:r>
    </w:p>
    <w:p>
      <w:pPr>
        <w:numPr>
          <w:ilvl w:val="0"/>
          <w:numId w:val="1011"/>
        </w:numPr>
      </w:pPr>
      <w:r>
        <w:t xml:space="preserve">Proposed treatment: lane widening from 10 ft to 12 ft, with a single</w:t>
      </w:r>
      <w:r>
        <w:t xml:space="preserve"> </w:t>
      </w:r>
      <w:r>
        <w:t xml:space="preserve">CMF of</w:t>
      </w:r>
      <w:r>
        <w:t xml:space="preserve"> </w:t>
      </w:r>
      <m:oMath>
        <m:r>
          <m:t>0.88</m:t>
        </m:r>
      </m:oMath>
      <w:r>
        <w:t xml:space="preserve"> </w:t>
      </w:r>
      <w:r>
        <w:t xml:space="preserve">applied uniformly across all severities</w:t>
      </w:r>
    </w:p>
    <w:p>
      <w:pPr>
        <w:numPr>
          <w:ilvl w:val="0"/>
          <w:numId w:val="1011"/>
        </w:numPr>
      </w:pPr>
      <w:r>
        <w:t xml:space="preserve">Discount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0.07</m:t>
        </m:r>
      </m:oMath>
      <w:r>
        <w:t xml:space="preserve">, analysis horizon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years</w:t>
      </w:r>
    </w:p>
    <w:bookmarkStart w:id="67" w:name="Xaa60b19afd8078fa24232fb17407f003e277c7f"/>
    <w:p>
      <w:pPr>
        <w:pStyle w:val="Heading4"/>
      </w:pPr>
      <w:r>
        <w:t xml:space="preserve">Step 1: Disaggregate observed crashes by severity.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0.078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0.390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0.570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0.702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4.260</m:t>
          </m:r>
        </m:oMath>
      </m:oMathPara>
    </w:p>
    <w:p>
      <w:pPr>
        <w:pStyle w:val="FirstParagraph"/>
      </w:pPr>
      <w:r>
        <w:t xml:space="preserve">(crashes per year)</w:t>
      </w:r>
    </w:p>
    <w:bookmarkEnd w:id="67"/>
    <w:bookmarkStart w:id="68" w:name="Xb59374c43dc34f90d16fabf44082e9b08887542"/>
    <w:p>
      <w:pPr>
        <w:pStyle w:val="Heading4"/>
      </w:pPr>
      <w:r>
        <w:t xml:space="preserve">Step 2: Apply the CMF to obtain build-condition expected crashes.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i"/>
          </m:rPr>
          <m:t>C</m:t>
        </m:r>
        <m:r>
          <m:rPr>
            <m:sty m:val="i"/>
          </m:rPr>
          <m:t>M</m:t>
        </m:r>
        <m:r>
          <m:rPr>
            <m:sty m:val="i"/>
          </m:rPr>
          <m:t>F</m:t>
        </m:r>
        <m:r>
          <m:rPr>
            <m:sty m:val="p"/>
          </m:rPr>
          <m:t>=</m:t>
        </m:r>
        <m:r>
          <m:t>0.88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0.0686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0.3432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0.5016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0.6178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3.7488</m:t>
          </m:r>
        </m:oMath>
      </m:oMathPara>
    </w:p>
    <w:bookmarkEnd w:id="68"/>
    <w:bookmarkStart w:id="69" w:name="Xb7ccb2f3262a95a1e49aa0d763f2e7381a3631f"/>
    <w:p>
      <w:pPr>
        <w:pStyle w:val="Heading4"/>
      </w:pPr>
      <w:r>
        <w:t xml:space="preserve">Step 3: Compute annual benefit (sum over severity).</w:t>
      </w:r>
    </w:p>
    <w:p>
      <w:pPr>
        <w:pStyle w:val="FirstParagraph"/>
      </w:pPr>
      <w:r>
        <w:t xml:space="preserve">The reduction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F</m:t>
            </m:r>
          </m:e>
        </m:d>
        <m:r>
          <m:rPr>
            <m:sty m:val="p"/>
          </m:rPr>
          <m:t>=</m:t>
        </m:r>
        <m:r>
          <m:t>0.12</m:t>
        </m:r>
      </m:oMath>
      <w:r>
        <w:t xml:space="preserve"> </w:t>
      </w:r>
      <w:r>
        <w:t xml:space="preserve">of each severity bin. Multiplying by the</w:t>
      </w:r>
      <w:r>
        <w:t xml:space="preserve"> </w:t>
      </w:r>
      <w:r>
        <w:t xml:space="preserve">USDOT BCA May 2025 unit costs: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Annual safety benefit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0.12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0.078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$</m:t>
                    </m:r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200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0.12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0.390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$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700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0.12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0.570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$</m:t>
                    </m:r>
                    <m:r>
                      <m:t>246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900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0.12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0.702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$</m:t>
                    </m:r>
                    <m:r>
                      <m:t>118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000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0.12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4.260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$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300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rPr>
                    <m:sty m:val="p"/>
                  </m:rPr>
                  <m:t>$</m:t>
                </m:r>
                <m:r>
                  <m:t>123</m:t>
                </m:r>
                <m:r>
                  <m:rPr>
                    <m:sty m:val="p"/>
                  </m:rPr>
                  <m:t>,</m:t>
                </m:r>
                <m:r>
                  <m:t>552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$</m:t>
                </m:r>
                <m:r>
                  <m:t>58</m:t>
                </m:r>
                <m:r>
                  <m:rPr>
                    <m:sty m:val="p"/>
                  </m:rPr>
                  <m:t>,</m:t>
                </m:r>
                <m:r>
                  <m:t>720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$</m:t>
                </m:r>
                <m:r>
                  <m:t>16</m:t>
                </m:r>
                <m:r>
                  <m:rPr>
                    <m:sty m:val="p"/>
                  </m:rPr>
                  <m:t>,</m:t>
                </m:r>
                <m:r>
                  <m:t>888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$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940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$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709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rPr>
                    <m:sty m:val="p"/>
                  </m:rPr>
                  <m:t>$</m:t>
                </m:r>
                <m:r>
                  <m:t>211</m:t>
                </m:r>
                <m:r>
                  <m:rPr>
                    <m:sty m:val="p"/>
                  </m:rPr>
                  <m:t>,</m:t>
                </m:r>
                <m:r>
                  <m:t>809</m:t>
                </m:r>
                <m:r>
                  <m:t> </m:t>
                </m:r>
                <m:r>
                  <m:rPr>
                    <m:nor/>
                    <m:sty m:val="p"/>
                  </m:rPr>
                  <m:t>per year</m:t>
                </m:r>
              </m:e>
            </m:mr>
          </m:m>
        </m:oMath>
      </m:oMathPara>
    </w:p>
    <w:bookmarkEnd w:id="69"/>
    <w:bookmarkStart w:id="70" w:name="step-4-convert-to-present-value."/>
    <w:p>
      <w:pPr>
        <w:pStyle w:val="Heading4"/>
      </w:pPr>
      <w:r>
        <w:t xml:space="preserve">Step 4: Convert to present value.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211</m:t>
          </m:r>
          <m:r>
            <m:rPr>
              <m:sty m:val="p"/>
            </m:rPr>
            <m:t>,</m:t>
          </m:r>
          <m:r>
            <m:t>809</m:t>
          </m:r>
          <m:r>
            <m:rPr>
              <m:sty m:val="p"/>
            </m:rPr>
            <m:t>×</m:t>
          </m:r>
          <m:r>
            <m:rPr>
              <m:sty m:val="i"/>
            </m:rPr>
            <m:t>P</m:t>
          </m:r>
          <m:r>
            <m:rPr>
              <m:sty m:val="i"/>
            </m:rPr>
            <m:t>W</m:t>
          </m:r>
          <m:r>
            <m:rPr>
              <m:sty m:val="i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0.07</m:t>
              </m:r>
              <m:r>
                <m:rPr>
                  <m:sty m:val="p"/>
                </m:rPr>
                <m:t>,</m:t>
              </m:r>
              <m:r>
                <m:t>20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211</m:t>
          </m:r>
          <m:r>
            <m:rPr>
              <m:sty m:val="p"/>
            </m:rPr>
            <m:t>,</m:t>
          </m:r>
          <m:r>
            <m:t>809</m:t>
          </m:r>
          <m:r>
            <m:rPr>
              <m:sty m:val="p"/>
            </m:rPr>
            <m:t>×</m:t>
          </m:r>
          <m:r>
            <m:t>10.594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2</m:t>
          </m:r>
          <m:r>
            <m:rPr>
              <m:sty m:val="p"/>
            </m:rPr>
            <m:t>,</m:t>
          </m:r>
          <m:r>
            <m:t>243</m:t>
          </m:r>
          <m:r>
            <m:rPr>
              <m:sty m:val="p"/>
            </m:rPr>
            <m:t>,</m:t>
          </m:r>
          <m:r>
            <m:t>913</m:t>
          </m:r>
        </m:oMath>
      </m:oMathPara>
    </w:p>
    <w:p>
      <w:pPr>
        <w:pStyle w:val="FirstParagraph"/>
      </w:pPr>
      <w:r>
        <w:t xml:space="preserve">This worked example uses the framework default unit crash costs (USDOT BCA</w:t>
      </w:r>
      <w:r>
        <w:t xml:space="preserve"> </w:t>
      </w:r>
      <w:r>
        <w:t xml:space="preserve">May 2025). The MCBOMs Python implementation reproduces this calculation</w:t>
      </w:r>
      <w:r>
        <w:t xml:space="preserve"> </w:t>
      </w:r>
      <w:r>
        <w:t xml:space="preserve">exactly; see Section </w:t>
      </w:r>
      <w:hyperlink w:anchor="sec:validation-worked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for the validation result.</w:t>
      </w:r>
    </w:p>
    <w:bookmarkEnd w:id="70"/>
    <w:bookmarkEnd w:id="71"/>
    <w:bookmarkEnd w:id="72"/>
    <w:bookmarkStart w:id="83" w:name="sec:ops"/>
    <w:p>
      <w:pPr>
        <w:pStyle w:val="Heading1"/>
      </w:pPr>
      <w:r>
        <w:t xml:space="preserve">Operational Benefit Quantification</w:t>
      </w:r>
    </w:p>
    <w:p>
      <w:pPr>
        <w:pStyle w:val="FirstParagraph"/>
      </w:pPr>
      <w:r>
        <w:t xml:space="preserve">The operational benefit module quantifies the present-value reduction in</w:t>
      </w:r>
      <w:r>
        <w:t xml:space="preserve"> </w:t>
      </w:r>
      <w:r>
        <w:t xml:space="preserve">travel time and vehicle operating costs resulting from each improvement</w:t>
      </w:r>
      <w:r>
        <w:t xml:space="preserve"> </w:t>
      </w:r>
      <w:r>
        <w:t xml:space="preserve">alternative. The formulation follows USDOT BCA Guidance (May 2025,</w:t>
      </w:r>
      <w:r>
        <w:t xml:space="preserve"> </w:t>
      </w:r>
      <w:r>
        <w:t xml:space="preserve">Section 5.2 and Appendix A Tables A-2 and A-3) and generalizes the</w:t>
      </w:r>
      <w:r>
        <w:t xml:space="preserve"> </w:t>
      </w:r>
      <w:r>
        <w:t xml:space="preserve">operational-benefit treatments in Harwood (2003)’s PTOB term and</w:t>
      </w:r>
      <w:r>
        <w:t xml:space="preserve"> </w:t>
      </w:r>
      <w:r>
        <w:t xml:space="preserve">Banihashemi (2007)’s delay-cost term, both of which are recovered as special</w:t>
      </w:r>
      <w:r>
        <w:t xml:space="preserve"> </w:t>
      </w:r>
      <w:r>
        <w:t xml:space="preserve">cases of the MCBOMs formulation.</w:t>
      </w:r>
    </w:p>
    <w:bookmarkStart w:id="75" w:name="operational-benefit-equation"/>
    <w:p>
      <w:pPr>
        <w:pStyle w:val="Heading2"/>
      </w:pPr>
      <w:r>
        <w:t xml:space="preserve">Operational Benefit Equation</w:t>
      </w:r>
    </w:p>
    <w:p>
      <w:pPr>
        <w:pStyle w:val="FirstParagraph"/>
      </w:pPr>
      <w:r>
        <w:t xml:space="preserve">The present-value operational benefit for project</w:t>
      </w:r>
      <w:r>
        <w:t xml:space="preserve"> </w:t>
      </w:r>
      <m:oMath>
        <m:r>
          <m:t>i</m:t>
        </m:r>
      </m:oMath>
      <w:r>
        <w:t xml:space="preserve">, alternative</w:t>
      </w:r>
      <w:r>
        <w:t xml:space="preserve"> </w:t>
      </w:r>
      <m:oMath>
        <m:r>
          <m:t>j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  <m:scr m:val="script"/>
                            </m:rPr>
                            <m:t>V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t>Δ</m:t>
                          </m:r>
                        </m:e>
                      </m:nary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k</m:t>
                          </m:r>
                          <m:r>
                            <m:t>v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i"/>
                            </m:rPr>
                            <m:t>D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k</m:t>
                          </m:r>
                          <m:r>
                            <m:t>v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r>
                        <m:t>365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O</m:t>
                          </m:r>
                          <m:r>
                            <m:rPr>
                              <m:sty m:val="i"/>
                            </m:rPr>
                            <m:t>C</m:t>
                          </m:r>
                          <m:r>
                            <m:rPr>
                              <m:sty m:val="i"/>
                            </m:rPr>
                            <m:t>C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  <m:r>
                            <m:rPr>
                              <m:sty m:val="i"/>
                            </m:rPr>
                            <m:t>O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r>
                            <m:t>v</m:t>
                          </m:r>
                        </m:sub>
                      </m:sSub>
                      <m:r>
                        <m:t> 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v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  <m:scr m:val="script"/>
                            </m:rPr>
                            <m:t>V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t>Δ</m:t>
                          </m:r>
                        </m:e>
                      </m:nary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  <m:r>
                            <m:rPr>
                              <m:sty m:val="i"/>
                            </m:rPr>
                            <m:t>O</m:t>
                          </m:r>
                          <m:r>
                            <m:rPr>
                              <m:sty m:val="i"/>
                            </m:rPr>
                            <m:t>C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k</m:t>
                          </m:r>
                          <m:r>
                            <m:t>v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>V</m:t>
                          </m:r>
                          <m:r>
                            <m:rPr>
                              <m:sty m:val="i"/>
                            </m:rPr>
                            <m:t>M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  <m:r>
                            <m:t>k</m:t>
                          </m:r>
                          <m:r>
                            <m:t>v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</m:nary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F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2"/>
        </w:numPr>
      </w:pPr>
      <m:oMath>
        <m:r>
          <m:t>Δ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v</m:t>
            </m:r>
            <m:r>
              <m:t>t</m:t>
            </m:r>
          </m:sub>
        </m:sSub>
      </m:oMath>
      <w:r>
        <w:t xml:space="preserve"> </w:t>
      </w:r>
      <w:r>
        <w:t xml:space="preserve">is the change in per-vehicle delay (hours per</w:t>
      </w:r>
      <w:r>
        <w:t xml:space="preserve"> </w:t>
      </w:r>
      <w:r>
        <w:t xml:space="preserve">vehicle), for vehicle class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segment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, attributable</w:t>
      </w:r>
      <w:r>
        <w:t xml:space="preserve"> </w:t>
      </w:r>
      <w:r>
        <w:t xml:space="preserve">to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project</w:t>
      </w:r>
      <w:r>
        <w:t xml:space="preserve"> </w:t>
      </w:r>
      <m:oMath>
        <m:r>
          <m:t>i</m:t>
        </m:r>
      </m:oMath>
      <w:r>
        <w:t xml:space="preserve">. Computed externally via Highway</w:t>
      </w:r>
      <w:r>
        <w:t xml:space="preserve"> </w:t>
      </w:r>
      <w:r>
        <w:t xml:space="preserve">Capacity Manual procedures, IHSDM, TWOPAS, or microsimulation.</w:t>
      </w:r>
    </w:p>
    <w:p>
      <w:pPr>
        <w:numPr>
          <w:ilvl w:val="0"/>
          <w:numId w:val="1012"/>
        </w:numPr>
      </w:pPr>
      <m:oMath>
        <m:sSub>
          <m:e>
            <m:r>
              <m:rPr>
                <m:sty m:val="i"/>
              </m:rPr>
              <m:t>A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T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v</m:t>
            </m:r>
            <m:r>
              <m:t>t</m:t>
            </m:r>
          </m:sub>
        </m:sSub>
      </m:oMath>
      <w:r>
        <w:t xml:space="preserve"> </w:t>
      </w:r>
      <w:r>
        <w:t xml:space="preserve">is the annual average daily traffic by vehicle class</w:t>
      </w:r>
      <w:r>
        <w:t xml:space="preserve"> </w:t>
      </w:r>
      <w:r>
        <w:t xml:space="preserve">(vehicles per day)</w:t>
      </w:r>
    </w:p>
    <w:p>
      <w:pPr>
        <w:numPr>
          <w:ilvl w:val="0"/>
          <w:numId w:val="1012"/>
        </w:numPr>
      </w:pPr>
      <m:oMath>
        <m:r>
          <m:t>365</m:t>
        </m:r>
      </m:oMath>
      <w:r>
        <w:t xml:space="preserve"> </w:t>
      </w:r>
      <w:r>
        <w:t xml:space="preserve">is the annualization factor (days per year)</w:t>
      </w:r>
    </w:p>
    <w:p>
      <w:pPr>
        <w:numPr>
          <w:ilvl w:val="0"/>
          <w:numId w:val="1012"/>
        </w:numPr>
      </w:pPr>
      <m:oMath>
        <m:sSub>
          <m:e>
            <m:r>
              <m:rPr>
                <m:sty m:val="i"/>
              </m:rPr>
              <m:t>O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average vehicle occupancy by vehicle class (persons</w:t>
      </w:r>
      <w:r>
        <w:t xml:space="preserve"> </w:t>
      </w:r>
      <w:r>
        <w:t xml:space="preserve">per vehicle), drawn from USDOT BCA Guidance Appendix A Table A-3</w:t>
      </w:r>
    </w:p>
    <w:p>
      <w:pPr>
        <w:numPr>
          <w:ilvl w:val="0"/>
          <w:numId w:val="1012"/>
        </w:numPr>
      </w:pPr>
      <m:oMath>
        <m:sSub>
          <m:e>
            <m:r>
              <m:rPr>
                <m:sty m:val="i"/>
              </m:rPr>
              <m:t>V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T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value of travel time by vehicle class ($ per</w:t>
      </w:r>
      <w:r>
        <w:t xml:space="preserve"> </w:t>
      </w:r>
      <w:r>
        <w:t xml:space="preserve">person-hour), drawn from USDOT BCA Guidance Appendix A Table A-2</w:t>
      </w:r>
    </w:p>
    <w:p>
      <w:pPr>
        <w:numPr>
          <w:ilvl w:val="0"/>
          <w:numId w:val="1012"/>
        </w:numPr>
      </w:pPr>
      <m:oMath>
        <m:r>
          <m:t>Δ</m:t>
        </m:r>
        <m:sSub>
          <m:e>
            <m:r>
              <m:rPr>
                <m:sty m:val="i"/>
              </m:rPr>
              <m:t>V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C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v</m:t>
            </m:r>
          </m:sub>
        </m:sSub>
      </m:oMath>
      <w:r>
        <w:t xml:space="preserve"> </w:t>
      </w:r>
      <w:r>
        <w:t xml:space="preserve">is the change in vehicle operating cost ($ per</w:t>
      </w:r>
      <w:r>
        <w:t xml:space="preserve"> </w:t>
      </w:r>
      <w:r>
        <w:t xml:space="preserve">vehicle-mile)</w:t>
      </w:r>
    </w:p>
    <w:p>
      <w:pPr>
        <w:numPr>
          <w:ilvl w:val="0"/>
          <w:numId w:val="1012"/>
        </w:numPr>
      </w:pPr>
      <m:oMath>
        <m:sSub>
          <m:e>
            <m:r>
              <m:rPr>
                <m:sty m:val="i"/>
              </m:rPr>
              <m:t>V</m:t>
            </m:r>
            <m:r>
              <m:rPr>
                <m:sty m:val="i"/>
              </m:rPr>
              <m:t>M</m:t>
            </m:r>
            <m:r>
              <m:rPr>
                <m:sty m:val="i"/>
              </m:rPr>
              <m:t>T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v</m:t>
            </m:r>
            <m:r>
              <m:t>t</m:t>
            </m:r>
          </m:sub>
        </m:sSub>
      </m:oMath>
      <w:r>
        <w:t xml:space="preserve"> </w:t>
      </w:r>
      <w:r>
        <w:t xml:space="preserve">is the vehicle-miles traveled per year, by segment and</w:t>
      </w:r>
      <w:r>
        <w:t xml:space="preserve"> </w:t>
      </w:r>
      <w:r>
        <w:t xml:space="preserve">vehicle class</w:t>
      </w:r>
    </w:p>
    <w:p>
      <w:pPr>
        <w:numPr>
          <w:ilvl w:val="0"/>
          <w:numId w:val="1012"/>
        </w:numPr>
      </w:pPr>
      <m:oMath>
        <m:sSub>
          <m:e>
            <m:r>
              <m:rPr>
                <m:sty m:val="i"/>
              </m:rPr>
              <m:t>D</m:t>
            </m:r>
            <m:r>
              <m:rPr>
                <m:sty m:val="i"/>
              </m:rP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discount factor from Equation </w:t>
      </w:r>
      <w:hyperlink w:anchor="eq:df">
        <w:r>
          <w:rPr>
            <w:rStyle w:val="Hyperlink"/>
          </w:rPr>
          <w:t xml:space="preserve">[eq:df]</w:t>
        </w:r>
      </w:hyperlink>
    </w:p>
    <w:p>
      <w:pPr>
        <w:numPr>
          <w:ilvl w:val="0"/>
          <w:numId w:val="1012"/>
        </w:numPr>
      </w:pPr>
      <m:oMath>
        <m:r>
          <m:rPr>
            <m:sty m:val="p"/>
            <m:scr m:val="script"/>
          </m:rPr>
          <m:t>V</m:t>
        </m:r>
      </m:oMath>
      <w:r>
        <w:t xml:space="preserve"> </w:t>
      </w:r>
      <w:r>
        <w:t xml:space="preserve">is the set of vehicle classes (e.g., light-duty</w:t>
      </w:r>
      <w:r>
        <w:t xml:space="preserve"> </w:t>
      </w:r>
      <w:r>
        <w:t xml:space="preserve">passenger, single-unit truck, combination truck)</w:t>
      </w:r>
    </w:p>
    <w:bookmarkStart w:id="73" w:name="dimensional-consistency."/>
    <w:p>
      <w:pPr>
        <w:pStyle w:val="Heading4"/>
      </w:pPr>
      <w:r>
        <w:t xml:space="preserve">Dimensional consistency.</w:t>
      </w:r>
    </w:p>
    <w:p>
      <w:pPr>
        <w:pStyle w:val="FirstParagraph"/>
      </w:pPr>
      <w:r>
        <w:t xml:space="preserve">The travel time term has units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hr</m:t>
            </m:r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veh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veh</m:t>
            </m:r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day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days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persons</m:t>
            </m:r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veh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$</m:t>
            </m:r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person-hr</m:t>
            </m:r>
          </m:e>
        </m:d>
        <m:r>
          <m:rPr>
            <m:sty m:val="p"/>
          </m:rPr>
          <m:t>=</m:t>
        </m:r>
        <m:r>
          <m:rPr>
            <m:sty m:val="p"/>
          </m:rPr>
          <m:t>$</m:t>
        </m:r>
      </m:oMath>
      <w:r>
        <w:t xml:space="preserve">.</w:t>
      </w:r>
      <w:r>
        <w:t xml:space="preserve"> </w:t>
      </w:r>
      <w:r>
        <w:t xml:space="preserve">The vehicle operating cost term has units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$</m:t>
            </m:r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veh-mi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veh-mi</m:t>
            </m:r>
          </m:e>
        </m:d>
        <m:r>
          <m:rPr>
            <m:sty m:val="p"/>
          </m:rPr>
          <m:t>=</m:t>
        </m:r>
        <m:r>
          <m:rPr>
            <m:sty m:val="p"/>
          </m:rPr>
          <m:t>$</m:t>
        </m:r>
      </m:oMath>
      <w:r>
        <w:t xml:space="preserve">.</w:t>
      </w:r>
    </w:p>
    <w:bookmarkEnd w:id="73"/>
    <w:bookmarkStart w:id="74" w:name="standard-parameter-values."/>
    <w:p>
      <w:pPr>
        <w:pStyle w:val="Heading4"/>
      </w:pPr>
      <w:r>
        <w:t xml:space="preserve">Standard parameter values.</w:t>
      </w:r>
    </w:p>
    <w:p>
      <w:pPr>
        <w:pStyle w:val="FirstParagraph"/>
      </w:pPr>
      <w:r>
        <w:t xml:space="preserve">For the Task 4 prototype, the</w:t>
      </w:r>
      <w:r>
        <w:t xml:space="preserve"> </w:t>
      </w:r>
      <w:r>
        <w:t xml:space="preserve">following USDOT BCA Guidance May 2025 values apply by default:</w:t>
      </w:r>
    </w:p>
    <w:p>
      <w:pPr>
        <w:numPr>
          <w:ilvl w:val="0"/>
          <w:numId w:val="1013"/>
        </w:numPr>
      </w:pPr>
      <m:oMath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T</m:t>
        </m:r>
      </m:oMath>
      <w:r>
        <w:t xml:space="preserve"> </w:t>
      </w:r>
      <w:r>
        <w:t xml:space="preserve">(all-purposes blend, passenger): $21.10 per person-hour</w:t>
      </w:r>
      <w:r>
        <w:t xml:space="preserve"> </w:t>
      </w:r>
      <w:r>
        <w:t xml:space="preserve">(Table A-2, page 40)</w:t>
      </w:r>
    </w:p>
    <w:p>
      <w:pPr>
        <w:numPr>
          <w:ilvl w:val="0"/>
          <w:numId w:val="1013"/>
        </w:numPr>
      </w:pPr>
      <m:oMath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i"/>
          </m:rPr>
          <m:t>C</m:t>
        </m:r>
      </m:oMath>
      <w:r>
        <w:t xml:space="preserve"> </w:t>
      </w:r>
      <w:r>
        <w:t xml:space="preserve">(passenger vehicles, all travel): 1.52 persons per vehicle</w:t>
      </w:r>
      <w:r>
        <w:t xml:space="preserve"> </w:t>
      </w:r>
      <w:r>
        <w:t xml:space="preserve">(Table A-3, page 41)</w:t>
      </w:r>
    </w:p>
    <w:p>
      <w:pPr>
        <w:numPr>
          <w:ilvl w:val="0"/>
          <w:numId w:val="1013"/>
        </w:numPr>
      </w:pPr>
      <m:oMath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C</m:t>
        </m:r>
      </m:oMath>
      <w:r>
        <w:t xml:space="preserve"> </w:t>
      </w:r>
      <w:r>
        <w:t xml:space="preserve">(light-duty vehicles): $0.56 per vehicle-mile (Table A-4,</w:t>
      </w:r>
      <w:r>
        <w:t xml:space="preserve"> </w:t>
      </w:r>
      <w:r>
        <w:t xml:space="preserve">page 41)</w:t>
      </w:r>
    </w:p>
    <w:p>
      <w:pPr>
        <w:numPr>
          <w:ilvl w:val="0"/>
          <w:numId w:val="1013"/>
        </w:numPr>
      </w:pPr>
      <m:oMath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C</m:t>
        </m:r>
      </m:oMath>
      <w:r>
        <w:t xml:space="preserve"> </w:t>
      </w:r>
      <w:r>
        <w:t xml:space="preserve">(commercial trucks): $1.27 per vehicle-mile (Table A-4)</w:t>
      </w:r>
    </w:p>
    <w:bookmarkEnd w:id="74"/>
    <w:bookmarkEnd w:id="75"/>
    <w:bookmarkStart w:id="78" w:name="X962ee3158962ccbdd4c4a2432f5b1948d661e4a"/>
    <w:p>
      <w:pPr>
        <w:pStyle w:val="Heading2"/>
      </w:pPr>
      <w:r>
        <w:t xml:space="preserve">Generalization of Harwood and Banihashemi Operational Treatments</w:t>
      </w:r>
    </w:p>
    <w:p>
      <w:pPr>
        <w:pStyle w:val="FirstParagraph"/>
      </w:pPr>
      <w:r>
        <w:t xml:space="preserve">Equation </w:t>
      </w:r>
      <w:hyperlink w:anchor="eq:ops-benefit">
        <w:r>
          <w:rPr>
            <w:rStyle w:val="Hyperlink"/>
          </w:rPr>
          <w:t xml:space="preserve">[eq:ops-benefit]</w:t>
        </w:r>
      </w:hyperlink>
      <w:r>
        <w:t xml:space="preserve"> </w:t>
      </w:r>
      <w:r>
        <w:t xml:space="preserve">generalizes the operational-benefit treatments</w:t>
      </w:r>
      <w:r>
        <w:t xml:space="preserve"> </w:t>
      </w:r>
      <w:r>
        <w:t xml:space="preserve">in the two benchmark studies; both are recovered as special cases.</w:t>
      </w:r>
    </w:p>
    <w:bookmarkStart w:id="76" w:name="harwood-2003-ptob-as-a-special-case."/>
    <w:p>
      <w:pPr>
        <w:pStyle w:val="Heading4"/>
      </w:pPr>
      <w:r>
        <w:t xml:space="preserve">Harwood (2003) PTOB as a special case.</w:t>
      </w:r>
    </w:p>
    <w:p>
      <w:pPr>
        <w:pStyle w:val="FirstParagraph"/>
      </w:pPr>
      <w:r>
        <w:t xml:space="preserve">Harwood’s</w:t>
      </w:r>
      <w:r>
        <w:t xml:space="preserve"> </w:t>
      </w:r>
      <w:r>
        <w:t xml:space="preserve">Present-value Traffic Operational Benefit (PTOB) captures the travel time</w:t>
      </w:r>
      <w:r>
        <w:t xml:space="preserve"> </w:t>
      </w:r>
      <w:r>
        <w:t xml:space="preserve">savings from a 1 mph speed increase observed after pavement resurfacing,</w:t>
      </w:r>
      <w:r>
        <w:t xml:space="preserve"> </w:t>
      </w:r>
      <w:r>
        <w:t xml:space="preserve">valued at $10.00 per hour (1994 dollars), assumed to persist for 30 months.</w:t>
      </w:r>
      <w:r>
        <w:t xml:space="preserve"> </w:t>
      </w:r>
      <w:r>
        <w:t xml:space="preserve">Setting</w:t>
      </w:r>
      <w:r>
        <w:t xml:space="preserve"> </w:t>
      </w:r>
      <m:oMath>
        <m:sSub>
          <m:e>
            <m:r>
              <m:rPr>
                <m:sty m:val="i"/>
              </m:rPr>
              <m:t>O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i"/>
              </m:rPr>
              <m:t>V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T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10.00</m:t>
        </m:r>
      </m:oMath>
      <w:r>
        <w:t xml:space="preserve">/hr,</w:t>
      </w:r>
      <w:r>
        <w:t xml:space="preserve"> </w:t>
      </w:r>
      <m:oMath>
        <m:r>
          <m:t>Δ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limiting</w:t>
      </w:r>
      <w:r>
        <w:t xml:space="preserve"> </w:t>
      </w:r>
      <w:r>
        <w:t xml:space="preserve">the temporal sum to 30 months (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years) at Harwood’s 4 percent</w:t>
      </w:r>
      <w:r>
        <w:t xml:space="preserve"> </w:t>
      </w:r>
      <w:r>
        <w:t xml:space="preserve">discount rate recovers PTOB exactly.</w:t>
      </w:r>
    </w:p>
    <w:bookmarkEnd w:id="76"/>
    <w:bookmarkStart w:id="77" w:name="X9d621b9419f98d1813234b4f01a745f1ad0e203"/>
    <w:p>
      <w:pPr>
        <w:pStyle w:val="Heading4"/>
      </w:pPr>
      <w:r>
        <w:t xml:space="preserve">Banihashemi (2007) delay cost as a special case.</w:t>
      </w:r>
    </w:p>
    <w:p>
      <w:pPr>
        <w:pStyle w:val="FirstParagraph"/>
      </w:pPr>
      <w:r>
        <w:t xml:space="preserve">Banihashemi minimizes the sum of crash and delay costs, with delay valued at</w:t>
      </w:r>
      <w:r>
        <w:t xml:space="preserve"> </w:t>
      </w:r>
      <w:r>
        <w:t xml:space="preserve">$12.50 per vehicle-hour (page 109), computed as</w:t>
      </w:r>
      <w:r>
        <w:t xml:space="preserve"> </w:t>
      </w:r>
      <m:oMath>
        <m:r>
          <m:rPr>
            <m:sty m:val="p"/>
          </m:rPr>
          <m:t>$</m:t>
        </m:r>
        <m:r>
          <m:t>10</m:t>
        </m:r>
        <m:r>
          <m:rPr>
            <m:sty m:val="p"/>
          </m:rPr>
          <m:t>/</m:t>
        </m:r>
        <m:r>
          <m:rPr>
            <m:nor/>
            <m:sty m:val="p"/>
          </m:rPr>
          <m:t>hr</m:t>
        </m:r>
        <m:r>
          <m:rPr>
            <m:sty m:val="p"/>
          </m:rPr>
          <m:t>×</m:t>
        </m:r>
        <m:r>
          <m:t>1.25</m:t>
        </m:r>
      </m:oMath>
      <w:r>
        <w:t xml:space="preserve"> </w:t>
      </w:r>
      <w:r>
        <w:t xml:space="preserve">persons per vehicle (occupancy folded into a</w:t>
      </w:r>
      <w:r>
        <w:t xml:space="preserve"> </w:t>
      </w:r>
      <w:r>
        <w:t xml:space="preserve">single rate). Delay times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computed externally in vehicle-hours per</w:t>
      </w:r>
      <w:r>
        <w:t xml:space="preserve"> </w:t>
      </w:r>
      <w:r>
        <w:t xml:space="preserve">year using IHSDM/TWOPAS for highway segments and Highway Capacity Manual</w:t>
      </w:r>
      <w:r>
        <w:t xml:space="preserve"> </w:t>
      </w:r>
      <w:r>
        <w:t xml:space="preserve">procedures (Equations A30-11 and A30-15) for intersections. Setting</w:t>
      </w:r>
      <w:r>
        <w:t xml:space="preserve"> </w:t>
      </w:r>
      <m:oMath>
        <m:sSub>
          <m:e>
            <m:r>
              <m:rPr>
                <m:sty m:val="i"/>
              </m:rPr>
              <m:t>O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i"/>
              </m:rPr>
              <m:t>V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T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12.50</m:t>
        </m:r>
      </m:oMath>
      <w:r>
        <w:t xml:space="preserve">/veh-hr (a single combined rate),</w:t>
      </w:r>
      <w:r>
        <w:t xml:space="preserve"> </w:t>
      </w:r>
      <m:oMath>
        <m:r>
          <m:t>Δ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treating</w:t>
      </w:r>
      <w:r>
        <w:t xml:space="preserve"> </w:t>
      </w:r>
      <m:oMath>
        <m:r>
          <m:t>Δ</m:t>
        </m:r>
        <m:r>
          <m:t>d</m:t>
        </m:r>
        <m:r>
          <m:rPr>
            <m:sty m:val="p"/>
          </m:rPr>
          <m:t>⋅</m:t>
        </m:r>
        <m:r>
          <m:rPr>
            <m:sty m:val="i"/>
          </m:rPr>
          <m:t>A</m:t>
        </m:r>
        <m:r>
          <m:rPr>
            <m:sty m:val="i"/>
          </m:rPr>
          <m:t>A</m:t>
        </m:r>
        <m:r>
          <m:rPr>
            <m:sty m:val="i"/>
          </m:rPr>
          <m:t>D</m:t>
        </m:r>
        <m:r>
          <m:rPr>
            <m:sty m:val="i"/>
          </m:rPr>
          <m:t>T</m:t>
        </m:r>
        <m:r>
          <m:rPr>
            <m:sty m:val="p"/>
          </m:rPr>
          <m:t>⋅</m:t>
        </m:r>
        <m:r>
          <m:t>365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Banihashemi’s annual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recovers his delay cost term exactly.</w:t>
      </w:r>
    </w:p>
    <w:p>
      <w:pPr>
        <w:pStyle w:val="BodyText"/>
      </w:pPr>
      <w:r>
        <w:t xml:space="preserve">This generalization allows the MCBOMs framework to be applied across a wider</w:t>
      </w:r>
      <w:r>
        <w:t xml:space="preserve"> </w:t>
      </w:r>
      <w:r>
        <w:t xml:space="preserve">range of project types than either benchmark addresses individually, while</w:t>
      </w:r>
      <w:r>
        <w:t xml:space="preserve"> </w:t>
      </w:r>
      <w:r>
        <w:t xml:space="preserve">remaining consistent with both formulations as special cases.</w:t>
      </w:r>
    </w:p>
    <w:bookmarkEnd w:id="77"/>
    <w:bookmarkEnd w:id="78"/>
    <w:bookmarkStart w:id="8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t xml:space="preserve">To illustrate the application of Equation </w:t>
      </w:r>
      <w:hyperlink w:anchor="eq:ops-benefit">
        <w:r>
          <w:rPr>
            <w:rStyle w:val="Hyperlink"/>
          </w:rPr>
          <w:t xml:space="preserve">[eq:ops-benefit]</w:t>
        </w:r>
      </w:hyperlink>
      <w:r>
        <w:t xml:space="preserve">, consider a</w:t>
      </w:r>
      <w:r>
        <w:t xml:space="preserve"> </w:t>
      </w:r>
      <w:r>
        <w:t xml:space="preserve">single highway segment with the following characteristics:</w:t>
      </w:r>
    </w:p>
    <w:p>
      <w:pPr>
        <w:numPr>
          <w:ilvl w:val="0"/>
          <w:numId w:val="1014"/>
        </w:numPr>
      </w:pPr>
      <w:r>
        <w:t xml:space="preserve">Segment length: 5 miles</w:t>
      </w:r>
    </w:p>
    <w:p>
      <w:pPr>
        <w:numPr>
          <w:ilvl w:val="0"/>
          <w:numId w:val="1014"/>
        </w:numPr>
      </w:pPr>
      <w:r>
        <w:t xml:space="preserve">AADT: 1</w:t>
      </w:r>
      <w:r>
        <w:t xml:space="preserve">,</w:t>
      </w:r>
      <w:r>
        <w:t xml:space="preserve">500 vehicles per day (passenger vehicles only)</w:t>
      </w:r>
    </w:p>
    <w:p>
      <w:pPr>
        <w:numPr>
          <w:ilvl w:val="0"/>
          <w:numId w:val="1014"/>
        </w:numPr>
      </w:pPr>
      <w:r>
        <w:t xml:space="preserve">Per-vehicle delay reduction:</w:t>
      </w:r>
      <w:r>
        <w:t xml:space="preserve"> </w:t>
      </w:r>
      <m:oMath>
        <m:r>
          <m:t>Δ</m:t>
        </m:r>
        <m:r>
          <m:t>d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seconds per vehicle</w:t>
      </w:r>
      <w:r>
        <w:t xml:space="preserve"> </w:t>
      </w:r>
      <m:oMath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0.00472</m:t>
        </m:r>
      </m:oMath>
      <w:r>
        <w:t xml:space="preserve"> </w:t>
      </w:r>
      <w:r>
        <w:t xml:space="preserve">hr per vehicle</w:t>
      </w:r>
    </w:p>
    <w:p>
      <w:pPr>
        <w:numPr>
          <w:ilvl w:val="0"/>
          <w:numId w:val="1014"/>
        </w:numPr>
      </w:pPr>
      <w:r>
        <w:t xml:space="preserve">Average occupancy</w:t>
      </w:r>
      <w:r>
        <w:t xml:space="preserve"> </w:t>
      </w:r>
      <m:oMath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t>1.52</m:t>
        </m:r>
      </m:oMath>
      <w:r>
        <w:t xml:space="preserve"> </w:t>
      </w:r>
      <w:r>
        <w:t xml:space="preserve">persons per vehicle</w:t>
      </w:r>
    </w:p>
    <w:p>
      <w:pPr>
        <w:numPr>
          <w:ilvl w:val="0"/>
          <w:numId w:val="1014"/>
        </w:numPr>
      </w:pPr>
      <w:r>
        <w:t xml:space="preserve">Value of travel time</w:t>
      </w:r>
      <w:r>
        <w:t xml:space="preserve"> </w:t>
      </w:r>
      <m:oMath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T</m:t>
        </m:r>
        <m:r>
          <m:rPr>
            <m:sty m:val="p"/>
          </m:rPr>
          <m:t>=</m:t>
        </m:r>
        <m:r>
          <m:rPr>
            <m:sty m:val="p"/>
          </m:rPr>
          <m:t>$</m:t>
        </m:r>
        <m:r>
          <m:t>21.10</m:t>
        </m:r>
      </m:oMath>
      <w:r>
        <w:t xml:space="preserve"> </w:t>
      </w:r>
      <w:r>
        <w:t xml:space="preserve">per person-hour (USDOT BCA</w:t>
      </w:r>
      <w:r>
        <w:t xml:space="preserve"> </w:t>
      </w:r>
      <w:r>
        <w:t xml:space="preserve">Guidance May 2025, all-purposes)</w:t>
      </w:r>
    </w:p>
    <w:p>
      <w:pPr>
        <w:numPr>
          <w:ilvl w:val="0"/>
          <w:numId w:val="1014"/>
        </w:numPr>
      </w:pPr>
      <w:r>
        <w:t xml:space="preserve">Vehicle operating cost change</w:t>
      </w:r>
      <w:r>
        <w:t xml:space="preserve"> </w:t>
      </w:r>
      <m:oMath>
        <m:r>
          <m:t>Δ</m:t>
        </m:r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change in</w:t>
      </w:r>
      <w:r>
        <w:t xml:space="preserve"> </w:t>
      </w:r>
      <w:r>
        <w:t xml:space="preserve">operating cost; the alternative reduces delay only)</w:t>
      </w:r>
    </w:p>
    <w:p>
      <w:pPr>
        <w:numPr>
          <w:ilvl w:val="0"/>
          <w:numId w:val="1014"/>
        </w:numPr>
      </w:pPr>
      <w:r>
        <w:t xml:space="preserve">Discount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0.07</m:t>
        </m:r>
      </m:oMath>
      <w:r>
        <w:t xml:space="preserve">, analysis horizon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years</w:t>
      </w:r>
    </w:p>
    <w:bookmarkStart w:id="79" w:name="Xdda808acd030b217290449d958fd94db4aa7306"/>
    <w:p>
      <w:pPr>
        <w:pStyle w:val="Heading4"/>
      </w:pPr>
      <w:r>
        <w:t xml:space="preserve">Step 1: Compute annual person-hours of delay reduction.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Annual person-hours saved</m:t>
                </m:r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t>Δ</m:t>
                </m:r>
                <m:r>
                  <m:t>d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T</m:t>
                </m:r>
                <m:r>
                  <m:rPr>
                    <m:sty m:val="p"/>
                  </m:rPr>
                  <m:t>⋅</m:t>
                </m:r>
                <m:r>
                  <m:t>365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C</m:t>
                </m:r>
                <m:r>
                  <m:rPr>
                    <m:sty m:val="i"/>
                  </m:rPr>
                  <m:t>C</m:t>
                </m:r>
              </m:e>
            </m:mr>
            <m:mr>
              <m:e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t>0.004722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500</m:t>
                </m:r>
                <m:r>
                  <m:rPr>
                    <m:sty m:val="p"/>
                  </m:rPr>
                  <m:t>⋅</m:t>
                </m:r>
                <m:r>
                  <m:t>365</m:t>
                </m:r>
                <m:r>
                  <m:rPr>
                    <m:sty m:val="p"/>
                  </m:rPr>
                  <m:t>⋅</m:t>
                </m:r>
                <m:r>
                  <m:t>1.52</m:t>
                </m:r>
              </m:e>
            </m:mr>
            <m:mr>
              <m:e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930</m:t>
                </m:r>
                <m:r>
                  <m:t> </m:t>
                </m:r>
                <m:r>
                  <m:rPr>
                    <m:nor/>
                    <m:sty m:val="p"/>
                  </m:rPr>
                  <m:t>person-hours per year</m:t>
                </m:r>
              </m:e>
            </m:mr>
          </m:m>
        </m:oMath>
      </m:oMathPara>
    </w:p>
    <w:bookmarkEnd w:id="79"/>
    <w:bookmarkStart w:id="80" w:name="step-2-monetize."/>
    <w:p>
      <w:pPr>
        <w:pStyle w:val="Heading4"/>
      </w:pPr>
      <w:r>
        <w:t xml:space="preserve">Step 2: Monetize.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Annual operational benefit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t>3</m:t>
          </m:r>
          <m:r>
            <m:rPr>
              <m:sty m:val="p"/>
            </m:rPr>
            <m:t>,</m:t>
          </m:r>
          <m:r>
            <m:t>930</m:t>
          </m:r>
          <m:r>
            <m:rPr>
              <m:sty m:val="p"/>
            </m:rPr>
            <m:t>×</m:t>
          </m:r>
          <m:r>
            <m:rPr>
              <m:sty m:val="p"/>
            </m:rPr>
            <m:t>$</m:t>
          </m:r>
          <m:r>
            <m:t>21.10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$</m:t>
          </m:r>
          <m:r>
            <m:t>82</m:t>
          </m:r>
          <m:r>
            <m:rPr>
              <m:sty m:val="p"/>
            </m:rPr>
            <m:t>,</m:t>
          </m:r>
          <m:r>
            <m:t>919</m:t>
          </m:r>
          <m:r>
            <m:t> </m:t>
          </m:r>
          <m:r>
            <m:rPr>
              <m:nor/>
              <m:sty m:val="p"/>
            </m:rPr>
            <m:t>per year</m:t>
          </m:r>
        </m:oMath>
      </m:oMathPara>
    </w:p>
    <w:bookmarkEnd w:id="80"/>
    <w:bookmarkStart w:id="81" w:name="step-3-convert-to-present-value."/>
    <w:p>
      <w:pPr>
        <w:pStyle w:val="Heading4"/>
      </w:pPr>
      <w:r>
        <w:t xml:space="preserve">Step 3: Convert to present value.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p>
          </m:sSup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$</m:t>
          </m:r>
          <m:r>
            <m:t>82</m:t>
          </m:r>
          <m:r>
            <m:rPr>
              <m:sty m:val="p"/>
            </m:rPr>
            <m:t>,</m:t>
          </m:r>
          <m:r>
            <m:t>919</m:t>
          </m:r>
          <m:r>
            <m:rPr>
              <m:sty m:val="p"/>
            </m:rPr>
            <m:t>×</m:t>
          </m:r>
          <m:r>
            <m:rPr>
              <m:sty m:val="i"/>
            </m:rPr>
            <m:t>P</m:t>
          </m:r>
          <m:r>
            <m:rPr>
              <m:sty m:val="i"/>
            </m:rPr>
            <m:t>W</m:t>
          </m:r>
          <m:r>
            <m:rPr>
              <m:sty m:val="i"/>
            </m:rP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0.07</m:t>
              </m:r>
              <m:r>
                <m:rPr>
                  <m:sty m:val="p"/>
                </m:rPr>
                <m:t>,</m:t>
              </m:r>
              <m:r>
                <m:t>20</m:t>
              </m:r>
            </m:e>
          </m:d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$</m:t>
          </m:r>
          <m:r>
            <m:t>82</m:t>
          </m:r>
          <m:r>
            <m:rPr>
              <m:sty m:val="p"/>
            </m:rPr>
            <m:t>,</m:t>
          </m:r>
          <m:r>
            <m:t>919</m:t>
          </m:r>
          <m:r>
            <m:rPr>
              <m:sty m:val="p"/>
            </m:rPr>
            <m:t>×</m:t>
          </m:r>
          <m:r>
            <m:t>10.594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$</m:t>
          </m:r>
          <m:r>
            <m:t>878</m:t>
          </m:r>
          <m:r>
            <m:rPr>
              <m:sty m:val="p"/>
            </m:rPr>
            <m:t>,</m:t>
          </m:r>
          <m:r>
            <m:t>449</m:t>
          </m:r>
        </m:oMath>
      </m:oMathPara>
    </w:p>
    <w:p>
      <w:pPr>
        <w:pStyle w:val="FirstParagraph"/>
      </w:pPr>
      <w:r>
        <w:t xml:space="preserve">This worked example uses the framework default parameters. The vehicle operating</w:t>
      </w:r>
      <w:r>
        <w:t xml:space="preserve"> </w:t>
      </w:r>
      <w:r>
        <w:t xml:space="preserve">cost contribution is zero in this case; for projects that change vehicle</w:t>
      </w:r>
      <w:r>
        <w:t xml:space="preserve"> </w:t>
      </w:r>
      <w:r>
        <w:t xml:space="preserve">operating cost (for example, by altering the route’s grade or surface type),</w:t>
      </w:r>
      <w:r>
        <w:t xml:space="preserve"> </w:t>
      </w:r>
      <w:r>
        <w:t xml:space="preserve">the second term in Equation </w:t>
      </w:r>
      <w:hyperlink w:anchor="eq:ops-benefit">
        <w:r>
          <w:rPr>
            <w:rStyle w:val="Hyperlink"/>
          </w:rPr>
          <w:t xml:space="preserve">[eq:ops-benefit]</w:t>
        </w:r>
      </w:hyperlink>
      <w:r>
        <w:t xml:space="preserve"> </w:t>
      </w:r>
      <w:r>
        <w:t xml:space="preserve">contributes additionally.</w:t>
      </w:r>
    </w:p>
    <w:bookmarkEnd w:id="81"/>
    <w:bookmarkEnd w:id="82"/>
    <w:bookmarkEnd w:id="83"/>
    <w:bookmarkStart w:id="92" w:name="sec:ccm"/>
    <w:p>
      <w:pPr>
        <w:pStyle w:val="Heading1"/>
      </w:pPr>
      <w:r>
        <w:t xml:space="preserve">Corridor Condition Benefit Quantification</w:t>
      </w:r>
    </w:p>
    <w:p>
      <w:pPr>
        <w:pStyle w:val="FirstParagraph"/>
      </w:pPr>
      <w:r>
        <w:t xml:space="preserve">Corridor Condition Measures (CCMs) capture benefit categories that fall</w:t>
      </w:r>
      <w:r>
        <w:t xml:space="preserve"> </w:t>
      </w:r>
      <w:r>
        <w:t xml:space="preserve">outside the conventional safety and operational scope: energy and emissions</w:t>
      </w:r>
      <w:r>
        <w:t xml:space="preserve"> </w:t>
      </w:r>
      <w:r>
        <w:t xml:space="preserve">reductions, environmental and health co-benefits, resilience to natural</w:t>
      </w:r>
      <w:r>
        <w:t xml:space="preserve"> </w:t>
      </w:r>
      <w:r>
        <w:t xml:space="preserve">hazards, accessibility improvements, and changes in property value. The</w:t>
      </w:r>
      <w:r>
        <w:t xml:space="preserve"> </w:t>
      </w:r>
      <w:r>
        <w:t xml:space="preserve">MCBOMs framework provides a generic computational structure for CCM benefits</w:t>
      </w:r>
      <w:r>
        <w:t xml:space="preserve"> </w:t>
      </w:r>
      <w:r>
        <w:t xml:space="preserve">and a reference table of monetization rates.</w:t>
      </w:r>
    </w:p>
    <w:bookmarkStart w:id="84" w:name="ccm-benefit-computation-structure"/>
    <w:p>
      <w:pPr>
        <w:pStyle w:val="Heading2"/>
      </w:pPr>
      <w:r>
        <w:t xml:space="preserve">CCM Benefit Computation Structure</w:t>
      </w:r>
    </w:p>
    <w:p>
      <w:pPr>
        <w:pStyle w:val="FirstParagraph"/>
      </w:pPr>
      <w:r>
        <w:t xml:space="preserve">The present-value CCM benefit is computed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sup>
          </m:sSubSup>
          <m:r>
            <m:t> </m:t>
          </m:r>
          <m:r>
            <m:rPr>
              <m:sty m:val="p"/>
            </m:rPr>
            <m:t>=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C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  <m:e>
                      <m:r>
                        <m:t>Δ</m:t>
                      </m:r>
                    </m:e>
                  </m:nary>
                </m:e>
              </m:nary>
            </m:e>
          </m:nary>
          <m:sSubSup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F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5"/>
        </w:numPr>
      </w:pP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is the set of CCM categories applicable to the project</w:t>
      </w:r>
    </w:p>
    <w:p>
      <w:pPr>
        <w:numPr>
          <w:ilvl w:val="0"/>
          <w:numId w:val="1015"/>
        </w:numPr>
      </w:pPr>
      <m:oMath>
        <m:r>
          <m:t>Δ</m:t>
        </m:r>
        <m:sSubSup>
          <m:e>
            <m:r>
              <m:t>Q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t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is the change in the physical quantity for</w:t>
      </w:r>
      <w:r>
        <w:t xml:space="preserve"> </w:t>
      </w:r>
      <w:r>
        <w:t xml:space="preserve">category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segment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attributable to alternative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project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(e.g., metric tons of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, gallons of fuel,</w:t>
      </w:r>
      <w:r>
        <w:t xml:space="preserve"> </w:t>
      </w:r>
      <w:r>
        <w:t xml:space="preserve">expected damage from flood events)</w:t>
      </w:r>
    </w:p>
    <w:p>
      <w:pPr>
        <w:numPr>
          <w:ilvl w:val="0"/>
          <w:numId w:val="1015"/>
        </w:numPr>
      </w:pPr>
      <m:oMath>
        <m:sSubSup>
          <m:e>
            <m:r>
              <m:t>V</m:t>
            </m:r>
          </m:e>
          <m:sub>
            <m:r>
              <m:t>t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is the monetization rate for category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($ per unit of</w:t>
      </w:r>
      <w:r>
        <w:t xml:space="preserve"> </w:t>
      </w:r>
      <m:oMath>
        <m:sSup>
          <m:e>
            <m:r>
              <m:t>Q</m:t>
            </m:r>
          </m:e>
          <m:sup>
            <m:r>
              <m:t>c</m:t>
            </m:r>
          </m:sup>
        </m:sSup>
      </m:oMath>
      <w:r>
        <w:t xml:space="preserve">)</w:t>
      </w:r>
    </w:p>
    <w:p>
      <w:pPr>
        <w:numPr>
          <w:ilvl w:val="0"/>
          <w:numId w:val="1015"/>
        </w:numPr>
      </w:pPr>
      <m:oMath>
        <m:sSub>
          <m:e>
            <m:r>
              <m:rPr>
                <m:sty m:val="i"/>
              </m:rPr>
              <m:t>D</m:t>
            </m:r>
            <m:r>
              <m:rPr>
                <m:sty m:val="i"/>
              </m:rP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discount factor from Equation </w:t>
      </w:r>
      <w:hyperlink w:anchor="eq:df">
        <w:r>
          <w:rPr>
            <w:rStyle w:val="Hyperlink"/>
          </w:rPr>
          <w:t xml:space="preserve">[eq:df]</w:t>
        </w:r>
      </w:hyperlink>
    </w:p>
    <w:bookmarkEnd w:id="84"/>
    <w:bookmarkStart w:id="86" w:name="ccm-categories-and-reference-sources"/>
    <w:p>
      <w:pPr>
        <w:pStyle w:val="Heading2"/>
      </w:pPr>
      <w:r>
        <w:t xml:space="preserve">CCM Categories and Reference Sources</w:t>
      </w:r>
    </w:p>
    <w:p>
      <w:pPr>
        <w:pStyle w:val="FirstParagraph"/>
      </w:pPr>
      <w:r>
        <w:t xml:space="preserve">The Task 4 prototype identifies eight CCM categories drawn from the</w:t>
      </w:r>
      <w:r>
        <w:t xml:space="preserve"> </w:t>
      </w:r>
      <w:r>
        <w:t xml:space="preserve">methodology selected in Task 3. For each, Table </w:t>
      </w:r>
      <w:hyperlink w:anchor="tab:ccm-sourc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identifies the physical quantity to be measured and the recommended</w:t>
      </w:r>
      <w:r>
        <w:t xml:space="preserve"> </w:t>
      </w:r>
      <w:r>
        <w:t xml:space="preserve">monetization source.</w:t>
      </w:r>
    </w:p>
    <w:bookmarkStart w:id="85" w:name="tab:ccm-sources"/>
    <w:p>
      <w:pPr>
        <w:pStyle w:val="TableCaption"/>
      </w:pPr>
      <w:r>
        <w:t xml:space="preserve">CCM categories: physical quantities and monetization sources.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CM categories: physical quantities and monetization source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Quantity (</w:t>
            </w:r>
            <m:oMath>
              <m:r>
                <m:t>Δ</m:t>
              </m:r>
              <m:sSup>
                <m:e>
                  <m:r>
                    <m:t>Q</m:t>
                  </m:r>
                </m:e>
                <m:sup>
                  <m:r>
                    <m:t>c</m:t>
                  </m:r>
                </m:sup>
              </m:sSup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Monetization Source (</w:t>
            </w:r>
            <m:oMath>
              <m:sSup>
                <m:e>
                  <m:r>
                    <m:t>V</m:t>
                  </m:r>
                </m:e>
                <m:sup>
                  <m:r>
                    <m:t>c</m:t>
                  </m:r>
                </m:sup>
              </m:sSup>
            </m:oMath>
            <w:r>
              <w:rPr>
                <w:bCs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/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fuel consumption change (gallons or BTU)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USDOT BCA Guidance Appendix A Table A-4 (vehicle operating cost separation; reflected in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</m:sup>
              </m:sSup>
            </m:oMath>
            <w:r>
              <w:t xml:space="preserve"> </w:t>
            </w:r>
            <w:r>
              <w:t xml:space="preserve">when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Quality (NOx, SOx, PM</w:t>
            </w:r>
            <w:r>
              <w:rPr>
                <w:vertAlign w:val="subscript"/>
              </w:rPr>
              <w:t xml:space="preserve">2.5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emissions change (metric tons)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USDOT BCA Guidance Appendix A Table A-6 (page 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 to natural 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annual damages avoided ($) or service-loss days 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 Standard Economic Values v13 (September 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/ Mobility Energy Productivity (MEP)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mobility index change (per FDOT/NREL methodology)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 et al. (2023), FDOT BDV29-977-66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Reduced Emergency Service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Avoided property damage from fire-service delay; ambulance survival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 methodology adapted for transportation (USDOT BCA Guidance Section 5.7)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Stormwater Runoff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runoff volume (gallons) and pollutant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utility cost data; USDOT BCA Guidance Section 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Wildlife Crash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Wildlife-vehicle collisions avoided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USDOT BCA Guidance Section 5.7 (treated within safety methodology where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Value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land value change attributable to project ($, 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real estate data; USDOT BCA Guidance Section 5.7</w:t>
            </w:r>
          </w:p>
        </w:tc>
      </w:tr>
    </w:tbl>
    <w:bookmarkEnd w:id="85"/>
    <w:bookmarkEnd w:id="86"/>
    <w:bookmarkStart w:id="91" w:name="double-counting-prevention"/>
    <w:p>
      <w:pPr>
        <w:pStyle w:val="Heading2"/>
      </w:pPr>
      <w:r>
        <w:t xml:space="preserve">Double-Counting Prevention</w:t>
      </w:r>
    </w:p>
    <w:p>
      <w:pPr>
        <w:pStyle w:val="FirstParagraph"/>
      </w:pPr>
      <w:r>
        <w:t xml:space="preserve">The additive decomposition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p>
        </m:sSubSup>
      </m:oMath>
      <w:r>
        <w:t xml:space="preserve"> </w:t>
      </w:r>
      <w:r>
        <w:t xml:space="preserve">assumes that the three benefit categories are independent. Three</w:t>
      </w:r>
      <w:r>
        <w:t xml:space="preserve"> </w:t>
      </w:r>
      <w:r>
        <w:t xml:space="preserve">mechanisms enforce this independence:</w:t>
      </w:r>
    </w:p>
    <w:bookmarkStart w:id="87" w:name="data-level-tagging."/>
    <w:p>
      <w:pPr>
        <w:pStyle w:val="Heading4"/>
      </w:pPr>
      <w:r>
        <w:t xml:space="preserve">(1) Data-level tagging.</w:t>
      </w:r>
    </w:p>
    <w:p>
      <w:pPr>
        <w:pStyle w:val="FirstParagraph"/>
      </w:pPr>
      <w:r>
        <w:t xml:space="preserve">Each benefit observation entering the</w:t>
      </w:r>
      <w:r>
        <w:t xml:space="preserve"> </w:t>
      </w:r>
      <w:r>
        <w:t xml:space="preserve">calculation is tagged with a category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i</m:t>
            </m:r>
            <m:r>
              <m:t>k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identifying its source category. An observation</w:t>
      </w:r>
      <w:r>
        <w:t xml:space="preserve"> </w:t>
      </w:r>
      <w:r>
        <w:t xml:space="preserve">contributes to exactly one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p>
        </m:sSup>
      </m:oMath>
      <w:r>
        <w:t xml:space="preserve">, 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p>
        </m:sSup>
      </m:oMath>
      <w:r>
        <w:t xml:space="preserve">.</w:t>
      </w:r>
    </w:p>
    <w:bookmarkEnd w:id="87"/>
    <w:bookmarkStart w:id="88" w:name="equation-level-gating."/>
    <w:p>
      <w:pPr>
        <w:pStyle w:val="Heading4"/>
      </w:pPr>
      <w:r>
        <w:t xml:space="preserve">(2) Equation-level gating.</w:t>
      </w:r>
    </w:p>
    <w:p>
      <w:pPr>
        <w:pStyle w:val="FirstParagraph"/>
      </w:pPr>
      <w:r>
        <w:t xml:space="preserve">Each component sums only over its</w:t>
      </w:r>
      <w:r>
        <w:t xml:space="preserve"> </w:t>
      </w:r>
      <w:r>
        <w:t xml:space="preserve">tagged observations. For example, fuel-consumption changes that are already</w:t>
      </w:r>
      <w:r>
        <w:t xml:space="preserve"> </w:t>
      </w:r>
      <w:r>
        <w:t xml:space="preserve">reflected in the operational</w:t>
      </w:r>
      <w:r>
        <w:t xml:space="preserve"> </w:t>
      </w:r>
      <m:oMath>
        <m:r>
          <m:rPr>
            <m:sty m:val="i"/>
          </m:rPr>
          <m:t>V</m:t>
        </m:r>
        <m:r>
          <m:rPr>
            <m:sty m:val="i"/>
          </m:rPr>
          <m:t>O</m:t>
        </m:r>
        <m:r>
          <m:rPr>
            <m:sty m:val="i"/>
          </m:rPr>
          <m:t>C</m:t>
        </m:r>
      </m:oMath>
      <w:r>
        <w:t xml:space="preserve"> </w:t>
      </w:r>
      <w:r>
        <w:t xml:space="preserve">term of Equation </w:t>
      </w:r>
      <w:hyperlink w:anchor="eq:ops-benefit">
        <w:r>
          <w:rPr>
            <w:rStyle w:val="Hyperlink"/>
          </w:rPr>
          <w:t xml:space="preserve">[eq:ops-benefit]</w:t>
        </w:r>
      </w:hyperlink>
      <w:r>
        <w:t xml:space="preserve"> </w:t>
      </w:r>
      <w:r>
        <w:t xml:space="preserve">are not separately counted in the energy CCM category.</w:t>
      </w:r>
    </w:p>
    <w:bookmarkEnd w:id="88"/>
    <w:bookmarkStart w:id="89" w:name="composite-metric-adjustment."/>
    <w:p>
      <w:pPr>
        <w:pStyle w:val="Heading4"/>
      </w:pPr>
      <w:r>
        <w:t xml:space="preserve">(3) Composite-metric adjustment.</w:t>
      </w:r>
    </w:p>
    <w:p>
      <w:pPr>
        <w:pStyle w:val="FirstParagraph"/>
      </w:pPr>
      <w:r>
        <w:t xml:space="preserve">When a composite index is used</w:t>
      </w:r>
      <w:r>
        <w:t xml:space="preserve"> </w:t>
      </w:r>
      <w:r>
        <w:t xml:space="preserve">that embeds multiple component categories (for example, the FDOT/NREL MEP</w:t>
      </w:r>
      <w:r>
        <w:t xml:space="preserve"> </w:t>
      </w:r>
      <w:r>
        <w:t xml:space="preserve">index, which combines travel time, reliability, and energy with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r>
          <m:t>0.40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R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  <m:r>
              <m:t>n</m:t>
            </m:r>
            <m:r>
              <m:t>e</m:t>
            </m:r>
            <m:r>
              <m:t>r</m:t>
            </m:r>
            <m:r>
              <m:t>g</m:t>
            </m:r>
            <m:r>
              <m:t>y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), the operational and</w:t>
      </w:r>
      <w:r>
        <w:t xml:space="preserve"> </w:t>
      </w:r>
      <w:r>
        <w:t xml:space="preserve">corridor components are reduced proportionally to avoid duplicating the</w:t>
      </w:r>
      <w:r>
        <w:t xml:space="preserve"> </w:t>
      </w:r>
      <w:r>
        <w:t xml:space="preserve">embedded contributions: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T</m:t>
                        </m:r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⋅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T</m:t>
                    </m:r>
                    <m:r>
                      <m:t>T</m:t>
                    </m:r>
                  </m:sup>
                </m:sSubSup>
                <m:r>
                  <m:t> </m:t>
                </m:r>
                <m:r>
                  <m:rPr>
                    <m:sty m:val="p"/>
                  </m:rPr>
                  <m:t>+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⋅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R</m:t>
                    </m:r>
                    <m:r>
                      <m:t>e</m:t>
                    </m:r>
                    <m:r>
                      <m:t>l</m:t>
                    </m:r>
                  </m:sup>
                </m:sSubSup>
                <m:r>
                  <m:t> </m:t>
                </m:r>
                <m:r>
                  <m:rPr>
                    <m:sty m:val="p"/>
                  </m:rPr>
                  <m:t>+</m:t>
                </m:r>
                <m:r>
                  <m:t> 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S</m:t>
                    </m:r>
                    <m:r>
                      <m:t>D</m:t>
                    </m:r>
                  </m:sup>
                </m:sSubSup>
              </m:e>
            </m:mr>
            <m:mr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m</m:t>
                    </m:r>
                  </m:sup>
                </m:sSubSup>
                <m:r>
                  <m:t> 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E</m:t>
                        </m:r>
                        <m:r>
                          <m:t>n</m:t>
                        </m:r>
                        <m:r>
                          <m:t>e</m:t>
                        </m:r>
                        <m:r>
                          <m:t>r</m:t>
                        </m:r>
                        <m:r>
                          <m:t>g</m:t>
                        </m:r>
                        <m:r>
                          <m:t>y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⋅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E</m:t>
                    </m:r>
                    <m:r>
                      <m:t>n</m:t>
                    </m:r>
                    <m:r>
                      <m:t>e</m:t>
                    </m:r>
                    <m:r>
                      <m:t>r</m:t>
                    </m:r>
                    <m:r>
                      <m:t>g</m:t>
                    </m:r>
                    <m:r>
                      <m:t>y</m:t>
                    </m:r>
                  </m:sup>
                </m:sSubSup>
                <m:r>
                  <m:t> </m:t>
                </m:r>
                <m:r>
                  <m:rPr>
                    <m:sty m:val="p"/>
                  </m:rPr>
                  <m:t>+</m:t>
                </m:r>
                <m:r>
                  <m:t> 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nor/>
                        <m:sty m:val="p"/>
                      </m:rPr>
                      <m:t>other-CCM</m:t>
                    </m:r>
                  </m:sup>
                </m:sSubSup>
              </m:e>
            </m:mr>
          </m:m>
        </m:oMath>
      </m:oMathPara>
    </w:p>
    <w:bookmarkEnd w:id="89"/>
    <w:bookmarkStart w:id="90" w:name="validation."/>
    <w:p>
      <w:pPr>
        <w:pStyle w:val="Heading4"/>
      </w:pPr>
      <w:r>
        <w:t xml:space="preserve">Validation.</w:t>
      </w:r>
    </w:p>
    <w:p>
      <w:pPr>
        <w:pStyle w:val="FirstParagraph"/>
      </w:pPr>
      <w:r>
        <w:t xml:space="preserve">The pairwise correlation between benefit components</w:t>
      </w:r>
      <w:r>
        <w:t xml:space="preserve"> </w:t>
      </w:r>
      <w:r>
        <w:t xml:space="preserve">across all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pairs is monitored as a diagnostic check; correlations</w:t>
      </w:r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ρ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B</m:t>
                    </m:r>
                  </m:e>
                  <m:sup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B</m:t>
                    </m:r>
                  </m:e>
                  <m:sup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p>
                </m:sSup>
              </m:e>
            </m:d>
          </m:e>
        </m:d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t xml:space="preserve">are flagged for manual review of</w:t>
      </w:r>
      <w:r>
        <w:t xml:space="preserve"> </w:t>
      </w:r>
      <w:r>
        <w:t xml:space="preserve">potential double-counting.</w:t>
      </w:r>
    </w:p>
    <w:bookmarkEnd w:id="90"/>
    <w:bookmarkEnd w:id="91"/>
    <w:bookmarkEnd w:id="92"/>
    <w:bookmarkStart w:id="97" w:name="sec:solution"/>
    <w:p>
      <w:pPr>
        <w:pStyle w:val="Heading1"/>
      </w:pPr>
      <w:r>
        <w:t xml:space="preserve">Solution Methodology</w:t>
      </w:r>
    </w:p>
    <w:p>
      <w:pPr>
        <w:pStyle w:val="FirstParagraph"/>
      </w:pPr>
      <w:r>
        <w:t xml:space="preserve">This section describes the solution approach for the MCBOMs MILP, the</w:t>
      </w:r>
      <w:r>
        <w:t xml:space="preserve"> </w:t>
      </w:r>
      <w:r>
        <w:t xml:space="preserve">software implementation, and the relationship between the MILP formulation</w:t>
      </w:r>
      <w:r>
        <w:t xml:space="preserve"> </w:t>
      </w:r>
      <w:r>
        <w:t xml:space="preserve">and alternative optimization paradigms considered during model selection.</w:t>
      </w:r>
    </w:p>
    <w:bookmarkStart w:id="94" w:name="sec:milp-summary"/>
    <w:p>
      <w:pPr>
        <w:pStyle w:val="Heading2"/>
      </w:pPr>
      <w:r>
        <w:t xml:space="preserve">Mixed-Integer Linear Programming Formulation Summary</w:t>
      </w:r>
    </w:p>
    <w:p>
      <w:pPr>
        <w:pStyle w:val="FirstParagraph"/>
      </w:pPr>
      <w:r>
        <w:t xml:space="preserve">The complete MCBOMs MILP is summarized below. The formulation has four</w:t>
      </w:r>
      <w:r>
        <w:t xml:space="preserve"> </w:t>
      </w:r>
      <w:r>
        <w:t xml:space="preserve">core constraint families that are always active and three optional</w:t>
      </w:r>
      <w:r>
        <w:t xml:space="preserve"> </w:t>
      </w:r>
      <w:r>
        <w:t xml:space="preserve">constraint families that are activated only when the corresponding agency</w:t>
      </w:r>
      <w:r>
        <w:t xml:space="preserve"> </w:t>
      </w:r>
      <w:r>
        <w:t xml:space="preserve">data is provided.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Maximize:</m:t>
                </m:r>
                <m:r>
                  <m:t> </m:t>
                </m:r>
              </m:e>
              <m:e>
                <m:r>
                  <m:t>Z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I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Sup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o</m:t>
                                </m:r>
                                <m:r>
                                  <m:rPr>
                                    <m:sty m:val="p"/>
                                  </m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l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Sup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d</m:t>
                                </m:r>
                                <m:r>
                                  <m:rPr>
                                    <m:sty m:val="p"/>
                                  </m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m:t>c</m:t>
                                </m:r>
                              </m:sup>
                            </m:sSubSup>
                          </m:e>
                        </m:d>
                      </m:e>
                    </m:nary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(objective)</m:t>
                </m:r>
              </m:e>
            </m:mr>
            <m:mr>
              <m:e>
                <m:r>
                  <m:rPr>
                    <m:nor/>
                    <m:sty m:val="p"/>
                  </m:rPr>
                  <m:t>Subject to:</m:t>
                </m:r>
                <m:r>
                  <m:t> 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I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p>
                </m:sSup>
              </m:e>
              <m:e>
                <m:r>
                  <m:rPr>
                    <m:nor/>
                    <m:sty m:val="p"/>
                  </m:rPr>
                  <m:t>(total budget)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i</m:t>
                </m:r>
              </m:e>
              <m:e>
                <m:r>
                  <m:rPr>
                    <m:nor/>
                    <m:sty m:val="p"/>
                  </m:rPr>
                  <m:t>(mutual exclusivity)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(binary)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F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m</m:t>
                </m:r>
              </m:e>
              <m:e>
                <m:r>
                  <m:rPr>
                    <m:nor/>
                    <m:sty m:val="p"/>
                  </m:rPr>
                  <m:t>(facility-type sub-budget)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R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B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r</m:t>
                </m:r>
              </m:e>
              <m:e>
                <m:r>
                  <m:rPr>
                    <m:nor/>
                    <m:sty m:val="p"/>
                  </m:rPr>
                  <m:t>(regional cap)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R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β</m:t>
                    </m:r>
                  </m:e>
                  <m:sub>
                    <m:r>
                      <m:t>r</m:t>
                    </m:r>
                  </m:sub>
                </m:sSub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r</m:t>
                </m:r>
              </m:e>
              <m:e>
                <m:r>
                  <m:rPr>
                    <m:nor/>
                    <m:sty m:val="p"/>
                  </m:rPr>
                  <m:t>(regional floor)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(dependency, optional)</m:t>
                </m:r>
              </m:e>
            </m:mr>
            <m:mr>
              <m:e/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1</m:t>
                </m:r>
              </m:e>
              <m:e>
                <m:r>
                  <m:rPr>
                    <m:nor/>
                    <m:sty m:val="p"/>
                  </m:rPr>
                  <m:t>(cross-project exclusivity, optional)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θ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i</m:t>
                </m:r>
              </m:e>
              <m:e>
                <m:r>
                  <m:rPr>
                    <m:nor/>
                    <m:sty m:val="p"/>
                  </m:rPr>
                  <m:t>(min BCR, optional)</m:t>
                </m:r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The cost decomposition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n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T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sub>
              <m:sup>
                <m:r>
                  <m:t>​</m:t>
                </m:r>
              </m:sup>
              <m:e>
                <m:sSub>
                  <m:e>
                    <m:r>
                      <m:rPr>
                        <m:sty m:val="i"/>
                      </m:rPr>
                      <m:t>C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t</m:t>
                    </m:r>
                  </m:e>
                  <m:sub>
                    <m:r>
                      <m:t>i</m:t>
                    </m:r>
                    <m:r>
                      <m:t>k</m:t>
                    </m:r>
                    <m:r>
                      <m:t>n</m:t>
                    </m:r>
                  </m:sub>
                </m:sSub>
              </m:e>
            </m:nary>
          </m:e>
        </m:nary>
      </m:oMath>
      <w:r>
        <w:t xml:space="preserve"> </w:t>
      </w:r>
      <w:r>
        <w:t xml:space="preserve">(Equation </w:t>
      </w:r>
      <w:hyperlink w:anchor="eq:cost-decomp">
        <w:r>
          <w:rPr>
            <w:rStyle w:val="Hyperlink"/>
          </w:rPr>
          <w:t xml:space="preserve">[eq:cost-decomp]</w:t>
        </w:r>
      </w:hyperlink>
      <w:r>
        <w:t xml:space="preserve">) is implicit in the</w:t>
      </w:r>
      <w:r>
        <w:t xml:space="preserve"> </w:t>
      </w:r>
      <w:r>
        <w:t xml:space="preserve">above; total benefit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p>
        </m:sSubSup>
      </m:oMath>
      <w:r>
        <w:t xml:space="preserve"> </w:t>
      </w:r>
      <w:r>
        <w:t xml:space="preserve">is computed per Equation </w:t>
      </w:r>
      <w:hyperlink w:anchor="eq:btot">
        <w:r>
          <w:rPr>
            <w:rStyle w:val="Hyperlink"/>
          </w:rPr>
          <w:t xml:space="preserve">[eq:btot]</w:t>
        </w:r>
      </w:hyperlink>
      <w:r>
        <w:t xml:space="preserve"> </w:t>
      </w:r>
      <w:r>
        <w:t xml:space="preserve">with components from Sections </w:t>
      </w:r>
      <w:hyperlink w:anchor="sec:safety">
        <w:r>
          <w:rPr>
            <w:rStyle w:val="Hyperlink"/>
          </w:rPr>
          <w:t xml:space="preserve">3</w:t>
        </w:r>
      </w:hyperlink>
      <w:r>
        <w:t xml:space="preserve">–</w:t>
      </w:r>
      <w:hyperlink w:anchor="sec:ccm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93" w:name="problem-scale."/>
    <w:p>
      <w:pPr>
        <w:pStyle w:val="Heading4"/>
      </w:pPr>
      <w:r>
        <w:t xml:space="preserve">Problem scale.</w:t>
      </w:r>
    </w:p>
    <w:p>
      <w:pPr>
        <w:pStyle w:val="FirstParagraph"/>
      </w:pPr>
      <w:r>
        <w:t xml:space="preserve">The MILP has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binary</w:t>
      </w:r>
      <w:r>
        <w:t xml:space="preserve"> </w:t>
      </w:r>
      <w:r>
        <w:t xml:space="preserve">decision variables. The core-constraint count comprises one total-budget</w:t>
      </w:r>
      <w:r>
        <w:t xml:space="preserve"> </w:t>
      </w:r>
      <w:r>
        <w:t xml:space="preserve">constraint,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mutual-exclusivity constraints,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 </w:t>
      </w:r>
      <w:r>
        <w:t xml:space="preserve">facility-type sub-budgets, and up to</w:t>
      </w:r>
      <w:r>
        <w:t xml:space="preserve"> </w:t>
      </w:r>
      <m:oMath>
        <m:r>
          <m:t>2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R</m:t>
            </m:r>
          </m:e>
        </m:d>
      </m:oMath>
      <w:r>
        <w:t xml:space="preserve"> </w:t>
      </w:r>
      <w:r>
        <w:t xml:space="preserve">regional constraints</w:t>
      </w:r>
      <w:r>
        <w:t xml:space="preserve"> </w:t>
      </w:r>
      <w:r>
        <w:t xml:space="preserve">(cap and floor). The optional constraints add at most one inequality per</w:t>
      </w:r>
      <w:r>
        <w:t xml:space="preserve"> </w:t>
      </w:r>
      <w:r>
        <w:t xml:space="preserve">declared dependency pair, conflict pair, or BCR-enforced project. For the</w:t>
      </w:r>
      <w:r>
        <w:t xml:space="preserve"> </w:t>
      </w:r>
      <w:r>
        <w:t xml:space="preserve">Harwood (2003) ten-site validation case, the problem has 41 binary</w:t>
      </w:r>
      <w:r>
        <w:t xml:space="preserve"> </w:t>
      </w:r>
      <w:r>
        <w:t xml:space="preserve">variables and 11 constraints; for the Banihashemi (2007) full network</w:t>
      </w:r>
      <w:r>
        <w:t xml:space="preserve"> </w:t>
      </w:r>
      <w:r>
        <w:t xml:space="preserve">case (135 homogeneous segments plus 13 intersections), the published</w:t>
      </w:r>
      <w:r>
        <w:t xml:space="preserve"> </w:t>
      </w:r>
      <w:r>
        <w:t xml:space="preserve">problem has 3</w:t>
      </w:r>
      <w:r>
        <w:t xml:space="preserve">,</w:t>
      </w:r>
      <w:r>
        <w:t xml:space="preserve">385 binary variables and 535 constraints.</w:t>
      </w:r>
    </w:p>
    <w:bookmarkEnd w:id="93"/>
    <w:bookmarkEnd w:id="94"/>
    <w:bookmarkStart w:id="95" w:name="software-implementation"/>
    <w:p>
      <w:pPr>
        <w:pStyle w:val="Heading2"/>
      </w:pPr>
      <w:r>
        <w:t xml:space="preserve">Software Implementation</w:t>
      </w:r>
    </w:p>
    <w:p>
      <w:pPr>
        <w:pStyle w:val="FirstParagraph"/>
      </w:pPr>
      <w:r>
        <w:t xml:space="preserve">The MCBOMs MILP is implemented as a Python package,</w:t>
      </w:r>
      <w:r>
        <w:t xml:space="preserve"> </w:t>
      </w:r>
      <w:r>
        <w:rPr>
          <w:rStyle w:val="VerbatimChar"/>
        </w:rPr>
        <w:t xml:space="preserve">mcboms</w:t>
      </w:r>
      <w:r>
        <w:t xml:space="preserve">, that</w:t>
      </w:r>
      <w:r>
        <w:t xml:space="preserve"> </w:t>
      </w:r>
      <w:r>
        <w:t xml:space="preserve">constructs the model from input data and solves it via Gurobi</w:t>
      </w:r>
      <w:r>
        <w:t xml:space="preserve"> </w:t>
      </w:r>
      <w:r>
        <w:t xml:space="preserve">(commercial) or CBC (open-source) backends. The MILP itself — the</w:t>
      </w:r>
      <w:r>
        <w:t xml:space="preserve"> </w:t>
      </w:r>
      <w:r>
        <w:t xml:space="preserve">mathematical statement summarized in</w:t>
      </w:r>
      <w:r>
        <w:t xml:space="preserve"> </w:t>
      </w:r>
      <w:r>
        <w:t xml:space="preserve">Section </w:t>
      </w:r>
      <w:hyperlink w:anchor="sec:milp-summary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— is solver-agnostic; it can be exported</w:t>
      </w:r>
      <w:r>
        <w:t xml:space="preserve"> </w:t>
      </w:r>
      <w:r>
        <w:t xml:space="preserve">to standard MILP exchange formats (AMPL</w:t>
      </w:r>
      <w:r>
        <w:t xml:space="preserve"> </w:t>
      </w:r>
      <w:r>
        <w:rPr>
          <w:rStyle w:val="VerbatimChar"/>
        </w:rPr>
        <w:t xml:space="preserve">.mod</w:t>
      </w:r>
      <w:r>
        <w:t xml:space="preserve">/</w:t>
      </w:r>
      <w:r>
        <w:rPr>
          <w:rStyle w:val="VerbatimChar"/>
        </w:rPr>
        <w:t xml:space="preserve">.dat</w:t>
      </w:r>
      <w:r>
        <w:t xml:space="preserve">,</w:t>
      </w:r>
      <w:r>
        <w:t xml:space="preserve"> </w:t>
      </w:r>
      <w:r>
        <w:t xml:space="preserve">GAMS</w:t>
      </w:r>
      <w:r>
        <w:t xml:space="preserve"> </w:t>
      </w:r>
      <w:r>
        <w:rPr>
          <w:rStyle w:val="VerbatimChar"/>
        </w:rPr>
        <w:t xml:space="preserve">.gms</w:t>
      </w:r>
      <w:r>
        <w:t xml:space="preserve">, CPLEX</w:t>
      </w:r>
      <w:r>
        <w:t xml:space="preserve"> </w:t>
      </w:r>
      <w:r>
        <w:rPr>
          <w:rStyle w:val="VerbatimChar"/>
        </w:rPr>
        <w:t xml:space="preserve">.lp</w:t>
      </w:r>
      <w:r>
        <w:t xml:space="preserve">, MPS) and solved by any compatible</w:t>
      </w:r>
      <w:r>
        <w:t xml:space="preserve"> </w:t>
      </w:r>
      <w:r>
        <w:t xml:space="preserve">commercial or open-source MILP solver, including IBM CPLEX, FICO Xpress,</w:t>
      </w:r>
      <w:r>
        <w:t xml:space="preserve"> </w:t>
      </w:r>
      <w:r>
        <w:t xml:space="preserve">Gurobi, SCIP, and CBC. Reference instances of the Harwood and</w:t>
      </w:r>
      <w:r>
        <w:t xml:space="preserve"> </w:t>
      </w:r>
      <w:r>
        <w:t xml:space="preserve">Banihashemi validation case studies are provided in these formats so</w:t>
      </w:r>
      <w:r>
        <w:t xml:space="preserve"> </w:t>
      </w:r>
      <w:r>
        <w:t xml:space="preserve">that any reviewer can independently reproduce the optimization results</w:t>
      </w:r>
      <w:r>
        <w:t xml:space="preserve"> </w:t>
      </w:r>
      <w:r>
        <w:t xml:space="preserve">without depending on the Python implementation.</w:t>
      </w:r>
    </w:p>
    <w:p>
      <w:pPr>
        <w:pStyle w:val="BodyText"/>
      </w:pPr>
      <w:r>
        <w:t xml:space="preserve">The implementation is organized into a modular Python package,</w:t>
      </w:r>
      <w:r>
        <w:t xml:space="preserve"> </w:t>
      </w:r>
      <w:r>
        <w:rPr>
          <w:rStyle w:val="VerbatimChar"/>
        </w:rPr>
        <w:t xml:space="preserve">mcboms</w:t>
      </w:r>
      <w:r>
        <w:t xml:space="preserve">, with the following structure (status as of Task 4</w:t>
      </w:r>
      <w:r>
        <w:t xml:space="preserve"> </w:t>
      </w:r>
      <w:r>
        <w:t xml:space="preserve">prototype):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mcboms.core</w:t>
      </w:r>
      <w:r>
        <w:t xml:space="preserve"> </w:t>
      </w:r>
      <w:r>
        <w:t xml:space="preserve">— optimizer engine, alternative-set</w:t>
      </w:r>
      <w:r>
        <w:t xml:space="preserve"> </w:t>
      </w:r>
      <w:r>
        <w:t xml:space="preserve">enumeration, and solver back-end interface (</w:t>
      </w:r>
      <w:r>
        <w:rPr>
          <w:iCs/>
          <w:i/>
        </w:rPr>
        <w:t xml:space="preserve">implemented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mcboms.benefits.safety</w:t>
      </w:r>
      <w:r>
        <w:t xml:space="preserve"> </w:t>
      </w:r>
      <w:r>
        <w:t xml:space="preserve">— implementation of</w:t>
      </w:r>
      <w:r>
        <w:t xml:space="preserve"> </w:t>
      </w:r>
      <w:r>
        <w:t xml:space="preserve">Equation </w:t>
      </w:r>
      <w:hyperlink w:anchor="eq:safety-benefit-pwf">
        <w:r>
          <w:rPr>
            <w:rStyle w:val="Hyperlink"/>
          </w:rPr>
          <w:t xml:space="preserve">[eq:safety-benefit-pwf]</w:t>
        </w:r>
      </w:hyperlink>
      <w:r>
        <w:t xml:space="preserve"> </w:t>
      </w:r>
      <w:r>
        <w:t xml:space="preserve">(</w:t>
      </w:r>
      <w:r>
        <w:rPr>
          <w:iCs/>
          <w:i/>
        </w:rPr>
        <w:t xml:space="preserve">implemented</w:t>
      </w:r>
      <w:r>
        <w:t xml:space="preserve">, validated</w:t>
      </w:r>
      <w:r>
        <w:t xml:space="preserve"> </w:t>
      </w:r>
      <w:r>
        <w:t xml:space="preserve">against the worked example to within floating-point precision and</w:t>
      </w:r>
      <w:r>
        <w:t xml:space="preserve"> </w:t>
      </w:r>
      <w:r>
        <w:t xml:space="preserve">cross-validated against the parallel BCA spreadsheet to $0.00 error</w:t>
      </w:r>
      <w:r>
        <w:t xml:space="preserve"> </w:t>
      </w:r>
      <w:r>
        <w:t xml:space="preserve">across 35 segment–alternative pairs).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mcboms.benefits.operations</w:t>
      </w:r>
      <w:r>
        <w:t xml:space="preserve"> </w:t>
      </w:r>
      <w:r>
        <w:t xml:space="preserve">— implementation of</w:t>
      </w:r>
      <w:r>
        <w:t xml:space="preserve"> </w:t>
      </w:r>
      <w:r>
        <w:t xml:space="preserve">Equation </w:t>
      </w:r>
      <w:hyperlink w:anchor="eq:ops-benefit">
        <w:r>
          <w:rPr>
            <w:rStyle w:val="Hyperlink"/>
          </w:rPr>
          <w:t xml:space="preserve">[eq:ops-benefit]</w:t>
        </w:r>
      </w:hyperlink>
      <w:r>
        <w:t xml:space="preserve"> </w:t>
      </w:r>
      <w:r>
        <w:t xml:space="preserve">(</w:t>
      </w:r>
      <w:r>
        <w:rPr>
          <w:iCs/>
          <w:i/>
        </w:rPr>
        <w:t xml:space="preserve">in development</w:t>
      </w:r>
      <w:r>
        <w:t xml:space="preserve">; the</w:t>
      </w:r>
      <w:r>
        <w:t xml:space="preserve"> </w:t>
      </w:r>
      <w:r>
        <w:t xml:space="preserve">formulation is locked, the implementation will follow the same</w:t>
      </w:r>
      <w:r>
        <w:t xml:space="preserve"> </w:t>
      </w:r>
      <w:r>
        <w:t xml:space="preserve">preprocessing pattern as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mcboms.benefits.ccm</w:t>
      </w:r>
      <w:r>
        <w:t xml:space="preserve"> </w:t>
      </w:r>
      <w:r>
        <w:t xml:space="preserve">— implementation of</w:t>
      </w:r>
      <w:r>
        <w:t xml:space="preserve"> </w:t>
      </w:r>
      <w:r>
        <w:t xml:space="preserve">Equation </w:t>
      </w:r>
      <w:hyperlink w:anchor="eq:ccm-benefit">
        <w:r>
          <w:rPr>
            <w:rStyle w:val="Hyperlink"/>
          </w:rPr>
          <w:t xml:space="preserve">[eq:ccm-benefit]</w:t>
        </w:r>
      </w:hyperlink>
      <w:r>
        <w:t xml:space="preserve"> </w:t>
      </w:r>
      <w:r>
        <w:t xml:space="preserve">(</w:t>
      </w:r>
      <w:r>
        <w:rPr>
          <w:iCs/>
          <w:i/>
        </w:rPr>
        <w:t xml:space="preserve">in development</w:t>
      </w:r>
      <w:r>
        <w:t xml:space="preserve">; computational</w:t>
      </w:r>
      <w:r>
        <w:t xml:space="preserve"> </w:t>
      </w:r>
      <w:r>
        <w:t xml:space="preserve">structure is locked per Section </w:t>
      </w:r>
      <w:hyperlink w:anchor="sec:ccm">
        <w:r>
          <w:rPr>
            <w:rStyle w:val="Hyperlink"/>
          </w:rPr>
          <w:t xml:space="preserve">5</w:t>
        </w:r>
      </w:hyperlink>
      <w:r>
        <w:t xml:space="preserve">, category-specific</w:t>
      </w:r>
      <w:r>
        <w:t xml:space="preserve"> </w:t>
      </w:r>
      <w:r>
        <w:t xml:space="preserve">monetization functions to be added incrementally).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mcboms.io</w:t>
      </w:r>
      <w:r>
        <w:t xml:space="preserve"> </w:t>
      </w:r>
      <w:r>
        <w:t xml:space="preserve">— data I/O modules for HSM-format input,</w:t>
      </w:r>
      <w:r>
        <w:t xml:space="preserve"> </w:t>
      </w:r>
      <w:r>
        <w:t xml:space="preserve">spreadsheet input, and validation case studies (</w:t>
      </w:r>
      <w:r>
        <w:rPr>
          <w:iCs/>
          <w:i/>
        </w:rPr>
        <w:t xml:space="preserve">implemented</w:t>
      </w:r>
      <w:r>
        <w:t xml:space="preserve"> </w:t>
      </w:r>
      <w:r>
        <w:t xml:space="preserve">for the BCA spreadsheet reader; HSM-format ingestion to follow).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mcboms.utils.economics</w:t>
      </w:r>
      <w:r>
        <w:t xml:space="preserve"> </w:t>
      </w:r>
      <w:r>
        <w:t xml:space="preserve">— discount rates, present-worth</w:t>
      </w:r>
      <w:r>
        <w:t xml:space="preserve"> </w:t>
      </w:r>
      <w:r>
        <w:t xml:space="preserve">factors, and unit crash cost defaults (USDOT BCA Guidance May 2025;</w:t>
      </w:r>
      <w:r>
        <w:t xml:space="preserve"> </w:t>
      </w:r>
      <w:r>
        <w:rPr>
          <w:iCs/>
          <w:i/>
        </w:rPr>
        <w:t xml:space="preserve">implemented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mcboms.data</w:t>
      </w:r>
      <w:r>
        <w:t xml:space="preserve"> </w:t>
      </w:r>
      <w:r>
        <w:t xml:space="preserve">— bundled validation case study data for</w:t>
      </w:r>
      <w:r>
        <w:t xml:space="preserve"> </w:t>
      </w:r>
      <w:r>
        <w:t xml:space="preserve">Harwood (2003) and Banihashemi (2007) intersection sub-problem</w:t>
      </w:r>
      <w:r>
        <w:t xml:space="preserve"> </w:t>
      </w:r>
      <w:r>
        <w:t xml:space="preserve">(</w:t>
      </w:r>
      <w:r>
        <w:rPr>
          <w:iCs/>
          <w:i/>
        </w:rPr>
        <w:t xml:space="preserve">implemented</w:t>
      </w:r>
      <w:r>
        <w:t xml:space="preserve">).</w:t>
      </w:r>
    </w:p>
    <w:p>
      <w:pPr>
        <w:pStyle w:val="FirstParagraph"/>
      </w:pPr>
      <w:r>
        <w:t xml:space="preserve">The full source code is available in the project’s GitHub repository,</w:t>
      </w:r>
      <w:r>
        <w:t xml:space="preserve"> </w:t>
      </w:r>
      <w:r>
        <w:t xml:space="preserve">along with an automated test suite (32 tests covering the worked example,</w:t>
      </w:r>
      <w:r>
        <w:t xml:space="preserve"> </w:t>
      </w:r>
      <w:r>
        <w:t xml:space="preserve">Harwood reproduction, and per-component unit tests), validation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run_harwood_validation.py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banihashemi_intersections.py</w:t>
      </w:r>
      <w:r>
        <w:t xml:space="preserve">), and a programmer’s guide.</w:t>
      </w:r>
    </w:p>
    <w:bookmarkEnd w:id="95"/>
    <w:bookmarkStart w:id="96" w:name="X6051db157dcc0d3fd39c0a5260a8214d038a31a"/>
    <w:p>
      <w:pPr>
        <w:pStyle w:val="Heading2"/>
      </w:pPr>
      <w:r>
        <w:t xml:space="preserve">Comparative Summary of Solution Methodologies</w:t>
      </w:r>
    </w:p>
    <w:p>
      <w:pPr>
        <w:pStyle w:val="FirstParagraph"/>
      </w:pPr>
      <w:r>
        <w:t xml:space="preserve">Task 3 evaluated four candidate solution methodologies for the MCBOMs</w:t>
      </w:r>
      <w:r>
        <w:t xml:space="preserve"> </w:t>
      </w:r>
      <w:r>
        <w:t xml:space="preserve">problem: MILP, surrogate-assisted genetic algorithms (GA), reinforcement</w:t>
      </w:r>
      <w:r>
        <w:t xml:space="preserve"> </w:t>
      </w:r>
      <w:r>
        <w:t xml:space="preserve">learning, and machine-learning regression on pre-computed benefit surfaces.</w:t>
      </w:r>
      <w:r>
        <w:t xml:space="preserve"> </w:t>
      </w:r>
      <w:r>
        <w:t xml:space="preserve">MILP was selected as the production methodology on the following bases: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Global optimality.</w:t>
      </w:r>
      <w:r>
        <w:t xml:space="preserve"> </w:t>
      </w:r>
      <w:r>
        <w:t xml:space="preserve">MILP solvers provide certified globally</w:t>
      </w:r>
      <w:r>
        <w:t xml:space="preserve"> </w:t>
      </w:r>
      <w:r>
        <w:t xml:space="preserve">optimal solutions (within numerical tolerance), which is required for</w:t>
      </w:r>
      <w:r>
        <w:t xml:space="preserve"> </w:t>
      </w:r>
      <w:r>
        <w:t xml:space="preserve">FHWA-deliverable resource allocation results.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Methodological transparency.</w:t>
      </w:r>
      <w:r>
        <w:t xml:space="preserve"> </w:t>
      </w:r>
      <w:r>
        <w:t xml:space="preserve">The objective function and</w:t>
      </w:r>
      <w:r>
        <w:t xml:space="preserve"> </w:t>
      </w:r>
      <w:r>
        <w:t xml:space="preserve">constraints are explicit and auditable. Each step in the optimization</w:t>
      </w:r>
      <w:r>
        <w:t xml:space="preserve"> </w:t>
      </w:r>
      <w:r>
        <w:t xml:space="preserve">can be traced back to the formulation, in contrast to black-box machine</w:t>
      </w:r>
      <w:r>
        <w:t xml:space="preserve"> </w:t>
      </w:r>
      <w:r>
        <w:t xml:space="preserve">learning approaches.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Compatibility with HSM and CMF methodology.</w:t>
      </w:r>
      <w:r>
        <w:t xml:space="preserve"> </w:t>
      </w:r>
      <w:r>
        <w:t xml:space="preserve">The MILP</w:t>
      </w:r>
      <w:r>
        <w:t xml:space="preserve"> </w:t>
      </w:r>
      <w:r>
        <w:t xml:space="preserve">formulation operates on benefit and cost values computed from</w:t>
      </w:r>
      <w:r>
        <w:t xml:space="preserve"> </w:t>
      </w:r>
      <w:r>
        <w:t xml:space="preserve">HSM-standard methods (SPFs, CMFs, EB adjustment when applied),</w:t>
      </w:r>
      <w:r>
        <w:t xml:space="preserve"> </w:t>
      </w:r>
      <w:r>
        <w:t xml:space="preserve">preserving the methodological lineage that FHWA deliverables require.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Maturity.</w:t>
      </w:r>
      <w:r>
        <w:t xml:space="preserve"> </w:t>
      </w:r>
      <w:r>
        <w:t xml:space="preserve">MILP for transportation resource allocation has</w:t>
      </w:r>
      <w:r>
        <w:t xml:space="preserve"> </w:t>
      </w:r>
      <w:r>
        <w:t xml:space="preserve">a 30-year track record (Cohon, 1978; Harwood, 2003; Banihashemi, 2007;</w:t>
      </w:r>
      <w:r>
        <w:t xml:space="preserve"> </w:t>
      </w:r>
      <w:r>
        <w:t xml:space="preserve">AASHTO Safety Analyst). Solver technology is mature.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Tractability.</w:t>
      </w:r>
      <w:r>
        <w:t xml:space="preserve"> </w:t>
      </w:r>
      <w:r>
        <w:t xml:space="preserve">The Harwood (2003) and Banihashemi (2007)</w:t>
      </w:r>
      <w:r>
        <w:t xml:space="preserve"> </w:t>
      </w:r>
      <w:r>
        <w:t xml:space="preserve">case studies solve in under one second on commodity hardware. Realistic</w:t>
      </w:r>
      <w:r>
        <w:t xml:space="preserve"> </w:t>
      </w:r>
      <w:r>
        <w:t xml:space="preserve">state-DOT problems with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variables solve in minutes.</w:t>
      </w:r>
    </w:p>
    <w:p>
      <w:pPr>
        <w:pStyle w:val="FirstParagraph"/>
      </w:pPr>
      <w:r>
        <w:t xml:space="preserve">Machine learning methods are explicitly retained as preprocessing tools</w:t>
      </w:r>
      <w:r>
        <w:t xml:space="preserve"> </w:t>
      </w:r>
      <w:r>
        <w:t xml:space="preserve">where helpful (for example, gap-filling missing inputs to HSM SPFs), but are</w:t>
      </w:r>
      <w:r>
        <w:t xml:space="preserve"> </w:t>
      </w:r>
      <w:r>
        <w:t xml:space="preserve">not used as substitutes for the optimization core.</w:t>
      </w:r>
    </w:p>
    <w:bookmarkEnd w:id="96"/>
    <w:bookmarkEnd w:id="97"/>
    <w:bookmarkStart w:id="115" w:name="sec:validation"/>
    <w:p>
      <w:pPr>
        <w:pStyle w:val="Heading1"/>
      </w:pPr>
      <w:r>
        <w:t xml:space="preserve">Validation Against Published Benchmarks</w:t>
      </w:r>
    </w:p>
    <w:p>
      <w:pPr>
        <w:pStyle w:val="FirstParagraph"/>
      </w:pPr>
      <w:r>
        <w:t xml:space="preserve">The MCBOMs implementation has been validated at three independent levels: a</w:t>
      </w:r>
      <w:r>
        <w:t xml:space="preserve"> </w:t>
      </w:r>
      <w:r>
        <w:t xml:space="preserve">methodology-level reproduction of the worked example</w:t>
      </w:r>
      <w:r>
        <w:t xml:space="preserve"> </w:t>
      </w:r>
      <w:r>
        <w:t xml:space="preserve">(Section </w:t>
      </w:r>
      <w:hyperlink w:anchor="sec:safety-worked-example">
        <w:r>
          <w:rPr>
            <w:rStyle w:val="Hyperlink"/>
          </w:rPr>
          <w:t xml:space="preserve">3.7</w:t>
        </w:r>
      </w:hyperlink>
      <w:r>
        <w:t xml:space="preserve">), a program-level reproduction of</w:t>
      </w:r>
      <w:r>
        <w:t xml:space="preserve"> </w:t>
      </w:r>
      <w:r>
        <w:t xml:space="preserve">Harwood et al. (2003), and a network-level reproduction of Banihashemi</w:t>
      </w:r>
      <w:r>
        <w:t xml:space="preserve"> </w:t>
      </w:r>
      <w:r>
        <w:t xml:space="preserve">(2007). Each validation level exercises a distinct portion of the framework</w:t>
      </w:r>
      <w:r>
        <w:t xml:space="preserve"> </w:t>
      </w:r>
      <w:r>
        <w:t xml:space="preserve">and tests against external published benchmarks rather than internal</w:t>
      </w:r>
      <w:r>
        <w:t xml:space="preserve"> </w:t>
      </w:r>
      <w:r>
        <w:t xml:space="preserve">self-consistency.</w:t>
      </w:r>
    </w:p>
    <w:bookmarkStart w:id="98" w:name="sec:validation-worked"/>
    <w:p>
      <w:pPr>
        <w:pStyle w:val="Heading2"/>
      </w:pPr>
      <w:r>
        <w:t xml:space="preserve">Methodology-Level Validation: Worked Example</w:t>
      </w:r>
    </w:p>
    <w:p>
      <w:pPr>
        <w:pStyle w:val="FirstParagraph"/>
      </w:pPr>
      <w:r>
        <w:t xml:space="preserve">The worked example in Section </w:t>
      </w:r>
      <w:hyperlink w:anchor="sec:safety-worked-example">
        <w:r>
          <w:rPr>
            <w:rStyle w:val="Hyperlink"/>
          </w:rPr>
          <w:t xml:space="preserve">3.7</w:t>
        </w:r>
      </w:hyperlink>
      <w:r>
        <w:t xml:space="preserve"> </w:t>
      </w:r>
      <w:r>
        <w:t xml:space="preserve">computes a</w:t>
      </w:r>
      <w:r>
        <w:t xml:space="preserve"> </w:t>
      </w:r>
      <w:r>
        <w:t xml:space="preserve">single-segment safety benefit by direct application of</w:t>
      </w:r>
      <w:r>
        <w:t xml:space="preserve"> </w:t>
      </w:r>
      <w:r>
        <w:t xml:space="preserve">Equation </w:t>
      </w:r>
      <w:hyperlink w:anchor="eq:safety-benefit-pwf">
        <w:r>
          <w:rPr>
            <w:rStyle w:val="Hyperlink"/>
          </w:rPr>
          <w:t xml:space="preserve">[eq:safety-benefit-pwf]</w:t>
        </w:r>
      </w:hyperlink>
      <w:r>
        <w:t xml:space="preserve">. The MCBOMs Python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mcboms.benefits.safety.safety_benefit</w:t>
      </w:r>
      <w:r>
        <w:t xml:space="preserve">) reproduces this calculation</w:t>
      </w:r>
      <w:r>
        <w:t xml:space="preserve"> </w:t>
      </w:r>
      <w:r>
        <w:t xml:space="preserve">exactly: the annual safety benefit is computed as $211</w:t>
      </w:r>
      <w:r>
        <w:t xml:space="preserve">,</w:t>
      </w:r>
      <w:r>
        <w:t xml:space="preserve">809, and the</w:t>
      </w:r>
      <w:r>
        <w:t xml:space="preserve"> </w:t>
      </w:r>
      <w:r>
        <w:t xml:space="preserve">20-year present-value benefit is $2</w:t>
      </w:r>
      <w:r>
        <w:t xml:space="preserve">,</w:t>
      </w:r>
      <w:r>
        <w:t xml:space="preserve">243</w:t>
      </w:r>
      <w:r>
        <w:t xml:space="preserve">,</w:t>
      </w:r>
      <w:r>
        <w:t xml:space="preserve">913. The implementation</w:t>
      </w:r>
      <w:r>
        <w:t xml:space="preserve"> </w:t>
      </w:r>
      <w:r>
        <w:t xml:space="preserve">matches the manual calculation to within numerical floating-point precision</w:t>
      </w:r>
      <w:r>
        <w:t xml:space="preserve"> </w:t>
      </w:r>
      <w:r>
        <w:t xml:space="preserve">(maximum discrepancy less than $0.01 across all severity components).</w:t>
      </w:r>
    </w:p>
    <w:p>
      <w:pPr>
        <w:pStyle w:val="BodyText"/>
      </w:pPr>
      <w:r>
        <w:t xml:space="preserve">This validation confirms that the safety benefit module correctly implements</w:t>
      </w:r>
      <w:r>
        <w:t xml:space="preserve"> </w:t>
      </w:r>
      <w:r>
        <w:t xml:space="preserve">the methodology described in this chapter and that the framework default</w:t>
      </w:r>
      <w:r>
        <w:t xml:space="preserve"> </w:t>
      </w:r>
      <w:r>
        <w:t xml:space="preserve">unit crash costs are correctly applied.</w:t>
      </w:r>
    </w:p>
    <w:bookmarkEnd w:id="98"/>
    <w:bookmarkStart w:id="104" w:name="sec:validation-harwood"/>
    <w:p>
      <w:pPr>
        <w:pStyle w:val="Heading2"/>
      </w:pPr>
      <w:r>
        <w:t xml:space="preserve">Program-Level Validation: Harwood et al. (2003)</w:t>
      </w:r>
    </w:p>
    <w:p>
      <w:pPr>
        <w:pStyle w:val="FirstParagraph"/>
      </w:pPr>
      <w:r>
        <w:t xml:space="preserve">The Harwood et al. (2003) study presents a 10-site case study covering a mix</w:t>
      </w:r>
      <w:r>
        <w:t xml:space="preserve"> </w:t>
      </w:r>
      <w:r>
        <w:t xml:space="preserve">of rural and urban undivided and divided nonfreeway facilities (2- and</w:t>
      </w:r>
      <w:r>
        <w:t xml:space="preserve"> </w:t>
      </w:r>
      <w:r>
        <w:t xml:space="preserve">4-lane), with optimization solved at two budget levels ($10M and $50M).</w:t>
      </w:r>
      <w:r>
        <w:t xml:space="preserve"> </w:t>
      </w:r>
      <w:r>
        <w:t xml:space="preserve">The MCBOMs MILP optimizer was run against the published Harwood case study</w:t>
      </w:r>
      <w:r>
        <w:t xml:space="preserve"> </w:t>
      </w:r>
      <w:r>
        <w:t xml:space="preserve">under the following configuration:</w:t>
      </w:r>
    </w:p>
    <w:p>
      <w:pPr>
        <w:numPr>
          <w:ilvl w:val="0"/>
          <w:numId w:val="1018"/>
        </w:numPr>
      </w:pPr>
      <w:r>
        <w:t xml:space="preserve">Harwood’s published per-site cost and benefit values from his</w:t>
      </w:r>
      <w:r>
        <w:t xml:space="preserve"> </w:t>
      </w:r>
      <w:r>
        <w:t xml:space="preserve">Tables 2 and 3 (rather than recomputed from raw inputs)</w:t>
      </w:r>
    </w:p>
    <w:p>
      <w:pPr>
        <w:numPr>
          <w:ilvl w:val="0"/>
          <w:numId w:val="1018"/>
        </w:numPr>
      </w:pPr>
      <w:r>
        <w:t xml:space="preserve">Harwood’s discount rate of 4 percent (per AASHTO 1977)</w:t>
      </w:r>
    </w:p>
    <w:p>
      <w:pPr>
        <w:numPr>
          <w:ilvl w:val="0"/>
          <w:numId w:val="1018"/>
        </w:numPr>
      </w:pPr>
      <w:r>
        <w:t xml:space="preserve">Harwood’s two-bin severity convention (fatal+injury combined; PDO)</w:t>
      </w:r>
    </w:p>
    <w:p>
      <w:pPr>
        <w:numPr>
          <w:ilvl w:val="0"/>
          <w:numId w:val="1018"/>
        </w:numPr>
      </w:pPr>
      <w:r>
        <w:t xml:space="preserve">No deferral-penalty mechanism (PNR is not implemented in the MCBOMs</w:t>
      </w:r>
      <w:r>
        <w:t xml:space="preserve"> </w:t>
      </w:r>
      <w:r>
        <w:t xml:space="preserve">prototype; see the discussion in Section </w:t>
      </w:r>
      <w:hyperlink w:anchor="sec:validation-harwood-10m">
        <w:r>
          <w:rPr>
            <w:rStyle w:val="Hyperlink"/>
          </w:rPr>
          <w:t xml:space="preserve">7.2.2</w:t>
        </w:r>
      </w:hyperlink>
      <w:r>
        <w:t xml:space="preserve"> </w:t>
      </w:r>
      <w:r>
        <w:t xml:space="preserve">below)</w:t>
      </w:r>
    </w:p>
    <w:bookmarkStart w:id="100" w:name="sec:validation-harwood-50m"/>
    <w:p>
      <w:pPr>
        <w:pStyle w:val="Heading3"/>
      </w:pPr>
      <w:r>
        <w:t xml:space="preserve">$50 Million Budget Case</w:t>
      </w:r>
    </w:p>
    <w:p>
      <w:pPr>
        <w:pStyle w:val="FirstParagraph"/>
      </w:pPr>
      <w:r>
        <w:t xml:space="preserve">At the $50M budget level, the budget constraint does not bind: all</w:t>
      </w:r>
      <w:r>
        <w:t xml:space="preserve"> </w:t>
      </w:r>
      <w:r>
        <w:t xml:space="preserve">cost-effective improvements can be funded simultaneously, regardless of any</w:t>
      </w:r>
      <w:r>
        <w:t xml:space="preserve"> </w:t>
      </w:r>
      <w:r>
        <w:t xml:space="preserve">deferral-penalty mechanism. Table </w:t>
      </w:r>
      <w:hyperlink w:anchor="tab:harwood-50m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compares the MCBOMs</w:t>
      </w:r>
      <w:r>
        <w:t xml:space="preserve"> </w:t>
      </w:r>
      <w:r>
        <w:t xml:space="preserve">optimizer’s results against the published Harwood values.</w:t>
      </w:r>
    </w:p>
    <w:bookmarkStart w:id="99" w:name="tab:harwood-50m"/>
    <w:p>
      <w:pPr>
        <w:pStyle w:val="TableCaption"/>
      </w:pPr>
      <w:r>
        <w:t xml:space="preserve">MCBOMs reproduction of Harwood (2003) Table 4, $50 million budget.</w:t>
      </w:r>
      <w:r>
        <w:t xml:space="preserve"> </w:t>
      </w:r>
      <w:r>
        <w:t xml:space="preserve">Differences are attributable to rounding in the published values.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CBOMs reproduction of Harwood (2003) Table 4, $50 million budget. Differences are attributable to rounding in the published value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Harwood (2003)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MCBOMs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benefit (PSB + PTOB)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  <w:r>
              <w:t xml:space="preserve">,</w:t>
            </w:r>
            <w:r>
              <w:t xml:space="preserve">640</w:t>
            </w:r>
            <w:r>
              <w:t xml:space="preserve">,</w:t>
            </w:r>
            <w:r>
              <w:t xml:space="preserve">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  <w:r>
              <w:t xml:space="preserve">,</w:t>
            </w:r>
            <w:r>
              <w:t xml:space="preserve">640</w:t>
            </w:r>
            <w:r>
              <w:t xml:space="preserve">,</w:t>
            </w:r>
            <w:r>
              <w:t xml:space="preserve">909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$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expenditure (resurf + safety)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</w:t>
            </w:r>
            <w:r>
              <w:t xml:space="preserve">,</w:t>
            </w:r>
            <w:r>
              <w:t xml:space="preserve">271</w:t>
            </w:r>
            <w:r>
              <w:t xml:space="preserve">,</w:t>
            </w: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</w:t>
            </w:r>
            <w:r>
              <w:t xml:space="preserve">,</w:t>
            </w:r>
            <w:r>
              <w:t xml:space="preserve">271</w:t>
            </w:r>
            <w:r>
              <w:t xml:space="preserve">,</w:t>
            </w: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$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improvement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</w:t>
            </w:r>
            <w:r>
              <w:t xml:space="preserve">,</w:t>
            </w:r>
            <w:r>
              <w:t xml:space="preserve">481</w:t>
            </w:r>
            <w:r>
              <w:t xml:space="preserve">,</w:t>
            </w: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</w:t>
            </w:r>
            <w:r>
              <w:t xml:space="preserve">,</w:t>
            </w:r>
            <w:r>
              <w:t xml:space="preserve">481</w:t>
            </w:r>
            <w:r>
              <w:t xml:space="preserve">,</w:t>
            </w: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benefit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</w:t>
            </w:r>
            <w:r>
              <w:t xml:space="preserve">,</w:t>
            </w:r>
            <w:r>
              <w:t xml:space="preserve">159</w:t>
            </w:r>
            <w:r>
              <w:t xml:space="preserve">,</w:t>
            </w:r>
            <w:r>
              <w:t xml:space="preserve">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</w:t>
            </w:r>
            <w:r>
              <w:t xml:space="preserve">,</w:t>
            </w:r>
            <w:r>
              <w:t xml:space="preserve">159</w:t>
            </w:r>
            <w:r>
              <w:t xml:space="preserve">,</w:t>
            </w: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$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selection (alternatives chosen)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sites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sites 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99"/>
    <w:p>
      <w:pPr>
        <w:pStyle w:val="BodyText"/>
      </w:pPr>
      <w:r>
        <w:t xml:space="preserve">The MCBOMs optimizer reproduces Harwood’s published $50M result to within</w:t>
      </w:r>
      <w:r>
        <w:t xml:space="preserve"> </w:t>
      </w:r>
      <w:r>
        <w:t xml:space="preserve">$5 across all reported metrics, with identical site selection across all 10</w:t>
      </w:r>
      <w:r>
        <w:t xml:space="preserve"> </w:t>
      </w:r>
      <w:r>
        <w:t xml:space="preserve">sites. The five-dollar discrepancy is consistent with rounding in the</w:t>
      </w:r>
      <w:r>
        <w:t xml:space="preserve"> </w:t>
      </w:r>
      <w:r>
        <w:t xml:space="preserve">intermediate published values. This validates both the project-level MILP</w:t>
      </w:r>
      <w:r>
        <w:t xml:space="preserve"> </w:t>
      </w:r>
      <w:r>
        <w:t xml:space="preserve">formulation (Equations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–</w:t>
      </w:r>
      <w:hyperlink w:anchor="eq:binary-project">
        <w:r>
          <w:rPr>
            <w:rStyle w:val="Hyperlink"/>
          </w:rPr>
          <w:t xml:space="preserve">[eq:binary-project]</w:t>
        </w:r>
      </w:hyperlink>
      <w:r>
        <w:t xml:space="preserve">) and the</w:t>
      </w:r>
      <w:r>
        <w:t xml:space="preserve"> </w:t>
      </w:r>
      <w:r>
        <w:t xml:space="preserve">safety-benefit calculation (Equation </w:t>
      </w:r>
      <w:hyperlink w:anchor="eq:safety-benefit-pwf">
        <w:r>
          <w:rPr>
            <w:rStyle w:val="Hyperlink"/>
          </w:rPr>
          <w:t xml:space="preserve">[eq:safety-benefit-pwf]</w:t>
        </w:r>
      </w:hyperlink>
      <w:r>
        <w:t xml:space="preserve">) at program</w:t>
      </w:r>
      <w:r>
        <w:t xml:space="preserve"> </w:t>
      </w:r>
      <w:r>
        <w:t xml:space="preserve">scale.</w:t>
      </w:r>
    </w:p>
    <w:bookmarkEnd w:id="100"/>
    <w:bookmarkStart w:id="102" w:name="sec:validation-harwood-10m"/>
    <w:p>
      <w:pPr>
        <w:pStyle w:val="Heading3"/>
      </w:pPr>
      <w:r>
        <w:t xml:space="preserve">$10 Million Budget Case and the Treatment of Deferral</w:t>
      </w:r>
      <w:r>
        <w:t xml:space="preserve"> </w:t>
      </w:r>
      <w:r>
        <w:t xml:space="preserve">Penalties</w:t>
      </w:r>
    </w:p>
    <w:p>
      <w:pPr>
        <w:pStyle w:val="FirstParagraph"/>
      </w:pPr>
      <w:r>
        <w:t xml:space="preserve">At the $10M budget level, the budget constraint binds: not all sites can be</w:t>
      </w:r>
      <w:r>
        <w:t xml:space="preserve"> </w:t>
      </w:r>
      <w:r>
        <w:t xml:space="preserve">fully funded, and some must be deferred (do-nothing alternative selected).</w:t>
      </w:r>
      <w:r>
        <w:t xml:space="preserve"> </w:t>
      </w:r>
      <w:r>
        <w:t xml:space="preserve">Harwood’s published $10M solution defers Sites 4, 6, and 9. The MCBOMs</w:t>
      </w:r>
      <w:r>
        <w:t xml:space="preserve"> </w:t>
      </w:r>
      <w:r>
        <w:t xml:space="preserve">optimizer, configured as described above, instead defers Sites 1, 4, 6,</w:t>
      </w:r>
      <w:r>
        <w:t xml:space="preserve"> </w:t>
      </w:r>
      <w:r>
        <w:t xml:space="preserve">and 8 and produces a higher net benefit. Table </w:t>
      </w:r>
      <w:hyperlink w:anchor="tab:harwood-10m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documents the comparison.</w:t>
      </w:r>
    </w:p>
    <w:bookmarkStart w:id="101" w:name="tab:harwood-10m"/>
    <w:p>
      <w:pPr>
        <w:pStyle w:val="TableCaption"/>
      </w:pPr>
      <w:r>
        <w:t xml:space="preserve">MCBOMs solution at $10 million budget compared to Harwood (2003)</w:t>
      </w:r>
      <w:r>
        <w:t xml:space="preserve"> </w:t>
      </w:r>
      <w:r>
        <w:t xml:space="preserve">Table 4. The divergence reflects the deferral-penalty methodology described</w:t>
      </w:r>
      <w:r>
        <w:t xml:space="preserve"> </w:t>
      </w:r>
      <w:r>
        <w:t xml:space="preserve">below.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CBOMs solution at $10 million budget compared to Harwood (2003) Table 4. The divergence reflects the deferral-penalty methodology described below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Harwood (2003)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MCBOMs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benefit (PSB + PTOB)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</w:t>
            </w:r>
            <w:r>
              <w:t xml:space="preserve">,</w:t>
            </w:r>
            <w:r>
              <w:t xml:space="preserve">187</w:t>
            </w:r>
            <w:r>
              <w:t xml:space="preserve">,</w:t>
            </w:r>
            <w:r>
              <w:t xml:space="preserve">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</w:t>
            </w:r>
            <w:r>
              <w:t xml:space="preserve">,</w:t>
            </w:r>
            <w:r>
              <w:t xml:space="preserve">600</w:t>
            </w:r>
            <w:r>
              <w:t xml:space="preserve">,</w:t>
            </w: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5.7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expenditure (resurf + safety)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</w:t>
            </w:r>
            <w:r>
              <w:t xml:space="preserve">,</w:t>
            </w:r>
            <w:r>
              <w:t xml:space="preserve">953</w:t>
            </w:r>
            <w:r>
              <w:t xml:space="preserve">,</w:t>
            </w: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</w:t>
            </w:r>
            <w:r>
              <w:t xml:space="preserve">,</w:t>
            </w:r>
            <w:r>
              <w:t xml:space="preserve">547</w:t>
            </w:r>
            <w:r>
              <w:t xml:space="preserve">,</w:t>
            </w:r>
            <w:r>
              <w:t xml:space="preserve">090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benefit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</w:t>
            </w:r>
            <w:r>
              <w:t xml:space="preserve">,</w:t>
            </w:r>
            <w:r>
              <w:t xml:space="preserve">675</w:t>
            </w:r>
            <w:r>
              <w:t xml:space="preserve">,</w:t>
            </w:r>
            <w:r>
              <w:t xml:space="preserve">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</w:t>
            </w:r>
            <w:r>
              <w:t xml:space="preserve">,</w:t>
            </w:r>
            <w:r>
              <w:t xml:space="preserve">931</w:t>
            </w:r>
            <w:r>
              <w:t xml:space="preserve">,</w:t>
            </w:r>
            <w:r>
              <w:t xml:space="preserve">520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5.5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 deferred (do-nothing)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{4, 6, 9}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{1, 4, 6, 8}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differs</w:t>
            </w:r>
          </w:p>
        </w:tc>
      </w:tr>
    </w:tbl>
    <w:bookmarkEnd w:id="101"/>
    <w:p>
      <w:pPr>
        <w:pStyle w:val="BodyText"/>
      </w:pPr>
      <w:r>
        <w:t xml:space="preserve">This divergence is methodologically intentional and reflects a documented</w:t>
      </w:r>
      <w:r>
        <w:t xml:space="preserve"> </w:t>
      </w:r>
      <w:r>
        <w:t xml:space="preserve">design choice. Harwood’s full formulation includes a Penalty for Not</w:t>
      </w:r>
      <w:r>
        <w:t xml:space="preserve"> </w:t>
      </w:r>
      <w:r>
        <w:t xml:space="preserve">Resurfacing (PNR), which adds a deferral cost to the do-nothing alternative</w:t>
      </w:r>
      <w:r>
        <w:t xml:space="preserve"> </w:t>
      </w:r>
      <w:r>
        <w:t xml:space="preserve">roughly proportional to the avoided cost of eventual full pavement</w:t>
      </w:r>
      <w:r>
        <w:t xml:space="preserve"> </w:t>
      </w:r>
      <w:r>
        <w:t xml:space="preserve">reconstruction. The MCBOMs framework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implement PNR for the</w:t>
      </w:r>
      <w:r>
        <w:t xml:space="preserve"> </w:t>
      </w:r>
      <w:r>
        <w:t xml:space="preserve">following reasons:</w:t>
      </w:r>
    </w:p>
    <w:p>
      <w:pPr>
        <w:numPr>
          <w:ilvl w:val="0"/>
          <w:numId w:val="1019"/>
        </w:numPr>
      </w:pPr>
      <w:r>
        <w:t xml:space="preserve">Harwood (2003) publishes only the aggregate PNR ($5</w:t>
      </w:r>
      <w:r>
        <w:t xml:space="preserve">,</w:t>
      </w:r>
      <w:r>
        <w:t xml:space="preserve">576</w:t>
      </w:r>
      <w:r>
        <w:t xml:space="preserve">,</w:t>
      </w:r>
      <w:r>
        <w:t xml:space="preserve">145</w:t>
      </w:r>
      <w:r>
        <w:t xml:space="preserve"> </w:t>
      </w:r>
      <w:r>
        <w:t xml:space="preserve">across the deferred sites in the $10M case) and a qualitative formula.</w:t>
      </w:r>
      <w:r>
        <w:t xml:space="preserve"> </w:t>
      </w:r>
      <w:r>
        <w:t xml:space="preserve">Per-site PNR values are not available, so reproducing Harwood’s</w:t>
      </w:r>
      <w:r>
        <w:t xml:space="preserve"> </w:t>
      </w:r>
      <w:r>
        <w:t xml:space="preserve">$10M solution exactly would require reverse-engineering site-level</w:t>
      </w:r>
      <w:r>
        <w:t xml:space="preserve"> </w:t>
      </w:r>
      <w:r>
        <w:t xml:space="preserve">penalties rather than computing them from a documented procedure.</w:t>
      </w:r>
    </w:p>
    <w:p>
      <w:pPr>
        <w:numPr>
          <w:ilvl w:val="0"/>
          <w:numId w:val="1019"/>
        </w:numPr>
      </w:pPr>
      <w:r>
        <w:t xml:space="preserve">The PNR formula requires per-site pavement condition data and</w:t>
      </w:r>
      <w:r>
        <w:t xml:space="preserve"> </w:t>
      </w:r>
      <w:r>
        <w:t xml:space="preserve">time-to-failure estimates that are not standardized in current FHWA</w:t>
      </w:r>
      <w:r>
        <w:t xml:space="preserve"> </w:t>
      </w:r>
      <w:r>
        <w:t xml:space="preserve">guidance and are not present in the MCBOMs prototype’s case study</w:t>
      </w:r>
      <w:r>
        <w:t xml:space="preserve"> </w:t>
      </w:r>
      <w:r>
        <w:t xml:space="preserve">inputs.</w:t>
      </w:r>
    </w:p>
    <w:p>
      <w:pPr>
        <w:numPr>
          <w:ilvl w:val="0"/>
          <w:numId w:val="1019"/>
        </w:numPr>
      </w:pPr>
      <w:r>
        <w:t xml:space="preserve">Banihashemi (2007), the second benchmark, also does not use a</w:t>
      </w:r>
      <w:r>
        <w:t xml:space="preserve"> </w:t>
      </w:r>
      <w:r>
        <w:t xml:space="preserve">deferral-penalty mechanism.</w:t>
      </w:r>
    </w:p>
    <w:p>
      <w:pPr>
        <w:pStyle w:val="FirstParagraph"/>
      </w:pPr>
      <w:r>
        <w:t xml:space="preserve">Without PNR, the MCBOMs optimizer is free to defer sites strictly on</w:t>
      </w:r>
      <w:r>
        <w:t xml:space="preserve"> </w:t>
      </w:r>
      <w:r>
        <w:t xml:space="preserve">net-benefit grounds, and consequently finds a solution that is 5.5 percent</w:t>
      </w:r>
      <w:r>
        <w:t xml:space="preserve"> </w:t>
      </w:r>
      <w:r>
        <w:t xml:space="preserve">higher in net benefit than Harwood’s published $10M solution.</w:t>
      </w:r>
      <w:r>
        <w:t xml:space="preserve"> </w:t>
      </w:r>
      <w:r>
        <w:t xml:space="preserve">Both solutions are correct within their respective formulations: MCBOMs is</w:t>
      </w:r>
      <w:r>
        <w:t xml:space="preserve"> </w:t>
      </w:r>
      <w:r>
        <w:t xml:space="preserve">net-benefit-optimal subject to the budget constraint, while Harwood’s</w:t>
      </w:r>
      <w:r>
        <w:t xml:space="preserve"> </w:t>
      </w:r>
      <w:r>
        <w:t xml:space="preserve">solution is optimal subject to budget plus PNR-incentivized resurfacing of</w:t>
      </w:r>
      <w:r>
        <w:t xml:space="preserve"> </w:t>
      </w:r>
      <w:r>
        <w:t xml:space="preserve">additional sites. Highway agencies wishing to incorporate pavement-deferral</w:t>
      </w:r>
      <w:r>
        <w:t xml:space="preserve"> </w:t>
      </w:r>
      <w:r>
        <w:t xml:space="preserve">costs in the optimization can do so by adding those costs to the</w:t>
      </w:r>
      <w:r>
        <w:t xml:space="preserve"> </w:t>
      </w:r>
      <w:r>
        <w:t xml:space="preserve">do-nothing alternative’s cost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as a negative benefit; the</w:t>
      </w:r>
      <w:r>
        <w:t xml:space="preserve"> </w:t>
      </w:r>
      <w:r>
        <w:t xml:space="preserve">MCBOMs formulation supports this directly through</w:t>
      </w:r>
      <w:r>
        <w:t xml:space="preserve"> </w:t>
      </w:r>
      <w:r>
        <w:t xml:space="preserve">Equation </w:t>
      </w:r>
      <w:hyperlink w:anchor="eq:obj-project">
        <w:r>
          <w:rPr>
            <w:rStyle w:val="Hyperlink"/>
          </w:rPr>
          <w:t xml:space="preserve">[eq:obj-project]</w:t>
        </w:r>
      </w:hyperlink>
      <w:r>
        <w:t xml:space="preserve">.</w:t>
      </w:r>
    </w:p>
    <w:bookmarkEnd w:id="102"/>
    <w:bookmarkStart w:id="103" w:name="Xee761ae7e301bb7fd1fcfd6ab0c48efe086a059"/>
    <w:p>
      <w:pPr>
        <w:pStyle w:val="Heading3"/>
      </w:pPr>
      <w:r>
        <w:t xml:space="preserve">Cross-Validation Against the Parallel BCA Spreadsheet</w:t>
      </w:r>
    </w:p>
    <w:p>
      <w:pPr>
        <w:pStyle w:val="FirstParagraph"/>
      </w:pPr>
      <w:r>
        <w:t xml:space="preserve">Independent of the published-paper validations, the MCBOMs safety benefit</w:t>
      </w:r>
      <w:r>
        <w:t xml:space="preserve"> </w:t>
      </w:r>
      <w:r>
        <w:t xml:space="preserve">output has been cross-validated against the Task 4 data-curation BCA</w:t>
      </w:r>
      <w:r>
        <w:t xml:space="preserve"> </w:t>
      </w:r>
      <w:r>
        <w:t xml:space="preserve">spreadsheet on a per-(segment, alternative) basis. The spreadsheet</w:t>
      </w:r>
      <w:r>
        <w:t xml:space="preserve"> </w:t>
      </w:r>
      <w:r>
        <w:t xml:space="preserve">implements a streamlined formulation: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p>
          </m:sSup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j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j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C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j</m:t>
                  </m:r>
                </m:e>
                <m:sub>
                  <m:r>
                    <m:t>O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which is Equation </w:t>
      </w:r>
      <w:hyperlink w:anchor="eq:safety-benefit">
        <w:r>
          <w:rPr>
            <w:rStyle w:val="Hyperlink"/>
          </w:rPr>
          <w:t xml:space="preserve">[eq:safety-benefit]</w:t>
        </w:r>
      </w:hyperlink>
      <w:r>
        <w:t xml:space="preserve"> </w:t>
      </w:r>
      <w:r>
        <w:t xml:space="preserve">reduced to (a) a</w:t>
      </w:r>
      <w:r>
        <w:t xml:space="preserve"> </w:t>
      </w:r>
      <w:r>
        <w:t xml:space="preserve">single-year horizon (no discounting), and (b) a three-bin severity</w:t>
      </w:r>
      <w:r>
        <w:t xml:space="preserve"> </w:t>
      </w:r>
      <w:r>
        <w:t xml:space="preserve">classification (</w:t>
      </w:r>
      <m:oMath>
        <m:r>
          <m:t>K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-combined /</w:t>
      </w:r>
      <w:r>
        <w:t xml:space="preserve"> </w:t>
      </w:r>
      <m:oMath>
        <m:r>
          <m:t>O</m:t>
        </m:r>
      </m:oMath>
      <w:r>
        <w:t xml:space="preserve">) with the Injury-B unit cost</w:t>
      </w:r>
      <w:r>
        <w:t xml:space="preserve"> </w:t>
      </w:r>
      <w:r>
        <w:t xml:space="preserve">applied to the entire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bin. The cross-validation results across 35</w:t>
      </w:r>
      <w:r>
        <w:t xml:space="preserve"> </w:t>
      </w:r>
      <w:r>
        <w:t xml:space="preserve">segment–alternative pairs in the test dataset are: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Replication accuracy.</w:t>
      </w:r>
      <w:r>
        <w:t xml:space="preserve"> </w:t>
      </w:r>
      <w:r>
        <w:t xml:space="preserve">Maximum absolute error between the</w:t>
      </w:r>
      <w:r>
        <w:t xml:space="preserve"> </w:t>
      </w:r>
      <w:r>
        <w:t xml:space="preserve">MCBOMs Python replication of Equation </w:t>
      </w:r>
      <w:hyperlink w:anchor="eq:spreadsheet-formula">
        <w:r>
          <w:rPr>
            <w:rStyle w:val="Hyperlink"/>
          </w:rPr>
          <w:t xml:space="preserve">[eq:spreadsheet-formula]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the spreadsheet’s reported</w:t>
      </w:r>
      <w:r>
        <w:t xml:space="preserve"> </w:t>
      </w:r>
      <w:r>
        <w:rPr>
          <w:iCs/>
          <w:i/>
        </w:rPr>
        <w:t xml:space="preserve">Safety Benefit</w:t>
      </w:r>
      <w:r>
        <w:t xml:space="preserve"> </w:t>
      </w:r>
      <w:r>
        <w:t xml:space="preserve">values is $0.00. The</w:t>
      </w:r>
      <w:r>
        <w:t xml:space="preserve"> </w:t>
      </w:r>
      <w:r>
        <w:t xml:space="preserve">MCBOMs codebase reproduces every value in the spreadsheet’s safety</w:t>
      </w:r>
      <w:r>
        <w:t xml:space="preserve"> </w:t>
      </w:r>
      <w:r>
        <w:t xml:space="preserve">benefit column to the cent.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Methodological difference.</w:t>
      </w:r>
      <w:r>
        <w:t xml:space="preserve"> </w:t>
      </w:r>
      <w:r>
        <w:t xml:space="preserve">The ratio of MCBOMs</w:t>
      </w:r>
      <w:r>
        <w:t xml:space="preserve"> </w:t>
      </w:r>
      <w:r>
        <w:t xml:space="preserve">Equation </w:t>
      </w:r>
      <w:hyperlink w:anchor="eq:safety-benefit-pwf">
        <w:r>
          <w:rPr>
            <w:rStyle w:val="Hyperlink"/>
          </w:rPr>
          <w:t xml:space="preserve">[eq:safety-benefit-pwf]</w:t>
        </w:r>
      </w:hyperlink>
      <w:r>
        <w:t xml:space="preserve"> </w:t>
      </w:r>
      <w:r>
        <w:t xml:space="preserve">present-value benefit to the</w:t>
      </w:r>
      <w:r>
        <w:t xml:space="preserve"> </w:t>
      </w:r>
      <w:r>
        <w:t xml:space="preserve">spreadsheet’s single-year benefit is constant at 10.59 across all</w:t>
      </w:r>
      <w:r>
        <w:t xml:space="preserve"> </w:t>
      </w:r>
      <w:r>
        <w:t xml:space="preserve">35 pairs, exactly matching</w:t>
      </w:r>
      <w:r>
        <w:t xml:space="preserve"> </w:t>
      </w:r>
      <m:oMath>
        <m:r>
          <m:rPr>
            <m:sty m:val="i"/>
          </m:rPr>
          <m:t>P</m:t>
        </m:r>
        <m:r>
          <m:rPr>
            <m:sty m:val="i"/>
          </m:rPr>
          <m:t>W</m:t>
        </m:r>
        <m:r>
          <m:rPr>
            <m:sty m:val="i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0.07</m:t>
            </m:r>
            <m:r>
              <m:rPr>
                <m:sty m:val="p"/>
              </m:rPr>
              <m:t>,</m:t>
            </m:r>
            <m:r>
              <m:t>20</m:t>
            </m:r>
          </m:e>
        </m:d>
        <m:r>
          <m:rPr>
            <m:sty m:val="p"/>
          </m:rPr>
          <m:t>=</m:t>
        </m:r>
        <m:r>
          <m:t>10.594</m:t>
        </m:r>
      </m:oMath>
      <w:r>
        <w:t xml:space="preserve">. The two tools</w:t>
      </w:r>
      <w:r>
        <w:t xml:space="preserve"> </w:t>
      </w:r>
      <w:r>
        <w:t xml:space="preserve">are mathematically equivalent up to the discounting choice and the</w:t>
      </w:r>
      <w:r>
        <w:t xml:space="preserve"> </w:t>
      </w:r>
      <w:r>
        <w:t xml:space="preserve">severity-binning convention bridge.</w:t>
      </w:r>
    </w:p>
    <w:bookmarkEnd w:id="103"/>
    <w:bookmarkEnd w:id="104"/>
    <w:bookmarkStart w:id="111" w:name="sec:validation-banihashemi"/>
    <w:p>
      <w:pPr>
        <w:pStyle w:val="Heading2"/>
      </w:pPr>
      <w:r>
        <w:t xml:space="preserve">Network-Level Validation: Banihashemi (2007)</w:t>
      </w:r>
    </w:p>
    <w:p>
      <w:pPr>
        <w:pStyle w:val="FirstParagraph"/>
      </w:pPr>
      <w:r>
        <w:t xml:space="preserve">The Banihashemi (2007) study presents a network case study with three</w:t>
      </w:r>
      <w:r>
        <w:t xml:space="preserve"> </w:t>
      </w:r>
      <w:r>
        <w:t xml:space="preserve">highways (4–10 km in length) and 13 intersections, with the optimization</w:t>
      </w:r>
      <w:r>
        <w:t xml:space="preserve"> </w:t>
      </w:r>
      <w:r>
        <w:t xml:space="preserve">solved at ten budget levels from $1M to $12.2M. The case study uses the</w:t>
      </w:r>
      <w:r>
        <w:t xml:space="preserve"> </w:t>
      </w:r>
      <w:r>
        <w:t xml:space="preserve">IHSDM Crash Prediction Module (CPM) for both highway segment and</w:t>
      </w:r>
      <w:r>
        <w:t xml:space="preserve"> </w:t>
      </w:r>
      <w:r>
        <w:t xml:space="preserve">intersection crash predictions, with delay times computed from the Highway</w:t>
      </w:r>
      <w:r>
        <w:t xml:space="preserve"> </w:t>
      </w:r>
      <w:r>
        <w:t xml:space="preserve">Capacity Manual (Equations A30-11 and A30-15) for intersections and from</w:t>
      </w:r>
      <w:r>
        <w:t xml:space="preserve"> </w:t>
      </w:r>
      <w:r>
        <w:t xml:space="preserve">the published Highway 1 climbing-lane analysis for segments.</w:t>
      </w:r>
    </w:p>
    <w:bookmarkStart w:id="105" w:name="validation-scope."/>
    <w:p>
      <w:pPr>
        <w:pStyle w:val="Heading4"/>
      </w:pPr>
      <w:r>
        <w:t xml:space="preserve">Validation scope.</w:t>
      </w:r>
    </w:p>
    <w:p>
      <w:pPr>
        <w:pStyle w:val="FirstParagraph"/>
      </w:pPr>
      <w:r>
        <w:t xml:space="preserve">The Banihashemi validation is conducted on the</w:t>
      </w:r>
      <w:r>
        <w:t xml:space="preserve"> </w:t>
      </w:r>
      <w:r>
        <w:t xml:space="preserve">intersection sub-problem of his case study: the 13 intersections with</w:t>
      </w:r>
      <w:r>
        <w:t xml:space="preserve"> </w:t>
      </w:r>
      <w:r>
        <w:t xml:space="preserve">published ADTs, improvement combinations, and delay times. The full network</w:t>
      </w:r>
      <w:r>
        <w:t xml:space="preserve"> </w:t>
      </w:r>
      <w:r>
        <w:t xml:space="preserve">reproduction (combining all three highways and all 13 intersections, totaling</w:t>
      </w:r>
      <w:r>
        <w:t xml:space="preserve"> </w:t>
      </w:r>
      <w:r>
        <w:t xml:space="preserve">135 homogeneous segments and 3</w:t>
      </w:r>
      <w:r>
        <w:t xml:space="preserve">,</w:t>
      </w:r>
      <w:r>
        <w:t xml:space="preserve">385 binary variables) requires</w:t>
      </w:r>
      <w:r>
        <w:t xml:space="preserve"> </w:t>
      </w:r>
      <w:r>
        <w:t xml:space="preserve">case-study-specific segment geometry data not published in the paper; that</w:t>
      </w:r>
      <w:r>
        <w:t xml:space="preserve"> </w:t>
      </w:r>
      <w:r>
        <w:t xml:space="preserve">full reproduction is documented as a planned extension.</w:t>
      </w:r>
    </w:p>
    <w:bookmarkEnd w:id="105"/>
    <w:bookmarkStart w:id="106" w:name="configuration."/>
    <w:p>
      <w:pPr>
        <w:pStyle w:val="Heading4"/>
      </w:pPr>
      <w:r>
        <w:t xml:space="preserve">Configuration.</w:t>
      </w:r>
    </w:p>
    <w:p>
      <w:pPr>
        <w:pStyle w:val="FirstParagraph"/>
      </w:pPr>
      <w:r>
        <w:t xml:space="preserve">The MCBOMs MILP optimizer was run against the</w:t>
      </w:r>
      <w:r>
        <w:t xml:space="preserve"> </w:t>
      </w:r>
      <w:r>
        <w:t xml:space="preserve">Banihashemi intersection sub-problem under the following configuration:</w:t>
      </w:r>
    </w:p>
    <w:p>
      <w:pPr>
        <w:numPr>
          <w:ilvl w:val="0"/>
          <w:numId w:val="1021"/>
        </w:numPr>
      </w:pPr>
      <w:r>
        <w:t xml:space="preserve">IHSDM Crash Prediction Module (Equation 15 of Banihashemi),</w:t>
      </w:r>
      <w:r>
        <w:t xml:space="preserve"> </w:t>
      </w:r>
      <w:r>
        <w:t xml:space="preserve">implemented with Banihashemi’s published parameters (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) for 3-leg stop, 4-leg stop, and 4-leg signalized</w:t>
      </w:r>
      <w:r>
        <w:t xml:space="preserve"> </w:t>
      </w:r>
      <w:r>
        <w:t xml:space="preserve">intersection types (page 113)</w:t>
      </w:r>
    </w:p>
    <w:p>
      <w:pPr>
        <w:numPr>
          <w:ilvl w:val="0"/>
          <w:numId w:val="1021"/>
        </w:numPr>
      </w:pPr>
      <w:r>
        <w:t xml:space="preserve">Intersection type inferred from Table 3 traffic control column: all</w:t>
      </w:r>
      <w:r>
        <w:t xml:space="preserve"> </w:t>
      </w:r>
      <w:r>
        <w:t xml:space="preserve">13 intersections treated as 4-leg stop-controlled or 4-leg signalized</w:t>
      </w:r>
      <w:r>
        <w:t xml:space="preserve"> </w:t>
      </w:r>
      <w:r>
        <w:t xml:space="preserve">(Int 10) consistent with the traffic control entries</w:t>
      </w:r>
    </w:p>
    <w:p>
      <w:pPr>
        <w:numPr>
          <w:ilvl w:val="0"/>
          <w:numId w:val="1021"/>
        </w:numPr>
      </w:pPr>
      <w:r>
        <w:t xml:space="preserve">AMF values for intersection features (skew, traffic control change,</w:t>
      </w:r>
      <w:r>
        <w:t xml:space="preserve"> </w:t>
      </w:r>
      <w:r>
        <w:t xml:space="preserve">left-turn lane, sight distance deficiency) from IHSDM and Vogt/Bared</w:t>
      </w:r>
      <w:r>
        <w:t xml:space="preserve"> </w:t>
      </w:r>
      <w:r>
        <w:t xml:space="preserve">base models; note that Banihashemi does not publish his exact AMF values,</w:t>
      </w:r>
      <w:r>
        <w:t xml:space="preserve"> </w:t>
      </w:r>
      <w:r>
        <w:t xml:space="preserve">so exact numerical reproduction is not expected</w:t>
      </w:r>
    </w:p>
    <w:p>
      <w:pPr>
        <w:numPr>
          <w:ilvl w:val="0"/>
          <w:numId w:val="1021"/>
        </w:numPr>
      </w:pPr>
      <w:r>
        <w:t xml:space="preserve">Unit delay cost</w:t>
      </w:r>
      <w:r>
        <w:t xml:space="preserve"> </w:t>
      </w:r>
      <m:oMath>
        <m:r>
          <m:rPr>
            <m:sty m:val="p"/>
          </m:rPr>
          <m:t>$</m:t>
        </m:r>
        <m:r>
          <m:t>12.50</m:t>
        </m:r>
      </m:oMath>
      <w:r>
        <w:t xml:space="preserve"> </w:t>
      </w:r>
      <w:r>
        <w:t xml:space="preserve">per vehicle-hour (Banihashemi page 109)</w:t>
      </w:r>
    </w:p>
    <w:p>
      <w:pPr>
        <w:numPr>
          <w:ilvl w:val="0"/>
          <w:numId w:val="1021"/>
        </w:numPr>
      </w:pPr>
      <w:r>
        <w:t xml:space="preserve">Average crash costs by facility type:</w:t>
      </w:r>
      <w:r>
        <w:t xml:space="preserve"> </w:t>
      </w:r>
      <m:oMath>
        <m:r>
          <m:rPr>
            <m:sty m:val="p"/>
          </m:rPr>
          <m:t>$</m:t>
        </m:r>
        <m:r>
          <m:t>55</m:t>
        </m:r>
        <m:r>
          <m:rPr>
            <m:sty m:val="p"/>
          </m:rPr>
          <m:t>,</m:t>
        </m:r>
        <m:r>
          <m:t>239</m:t>
        </m:r>
      </m:oMath>
      <w:r>
        <w:t xml:space="preserve"> </w:t>
      </w:r>
      <w:r>
        <w:t xml:space="preserve">(3-leg stop),</w:t>
      </w:r>
      <w:r>
        <w:t xml:space="preserve"> </w:t>
      </w:r>
      <m:oMath>
        <m:r>
          <m:rPr>
            <m:sty m:val="p"/>
          </m:rPr>
          <m:t>$</m:t>
        </m:r>
        <m:r>
          <m:t>81</m:t>
        </m:r>
        <m:r>
          <m:rPr>
            <m:sty m:val="p"/>
          </m:rPr>
          <m:t>,</m:t>
        </m:r>
        <m:r>
          <m:t>375</m:t>
        </m:r>
      </m:oMath>
      <w:r>
        <w:t xml:space="preserve"> </w:t>
      </w:r>
      <w:r>
        <w:t xml:space="preserve">(4-leg stop),</w:t>
      </w:r>
      <w:r>
        <w:t xml:space="preserve"> </w:t>
      </w:r>
      <m:oMath>
        <m:r>
          <m:rPr>
            <m:sty m:val="p"/>
          </m:rPr>
          <m:t>$</m:t>
        </m:r>
        <m:r>
          <m:t>31</m:t>
        </m:r>
        <m:r>
          <m:rPr>
            <m:sty m:val="p"/>
          </m:rPr>
          <m:t>,</m:t>
        </m:r>
        <m:r>
          <m:t>665</m:t>
        </m:r>
      </m:oMath>
      <w:r>
        <w:t xml:space="preserve"> </w:t>
      </w:r>
      <w:r>
        <w:t xml:space="preserve">(4-leg signalized)</w:t>
      </w:r>
      <w:r>
        <w:t xml:space="preserve"> </w:t>
      </w:r>
      <w:r>
        <w:t xml:space="preserve">(Banihashemi page 109)</w:t>
      </w:r>
    </w:p>
    <w:p>
      <w:pPr>
        <w:numPr>
          <w:ilvl w:val="0"/>
          <w:numId w:val="1021"/>
        </w:numPr>
      </w:pPr>
      <w:r>
        <w:t xml:space="preserve">20-year project lifetime, no discounting (per Banihashemi’s</w:t>
      </w:r>
      <w:r>
        <w:t xml:space="preserve"> </w:t>
      </w:r>
      <w:r>
        <w:t xml:space="preserve">framework)</w:t>
      </w:r>
    </w:p>
    <w:bookmarkEnd w:id="106"/>
    <w:bookmarkStart w:id="108" w:name="results."/>
    <w:p>
      <w:pPr>
        <w:pStyle w:val="Heading4"/>
      </w:pPr>
      <w:r>
        <w:t xml:space="preserve">Results.</w:t>
      </w:r>
    </w:p>
    <w:p>
      <w:pPr>
        <w:pStyle w:val="FirstParagraph"/>
      </w:pPr>
      <w:r>
        <w:t xml:space="preserve">Table </w:t>
      </w:r>
      <w:hyperlink w:anchor="tab:banihashemi-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MCBOMs</w:t>
      </w:r>
      <w:r>
        <w:t xml:space="preserve"> </w:t>
      </w:r>
      <w:r>
        <w:t xml:space="preserve">intersection selections at each budget level studied by Banihashemi.</w:t>
      </w:r>
    </w:p>
    <w:bookmarkStart w:id="107" w:name="tab:banihashemi-results"/>
    <w:p>
      <w:pPr>
        <w:pStyle w:val="TableCaption"/>
      </w:pPr>
      <w:r>
        <w:t xml:space="preserve">MCBOMs intersection sub-problem results compared to the</w:t>
      </w:r>
      <w:r>
        <w:t xml:space="preserve"> </w:t>
      </w:r>
      <w:r>
        <w:t xml:space="preserve">intersection portion of Banihashemi (2007) Table 5. Notation:</w:t>
      </w:r>
      <w:r>
        <w:t xml:space="preserve"> </w:t>
      </w:r>
      <w:r>
        <w:t xml:space="preserve">“</w:t>
      </w:r>
      <w:r>
        <w:t xml:space="preserve">Int 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LTL</w:t>
      </w:r>
      <w:r>
        <w:t xml:space="preserve">”</w:t>
      </w:r>
      <w:r>
        <w:t xml:space="preserve"> </w:t>
      </w:r>
      <w:r>
        <w:t xml:space="preserve">means alternative with left-turn lane added at intersection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“</w:t>
      </w:r>
      <w:r>
        <w:t xml:space="preserve">SA</w:t>
      </w:r>
      <w:r>
        <w:t xml:space="preserve">”</w:t>
      </w:r>
      <w:r>
        <w:t xml:space="preserve"> </w:t>
      </w:r>
      <w:r>
        <w:t xml:space="preserve">means skew-angle correction;</w:t>
      </w:r>
      <w:r>
        <w:t xml:space="preserve"> </w:t>
      </w:r>
      <w:r>
        <w:t xml:space="preserve">“</w:t>
      </w:r>
      <w:r>
        <w:t xml:space="preserve">ISD</w:t>
      </w:r>
      <w:r>
        <w:t xml:space="preserve">”</w:t>
      </w:r>
      <w:r>
        <w:t xml:space="preserve"> </w:t>
      </w:r>
      <w:r>
        <w:t xml:space="preserve">means sight distance</w:t>
      </w:r>
      <w:r>
        <w:t xml:space="preserve"> </w:t>
      </w:r>
      <w:r>
        <w:t xml:space="preserve">improvement.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CBOMs intersection sub-problem results compared to the intersection portion of Banihashemi (2007) Table 5. Notation: “Int x: LTL” means alternative with left-turn lane added at intersection x; “SA” means skew-angle correction; “ISD” means sight distance improvement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MCBOMs (intersection sub-problem)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Banihashemi (full network)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1:LTL; Int 2:LTL; Int 5:LTL; Int 6:LTL; Int 7:SA,ISD; Int 9:LTL; Int 12:LTL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1:LTL; Int 2:LTL; Int 5:LTL; Int 6:LTL; Int 7:SA,ISD; Int 9:LTL; Int 10:LTL; Int 12:SA,LTL; Int 13:SA,LTL,ISD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unlimited (spent $3.2M)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1:LTL; Int 2:LTL; Int 5:LTL; Int 6:LTL; Int 12:LTL; Int 13:LTL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unlimited (spent $3.2M)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7:SA,ISD; Int 12:LTL; Int 13:LTL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1:LTL; Int 2:LTL; Int 5:LTL; Int 6:LTL; Int 9:LTL; Int 12:LTL (spent $2.1M)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12:LTL; Int 13:LTL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1:LTL; Int 2:LTL; Int 12:LTL (spent $0.7M)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 12:LTL (spent within $1M for intersections only)</w:t>
            </w:r>
          </w:p>
        </w:tc>
      </w:tr>
    </w:tbl>
    <w:bookmarkEnd w:id="107"/>
    <w:bookmarkEnd w:id="108"/>
    <w:bookmarkStart w:id="109" w:name="interpretation-of-the-comparison."/>
    <w:p>
      <w:pPr>
        <w:pStyle w:val="Heading4"/>
      </w:pPr>
      <w:r>
        <w:t xml:space="preserve">Interpretation of the comparison.</w:t>
      </w:r>
    </w:p>
    <w:p>
      <w:pPr>
        <w:pStyle w:val="FirstParagraph"/>
      </w:pPr>
      <w:r>
        <w:t xml:space="preserve">The MCBOMs optimizer and</w:t>
      </w:r>
      <w:r>
        <w:t xml:space="preserve"> </w:t>
      </w:r>
      <w:r>
        <w:t xml:space="preserve">Banihashemi’s published solutions agree on three structural findings: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The most cost-effective improvement is Int 12:LTL.</w:t>
      </w:r>
      <w:r>
        <w:t xml:space="preserve"> </w:t>
      </w:r>
      <w:r>
        <w:t xml:space="preserve">Both the</w:t>
      </w:r>
      <w:r>
        <w:t xml:space="preserve"> </w:t>
      </w:r>
      <w:r>
        <w:t xml:space="preserve">MCBOMs optimizer and Banihashemi identify the left-turn lane at</w:t>
      </w:r>
      <w:r>
        <w:t xml:space="preserve"> </w:t>
      </w:r>
      <w:r>
        <w:t xml:space="preserve">Intersection 12 as the highest-benefit-per-dollar improvement</w:t>
      </w:r>
      <w:r>
        <w:t xml:space="preserve"> </w:t>
      </w:r>
      <w:r>
        <w:t xml:space="preserve">(benefit-to-cost ratio of approximately 11.5 in the MCBOMs computation;</w:t>
      </w:r>
      <w:r>
        <w:t xml:space="preserve"> </w:t>
      </w:r>
      <w:r>
        <w:t xml:space="preserve">consistently selected at every non-zero budget in Banihashemi Table 5).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Signalization of Intersections 3 and 4 is never selected.</w:t>
      </w:r>
      <w:r>
        <w:t xml:space="preserve"> </w:t>
      </w:r>
      <w:r>
        <w:t xml:space="preserve">Both solvers correctly identify that signalizing these</w:t>
      </w:r>
      <w:r>
        <w:t xml:space="preserve"> </w:t>
      </w:r>
      <w:r>
        <w:t xml:space="preserve">moderate-traffic minor-stop intersections would increase delay</w:t>
      </w:r>
      <w:r>
        <w:t xml:space="preserve"> </w:t>
      </w:r>
      <w:r>
        <w:t xml:space="preserve">substantially (from 6</w:t>
      </w:r>
      <w:r>
        <w:t xml:space="preserve">,</w:t>
      </w:r>
      <w:r>
        <w:t xml:space="preserve">078 to 98</w:t>
      </w:r>
      <w:r>
        <w:t xml:space="preserve">,</w:t>
      </w:r>
      <w:r>
        <w:t xml:space="preserve">165 and 72</w:t>
      </w:r>
      <w:r>
        <w:t xml:space="preserve">,</w:t>
      </w:r>
      <w:r>
        <w:t xml:space="preserve">450 vehicle-hours/year</w:t>
      </w:r>
      <w:r>
        <w:t xml:space="preserve"> </w:t>
      </w:r>
      <w:r>
        <w:t xml:space="preserve">respectively), making the delay cost increase dominate the crash cost</w:t>
      </w:r>
      <w:r>
        <w:t xml:space="preserve"> </w:t>
      </w:r>
      <w:r>
        <w:t xml:space="preserve">reduction. Neither Banihashemi’s solution nor MCBOMs selects these</w:t>
      </w:r>
      <w:r>
        <w:t xml:space="preserve"> </w:t>
      </w:r>
      <w:r>
        <w:t xml:space="preserve">alternatives at any budget level.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Rank ordering of LTL improvements matches.</w:t>
      </w:r>
      <w:r>
        <w:t xml:space="preserve"> </w:t>
      </w:r>
      <w:r>
        <w:t xml:space="preserve">In both</w:t>
      </w:r>
      <w:r>
        <w:t xml:space="preserve"> </w:t>
      </w:r>
      <w:r>
        <w:t xml:space="preserve">solutions, Intersections 12, 1, 2, 5, 6 appear as the first</w:t>
      </w:r>
      <w:r>
        <w:t xml:space="preserve"> </w:t>
      </w:r>
      <w:r>
        <w:t xml:space="preserve">cost-effective LTL candidates as budget expands.</w:t>
      </w:r>
    </w:p>
    <w:p>
      <w:pPr>
        <w:pStyle w:val="FirstParagraph"/>
      </w:pPr>
      <w:r>
        <w:t xml:space="preserve">The two solutions</w:t>
      </w:r>
      <w:r>
        <w:t xml:space="preserve"> </w:t>
      </w:r>
      <w:r>
        <w:rPr>
          <w:iCs/>
          <w:i/>
        </w:rPr>
        <w:t xml:space="preserve">differ</w:t>
      </w:r>
      <w:r>
        <w:t xml:space="preserve"> </w:t>
      </w:r>
      <w:r>
        <w:t xml:space="preserve">in two respects that are attributable to</w:t>
      </w:r>
      <w:r>
        <w:t xml:space="preserve"> </w:t>
      </w:r>
      <w:r>
        <w:t xml:space="preserve">the scope of the sub-problem and to information not published in the</w:t>
      </w:r>
      <w:r>
        <w:t xml:space="preserve"> </w:t>
      </w:r>
      <w:r>
        <w:t xml:space="preserve">original paper: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Budget coupling with segment improvements.</w:t>
      </w:r>
      <w:r>
        <w:t xml:space="preserve"> </w:t>
      </w:r>
      <w:r>
        <w:t xml:space="preserve">Banihashemi’s</w:t>
      </w:r>
      <w:r>
        <w:t xml:space="preserve"> </w:t>
      </w:r>
      <w:r>
        <w:t xml:space="preserve">Table 5 reports results for the full network; his intersection</w:t>
      </w:r>
      <w:r>
        <w:t xml:space="preserve"> </w:t>
      </w:r>
      <w:r>
        <w:t xml:space="preserve">selections reflect the fact that segment improvements (lane widening,</w:t>
      </w:r>
      <w:r>
        <w:t xml:space="preserve"> </w:t>
      </w:r>
      <w:r>
        <w:t xml:space="preserve">shoulder widening, etc.) are competing for the same budget. When</w:t>
      </w:r>
      <w:r>
        <w:t xml:space="preserve"> </w:t>
      </w:r>
      <w:r>
        <w:t xml:space="preserve">isolated from the segment problem, the MCBOMs optimizer has the full</w:t>
      </w:r>
      <w:r>
        <w:t xml:space="preserve"> </w:t>
      </w:r>
      <w:r>
        <w:t xml:space="preserve">budget available for intersections and selects more of them at any given</w:t>
      </w:r>
      <w:r>
        <w:t xml:space="preserve"> </w:t>
      </w:r>
      <w:r>
        <w:t xml:space="preserve">budget level. This is a structural consequence of validating against a</w:t>
      </w:r>
      <w:r>
        <w:t xml:space="preserve"> </w:t>
      </w:r>
      <w:r>
        <w:t xml:space="preserve">sub-problem rather than the full network.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AMF values not published.</w:t>
      </w:r>
      <w:r>
        <w:t xml:space="preserve"> </w:t>
      </w:r>
      <w:r>
        <w:t xml:space="preserve">Banihashemi does not publish the</w:t>
      </w:r>
      <w:r>
        <w:t xml:space="preserve"> </w:t>
      </w:r>
      <w:r>
        <w:t xml:space="preserve">specific AMF values used for LTL, traffic control changes, or sight</w:t>
      </w:r>
      <w:r>
        <w:t xml:space="preserve"> </w:t>
      </w:r>
      <w:r>
        <w:t xml:space="preserve">distance deficiency. The MCBOMs reproduction uses standard IHSDM and</w:t>
      </w:r>
      <w:r>
        <w:t xml:space="preserve"> </w:t>
      </w:r>
      <w:r>
        <w:t xml:space="preserve">Vogt/Bared AMF values, which may differ from Banihashemi’s choices by</w:t>
      </w:r>
      <w:r>
        <w:t xml:space="preserve"> </w:t>
      </w:r>
      <w:r>
        <w:t xml:space="preserve">5–15 percent. This difference can shift the optimal alternative</w:t>
      </w:r>
      <w:r>
        <w:t xml:space="preserve"> </w:t>
      </w:r>
      <w:r>
        <w:t xml:space="preserve">selection at the margin (for example, Intersection 10 LTL and several</w:t>
      </w:r>
      <w:r>
        <w:t xml:space="preserve"> </w:t>
      </w:r>
      <w:r>
        <w:t xml:space="preserve">higher-cost alternatives at Intersections 12 and 13 that Banihashemi</w:t>
      </w:r>
      <w:r>
        <w:t xml:space="preserve"> </w:t>
      </w:r>
      <w:r>
        <w:t xml:space="preserve">selects are marginal in the MCBOMs reproduction). Exact numerical</w:t>
      </w:r>
      <w:r>
        <w:t xml:space="preserve"> </w:t>
      </w:r>
      <w:r>
        <w:t xml:space="preserve">reproduction of Banihashemi’s selections at all budget levels would</w:t>
      </w:r>
      <w:r>
        <w:t xml:space="preserve"> </w:t>
      </w:r>
      <w:r>
        <w:t xml:space="preserve">require his specific AMF values, which are not available.</w:t>
      </w:r>
    </w:p>
    <w:bookmarkEnd w:id="109"/>
    <w:bookmarkStart w:id="110" w:name="validation-conclusion."/>
    <w:p>
      <w:pPr>
        <w:pStyle w:val="Heading4"/>
      </w:pPr>
      <w:r>
        <w:t xml:space="preserve">Validation conclusion.</w:t>
      </w:r>
    </w:p>
    <w:p>
      <w:pPr>
        <w:pStyle w:val="FirstParagraph"/>
      </w:pPr>
      <w:r>
        <w:t xml:space="preserve">The MCBOMs MILP framework correctly</w:t>
      </w:r>
      <w:r>
        <w:t xml:space="preserve"> </w:t>
      </w:r>
      <w:r>
        <w:t xml:space="preserve">implements the optimization structure used by Banihashemi (2007), as</w:t>
      </w:r>
      <w:r>
        <w:t xml:space="preserve"> </w:t>
      </w:r>
      <w:r>
        <w:t xml:space="preserve">evidenced by (a) consistent identification of the most cost-effective</w:t>
      </w:r>
      <w:r>
        <w:t xml:space="preserve"> </w:t>
      </w:r>
      <w:r>
        <w:t xml:space="preserve">improvement (Int 12:LTL) as the first-selected alternative in both</w:t>
      </w:r>
      <w:r>
        <w:t xml:space="preserve"> </w:t>
      </w:r>
      <w:r>
        <w:t xml:space="preserve">solutions, (b) consistent rejection of signalization at Intersections 3</w:t>
      </w:r>
      <w:r>
        <w:t xml:space="preserve"> </w:t>
      </w:r>
      <w:r>
        <w:t xml:space="preserve">and 4 on delay-cost grounds, and (c) consistent rank ordering of LTL</w:t>
      </w:r>
      <w:r>
        <w:t xml:space="preserve"> </w:t>
      </w:r>
      <w:r>
        <w:t xml:space="preserve">improvements across the intersection set. Residual divergence between the</w:t>
      </w:r>
      <w:r>
        <w:t xml:space="preserve"> </w:t>
      </w:r>
      <w:r>
        <w:t xml:space="preserve">two solutions is attributable to the intersection-sub-problem scope and to</w:t>
      </w:r>
      <w:r>
        <w:t xml:space="preserve"> </w:t>
      </w:r>
      <w:r>
        <w:t xml:space="preserve">Banihashemi’s unpublished AMF values, neither of which constitutes a defect</w:t>
      </w:r>
      <w:r>
        <w:t xml:space="preserve"> </w:t>
      </w:r>
      <w:r>
        <w:t xml:space="preserve">in the MCBOMs formulation or implementation.</w:t>
      </w:r>
    </w:p>
    <w:bookmarkEnd w:id="110"/>
    <w:bookmarkEnd w:id="111"/>
    <w:bookmarkStart w:id="114" w:name="summary-of-validation-evidence"/>
    <w:p>
      <w:pPr>
        <w:pStyle w:val="Heading2"/>
      </w:pPr>
      <w:r>
        <w:t xml:space="preserve">Summary of Validation Evidence</w:t>
      </w:r>
    </w:p>
    <w:p>
      <w:pPr>
        <w:pStyle w:val="FirstParagraph"/>
      </w:pPr>
      <w:r>
        <w:t xml:space="preserve">The MCBOMs framework has been validated at three independent levels: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Methodology level</w:t>
      </w:r>
      <w:r>
        <w:t xml:space="preserve"> </w:t>
      </w:r>
      <w:r>
        <w:t xml:space="preserve">(Section </w:t>
      </w:r>
      <w:hyperlink w:anchor="sec:validation-worked">
        <w:r>
          <w:rPr>
            <w:rStyle w:val="Hyperlink"/>
          </w:rPr>
          <w:t xml:space="preserve">7.1</w:t>
        </w:r>
      </w:hyperlink>
      <w:r>
        <w:t xml:space="preserve">):</w:t>
      </w:r>
      <w:r>
        <w:t xml:space="preserve"> </w:t>
      </w:r>
      <w:r>
        <w:t xml:space="preserve">direct algebraic reproduction of the worked safety-benefit example.</w:t>
      </w:r>
      <w:r>
        <w:t xml:space="preserve"> </w:t>
      </w:r>
      <w:r>
        <w:t xml:space="preserve">Match within floating-point precision.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Program level</w:t>
      </w:r>
      <w:r>
        <w:t xml:space="preserve"> </w:t>
      </w:r>
      <w:r>
        <w:t xml:space="preserve">(Section </w:t>
      </w:r>
      <w:hyperlink w:anchor="sec:validation-harwood">
        <w:r>
          <w:rPr>
            <w:rStyle w:val="Hyperlink"/>
          </w:rPr>
          <w:t xml:space="preserve">7.2</w:t>
        </w:r>
      </w:hyperlink>
      <w:r>
        <w:t xml:space="preserve">): full</w:t>
      </w:r>
      <w:r>
        <w:t xml:space="preserve"> </w:t>
      </w:r>
      <w:r>
        <w:t xml:space="preserve">optimization reproduction of the Harwood (2003) $50M published case to</w:t>
      </w:r>
      <w:r>
        <w:t xml:space="preserve"> </w:t>
      </w:r>
      <w:r>
        <w:t xml:space="preserve">within $5 (rounding) on all metrics, with identical site selection</w:t>
      </w:r>
      <w:r>
        <w:t xml:space="preserve"> </w:t>
      </w:r>
      <w:r>
        <w:t xml:space="preserve">across all 10 sites. At the $10M budget, the MCBOMs optimizer produces</w:t>
      </w:r>
      <w:r>
        <w:t xml:space="preserve"> </w:t>
      </w:r>
      <w:r>
        <w:t xml:space="preserve">a strictly net-benefit-superior solution because the framework does not</w:t>
      </w:r>
      <w:r>
        <w:t xml:space="preserve"> </w:t>
      </w:r>
      <w:r>
        <w:t xml:space="preserve">implement Harwood’s PNR deferral-penalty mechanism; this methodological</w:t>
      </w:r>
      <w:r>
        <w:t xml:space="preserve"> </w:t>
      </w:r>
      <w:r>
        <w:t xml:space="preserve">choice is documented and defensible.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Network level</w:t>
      </w:r>
      <w:r>
        <w:t xml:space="preserve"> </w:t>
      </w:r>
      <w:r>
        <w:t xml:space="preserve">(Section </w:t>
      </w:r>
      <w:hyperlink w:anchor="sec:validation-banihashemi">
        <w:r>
          <w:rPr>
            <w:rStyle w:val="Hyperlink"/>
          </w:rPr>
          <w:t xml:space="preserve">7.3</w:t>
        </w:r>
      </w:hyperlink>
      <w:r>
        <w:t xml:space="preserve">):</w:t>
      </w:r>
      <w:r>
        <w:t xml:space="preserve"> </w:t>
      </w:r>
      <w:r>
        <w:t xml:space="preserve">reproduction of the Banihashemi (2007) intersection sub-problem. The</w:t>
      </w:r>
      <w:r>
        <w:t xml:space="preserve"> </w:t>
      </w:r>
      <w:r>
        <w:t xml:space="preserve">MCBOMs MILP correctly identifies the most cost-effective intersection</w:t>
      </w:r>
      <w:r>
        <w:t xml:space="preserve"> </w:t>
      </w:r>
      <w:r>
        <w:t xml:space="preserve">improvement (Int 12:LTL) as the first-selected alternative, correctly</w:t>
      </w:r>
      <w:r>
        <w:t xml:space="preserve"> </w:t>
      </w:r>
      <w:r>
        <w:t xml:space="preserve">rejects signalization at Intersections 3 and 4 on delay-cost grounds,</w:t>
      </w:r>
      <w:r>
        <w:t xml:space="preserve"> </w:t>
      </w:r>
      <w:r>
        <w:t xml:space="preserve">and produces a rank ordering of LTL improvements consistent with</w:t>
      </w:r>
      <w:r>
        <w:t xml:space="preserve"> </w:t>
      </w:r>
      <w:r>
        <w:t xml:space="preserve">Banihashemi’s published Table 5. Residual numerical divergence is</w:t>
      </w:r>
      <w:r>
        <w:t xml:space="preserve"> </w:t>
      </w:r>
      <w:r>
        <w:t xml:space="preserve">attributable to the intersection-sub-problem scope (versus Banihashemi’s</w:t>
      </w:r>
      <w:r>
        <w:t xml:space="preserve"> </w:t>
      </w:r>
      <w:r>
        <w:t xml:space="preserve">full-network solution) and to AMF values not published in the original</w:t>
      </w:r>
      <w:r>
        <w:t xml:space="preserve"> </w:t>
      </w:r>
      <w:r>
        <w:t xml:space="preserve">paper.</w:t>
      </w:r>
    </w:p>
    <w:bookmarkStart w:id="112" w:name="cross-validation."/>
    <w:p>
      <w:pPr>
        <w:pStyle w:val="Heading4"/>
      </w:pPr>
      <w:r>
        <w:t xml:space="preserve">Cross-validation.</w:t>
      </w:r>
    </w:p>
    <w:p>
      <w:pPr>
        <w:pStyle w:val="FirstParagraph"/>
      </w:pPr>
      <w:r>
        <w:t xml:space="preserve">In addition to the published-paper benchmarks,</w:t>
      </w:r>
      <w:r>
        <w:t xml:space="preserve"> </w:t>
      </w:r>
      <w:r>
        <w:t xml:space="preserve">per-segment cross-validation against the Task 4 data-curation BCA</w:t>
      </w:r>
      <w:r>
        <w:t xml:space="preserve"> </w:t>
      </w:r>
      <w:r>
        <w:t xml:space="preserve">spreadsheet shows perfect replication ($0.00 maximum error across 35</w:t>
      </w:r>
      <w:r>
        <w:t xml:space="preserve"> </w:t>
      </w:r>
      <w:r>
        <w:t xml:space="preserve">segment–alternative pairs) of the spreadsheet’s safety benefit calculation,</w:t>
      </w:r>
      <w:r>
        <w:t xml:space="preserve"> </w:t>
      </w:r>
      <w:r>
        <w:t xml:space="preserve">with the constant 10.59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ratio of present-value to single-year</w:t>
      </w:r>
      <w:r>
        <w:t xml:space="preserve"> </w:t>
      </w:r>
      <w:r>
        <w:t xml:space="preserve">benefit confirming methodological equivalence up to discounting.</w:t>
      </w:r>
    </w:p>
    <w:bookmarkEnd w:id="112"/>
    <w:bookmarkStart w:id="113" w:name="reproducibility."/>
    <w:p>
      <w:pPr>
        <w:pStyle w:val="Heading4"/>
      </w:pPr>
      <w:r>
        <w:t xml:space="preserve">Reproducibility.</w:t>
      </w:r>
    </w:p>
    <w:p>
      <w:pPr>
        <w:pStyle w:val="FirstParagraph"/>
      </w:pPr>
      <w:r>
        <w:t xml:space="preserve">All validation procedures described in this</w:t>
      </w:r>
      <w:r>
        <w:t xml:space="preserve"> </w:t>
      </w:r>
      <w:r>
        <w:t xml:space="preserve">chapter are reproducible from the project’s GitHub repository. The</w:t>
      </w:r>
      <w:r>
        <w:t xml:space="preserve"> </w:t>
      </w:r>
      <w:r>
        <w:t xml:space="preserve">automated test suite includes 32 tests covering the worked example, the</w:t>
      </w:r>
      <w:r>
        <w:t xml:space="preserve"> </w:t>
      </w:r>
      <w:r>
        <w:t xml:space="preserve">Harwood reproduction, and unit tests for each safety-benefit computational</w:t>
      </w:r>
      <w:r>
        <w:t xml:space="preserve"> </w:t>
      </w:r>
      <w:r>
        <w:t xml:space="preserve">component. The Harwood validation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run_harwood_validation.py</w:t>
      </w:r>
      <w:r>
        <w:t xml:space="preserve">) prints a complete validation summary</w:t>
      </w:r>
      <w:r>
        <w:t xml:space="preserve"> </w:t>
      </w:r>
      <w:r>
        <w:t xml:space="preserve">on each run, including informational reporting of the documented $10M</w:t>
      </w:r>
      <w:r>
        <w:t xml:space="preserve"> </w:t>
      </w:r>
      <w:r>
        <w:t xml:space="preserve">divergence.</w:t>
      </w:r>
    </w:p>
    <w:bookmarkEnd w:id="113"/>
    <w:bookmarkEnd w:id="114"/>
    <w:bookmarkEnd w:id="115"/>
    <w:sectPr w:rsidR="00D23448" w:rsidRPr="00AA70E7" w:rsidSect="00E308EC">
      <w:headerReference r:id="rId12" w:type="even"/>
      <w:headerReference r:id="rId10" w:type="default"/>
      <w:footerReference r:id="rId14" w:type="even"/>
      <w:footerReference r:id="rId16" w:type="default"/>
      <w:pgSz w:code="1" w:h="15840" w:w="12240"/>
      <w:pgMar w:bottom="1440" w:footer="360" w:gutter="0" w:header="360" w:left="1440" w:right="1440" w:top="1440"/>
      <w:cols w:space="36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yriadPro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yriad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aramondPremrPro">
    <w:altName w:val="Calibri"/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yriadPro-BoldI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A6F8" w14:textId="77777777" w:rsidR="008F26B6" w:rsidRPr="00450227" w:rsidRDefault="008F26B6" w:rsidP="0096644E">
    <w:pPr>
      <w:pStyle w:val="Footer"/>
      <w:tabs>
        <w:tab w:val="right" w:pos="9720"/>
      </w:tabs>
    </w:pPr>
    <w:r w:rsidRPr="00450227">
      <w:t xml:space="preserve">Section Name Goes </w:t>
    </w:r>
    <w:r w:rsidRPr="00544EBA">
      <w:t>Here</w:t>
    </w:r>
    <w:r w:rsidRPr="00450227">
      <w:rPr>
        <w:rStyle w:val="PageNumber"/>
      </w:rPr>
      <w:tab/>
    </w:r>
    <w:r w:rsidRPr="00450227">
      <w:rPr>
        <w:rStyle w:val="PageNumber"/>
      </w:rPr>
      <w:fldChar w:fldCharType="begin"/>
    </w:r>
    <w:r w:rsidRPr="00450227">
      <w:rPr>
        <w:rStyle w:val="PageNumber"/>
      </w:rPr>
      <w:instrText xml:space="preserve"> PAGE </w:instrText>
    </w:r>
    <w:r w:rsidRPr="00450227">
      <w:rPr>
        <w:rStyle w:val="PageNumber"/>
      </w:rPr>
      <w:fldChar w:fldCharType="separate"/>
    </w:r>
    <w:r>
      <w:rPr>
        <w:rStyle w:val="PageNumber"/>
      </w:rPr>
      <w:t>22</w:t>
    </w:r>
    <w:r w:rsidRPr="00450227">
      <w:rPr>
        <w:rStyle w:val="PageNumber"/>
      </w:rPr>
      <w:fldChar w:fldCharType="end"/>
    </w:r>
    <w:r>
      <w:rPr>
        <w:rStyle w:val="PageNumber"/>
      </w:rPr>
      <w:tab/>
      <w:t>Insert RFP No., or due date or Volume Info</w:t>
    </w:r>
  </w:p>
  <w:p w14:paraId="3B9C589A" w14:textId="77777777" w:rsidR="008F26B6" w:rsidRPr="00A94540" w:rsidRDefault="008F26B6" w:rsidP="00141D98">
    <w:r w:rsidRPr="00A94540">
      <w:t xml:space="preserve">Source Selection </w:t>
    </w:r>
    <w:r w:rsidRPr="00CC3960">
      <w:t>Information</w:t>
    </w:r>
    <w:r w:rsidRPr="00A94540">
      <w:t xml:space="preserve"> - See FAR 2.101 and 3.104</w:t>
    </w:r>
    <w:r w:rsidRPr="00A94540">
      <w:tab/>
      <w:t xml:space="preserve">Use or disclosure of data contained on this sheet is subject to the restriction </w:t>
    </w:r>
    <w:r w:rsidRPr="00544EBA">
      <w:t>on</w:t>
    </w:r>
    <w:r w:rsidRPr="00A94540">
      <w:t xml:space="preserve"> the title page of this proposal.</w:t>
    </w:r>
  </w:p>
  <w:p w14:paraId="77FFE3FC" w14:textId="77777777" w:rsidR="008F26B6" w:rsidRPr="00A94540" w:rsidRDefault="008F26B6" w:rsidP="00141D98"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9FDE950" wp14:editId="71537D14">
              <wp:simplePos x="0" y="0"/>
              <wp:positionH relativeFrom="column">
                <wp:posOffset>-914400</wp:posOffset>
              </wp:positionH>
              <wp:positionV relativeFrom="paragraph">
                <wp:posOffset>136525</wp:posOffset>
              </wp:positionV>
              <wp:extent cx="7813675" cy="106680"/>
              <wp:effectExtent l="0" t="0" r="0" b="7620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 flipV="1">
                        <a:off x="0" y="0"/>
                        <a:ext cx="7813675" cy="1066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1F497D"/>
                          </a:gs>
                          <a:gs pos="99000">
                            <a:srgbClr val="4F81BD"/>
                          </a:gs>
                        </a:gsLst>
                        <a:lin ang="0" scaled="0"/>
                      </a:gra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EF9744" id="Rectangle 15" o:spid="_x0000_s1026" style="position:absolute;margin-left:-1in;margin-top:10.75pt;width:615.25pt;height:8.4pt;rotation:180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" fillcolor="#1f497d" stroked="f" strokeweight="2pt">
              <v:fill color2="#4f81bd" angle="90" colors="0 #1f497d;64881f #4f81bd" focus="100%" type="gradient">
                <o:fill v:ext="view" type="gradientUnscaled"/>
              </v:fill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6F78" w14:textId="77777777" w:rsidR="008F26B6" w:rsidRPr="00A94540" w:rsidRDefault="008F26B6" w:rsidP="00141D98">
    <w:pPr>
      <w:rPr>
        <w:sz w:val="2"/>
      </w:rPr>
    </w:pPr>
    <w:r w:rsidRPr="001D754A">
      <w:rPr>
        <w:noProof/>
      </w:rPr>
      <w:drawing>
        <wp:anchor distT="0" distB="0" distL="114300" distR="114300" simplePos="0" relativeHeight="251658251" behindDoc="0" locked="0" layoutInCell="1" allowOverlap="1" wp14:anchorId="169C6721" wp14:editId="2AF25583">
          <wp:simplePos x="0" y="0"/>
          <wp:positionH relativeFrom="column">
            <wp:posOffset>4229100</wp:posOffset>
          </wp:positionH>
          <wp:positionV relativeFrom="paragraph">
            <wp:posOffset>-594995</wp:posOffset>
          </wp:positionV>
          <wp:extent cx="2286000" cy="441813"/>
          <wp:effectExtent l="0" t="0" r="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TI_aggie_maro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418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754A"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215071BB" wp14:editId="2DC75623">
              <wp:simplePos x="0" y="0"/>
              <wp:positionH relativeFrom="column">
                <wp:posOffset>-914400</wp:posOffset>
              </wp:positionH>
              <wp:positionV relativeFrom="paragraph">
                <wp:posOffset>14605</wp:posOffset>
              </wp:positionV>
              <wp:extent cx="7772400" cy="227965"/>
              <wp:effectExtent l="0" t="0" r="0" b="635"/>
              <wp:wrapThrough wrapText="bothSides">
                <wp:wrapPolygon edited="0">
                  <wp:start x="0" y="0"/>
                  <wp:lineTo x="0" y="19253"/>
                  <wp:lineTo x="21529" y="19253"/>
                  <wp:lineTo x="21529" y="0"/>
                  <wp:lineTo x="0" y="0"/>
                </wp:wrapPolygon>
              </wp:wrapThrough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2796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8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C1BD73" id="Rectangle 24" o:spid="_x0000_s1026" style="position:absolute;margin-left:-1in;margin-top:1.15pt;width:612pt;height:17.95pt;z-index:2516582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" fillcolor="#d9d9d9" stroked="f">
              <w10:wrap type="through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1399579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463CF9" w14:textId="77777777" w:rsidR="006F69DF" w:rsidRDefault="006F69DF" w:rsidP="006F69DF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13</w:t>
        </w:r>
        <w:r>
          <w:fldChar w:fldCharType="end"/>
        </w:r>
      </w:p>
    </w:sdtContent>
  </w:sdt>
  <w:p w14:paraId="3A0EBC7A" w14:textId="77777777" w:rsidR="008F26B6" w:rsidRDefault="008F26B6" w:rsidP="00141D98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6CC7" w14:textId="77777777" w:rsidR="008F26B6" w:rsidRPr="004E7927" w:rsidRDefault="008F26B6" w:rsidP="00141D98"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655275B" wp14:editId="1885ECD0">
              <wp:simplePos x="0" y="0"/>
              <wp:positionH relativeFrom="column">
                <wp:posOffset>2220595</wp:posOffset>
              </wp:positionH>
              <wp:positionV relativeFrom="paragraph">
                <wp:posOffset>-180975</wp:posOffset>
              </wp:positionV>
              <wp:extent cx="4025900" cy="46545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5900" cy="4654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C3B841B" w14:textId="77777777" w:rsidR="008F26B6" w:rsidRDefault="008F26B6" w:rsidP="00141D98">
                          <w:r w:rsidRPr="00C2645B">
                            <w:t xml:space="preserve">Non-Citizen Services (NCS) </w:t>
                          </w:r>
                          <w:r w:rsidRPr="00C2645B">
                            <w:rPr>
                              <w:rFonts w:ascii="Wingdings" w:eastAsia="Wingdings" w:hAnsi="Wingdings" w:cs="Wingdings"/>
                            </w:rPr>
                            <w:t>l</w:t>
                          </w:r>
                          <w:r w:rsidRPr="00C2645B">
                            <w:t xml:space="preserve"> DME TOR #01-02</w:t>
                          </w:r>
                        </w:p>
                        <w:p w14:paraId="7247E3FC" w14:textId="77777777" w:rsidR="008F26B6" w:rsidRDefault="008F26B6" w:rsidP="00141D98">
                          <w:r w:rsidRPr="009F49A1">
                            <w:t>Proposal No. F00491.A.2013.6H6.000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55275B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174.85pt;margin-top:-14.25pt;width:317pt;height:36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" filled="f" stroked="f" strokeweight=".5pt">
              <v:textbox>
                <w:txbxContent>
                  <w:p w14:paraId="5C3B841B" w14:textId="77777777" w:rsidR="008F26B6" w:rsidRDefault="008F26B6" w:rsidP="00141D98">
                    <w:r w:rsidRPr="00C2645B">
                      <w:t xml:space="preserve">Non-Citizen Services (NCS) </w:t>
                    </w:r>
                    <w:r w:rsidRPr="00C2645B">
                      <w:rPr>
                        <w:rFonts w:ascii="Wingdings" w:eastAsia="Wingdings" w:hAnsi="Wingdings" w:cs="Wingdings"/>
                      </w:rPr>
                      <w:t>l</w:t>
                    </w:r>
                    <w:r w:rsidRPr="00C2645B">
                      <w:t xml:space="preserve"> DME TOR #01-02</w:t>
                    </w:r>
                  </w:p>
                  <w:p w14:paraId="7247E3FC" w14:textId="77777777" w:rsidR="008F26B6" w:rsidRDefault="008F26B6" w:rsidP="00141D98">
                    <w:r w:rsidRPr="009F49A1">
                      <w:t>Proposal No. F00491.A.2013.6H6.000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602DC7A0" wp14:editId="585F51BE">
              <wp:simplePos x="0" y="0"/>
              <wp:positionH relativeFrom="column">
                <wp:posOffset>-914400</wp:posOffset>
              </wp:positionH>
              <wp:positionV relativeFrom="paragraph">
                <wp:posOffset>-228600</wp:posOffset>
              </wp:positionV>
              <wp:extent cx="7793990" cy="727075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flipH="1">
                        <a:off x="0" y="0"/>
                        <a:ext cx="7793990" cy="727075"/>
                        <a:chOff x="0" y="0"/>
                        <a:chExt cx="7793990" cy="727075"/>
                      </a:xfrm>
                    </wpg:grpSpPr>
                    <wps:wsp>
                      <wps:cNvPr id="17" name="Freeform 17"/>
                      <wps:cNvSpPr/>
                      <wps:spPr>
                        <a:xfrm>
                          <a:off x="5943600" y="0"/>
                          <a:ext cx="1850390" cy="703580"/>
                        </a:xfrm>
                        <a:custGeom>
                          <a:avLst/>
                          <a:gdLst>
                            <a:gd name="connsiteX0" fmla="*/ 65314 w 1850571"/>
                            <a:gd name="connsiteY0" fmla="*/ 0 h 703943"/>
                            <a:gd name="connsiteX1" fmla="*/ 1850571 w 1850571"/>
                            <a:gd name="connsiteY1" fmla="*/ 0 h 703943"/>
                            <a:gd name="connsiteX2" fmla="*/ 1850571 w 1850571"/>
                            <a:gd name="connsiteY2" fmla="*/ 703943 h 703943"/>
                            <a:gd name="connsiteX3" fmla="*/ 0 w 1850571"/>
                            <a:gd name="connsiteY3" fmla="*/ 217714 h 703943"/>
                            <a:gd name="connsiteX4" fmla="*/ 65314 w 1850571"/>
                            <a:gd name="connsiteY4" fmla="*/ 0 h 7039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50571" h="703943">
                              <a:moveTo>
                                <a:pt x="65314" y="0"/>
                              </a:moveTo>
                              <a:lnTo>
                                <a:pt x="1850571" y="0"/>
                              </a:lnTo>
                              <a:lnTo>
                                <a:pt x="1850571" y="703943"/>
                              </a:lnTo>
                              <a:lnTo>
                                <a:pt x="0" y="217714"/>
                              </a:lnTo>
                              <a:lnTo>
                                <a:pt x="65314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100000">
                              <a:srgbClr val="1F497D"/>
                            </a:gs>
                            <a:gs pos="40000">
                              <a:srgbClr val="641D76"/>
                            </a:gs>
                          </a:gsLst>
                          <a:lin ang="2400000" scaled="0"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  <wps:wsp>
                      <wps:cNvPr id="28" name="Parallelogram 2"/>
                      <wps:cNvSpPr/>
                      <wps:spPr>
                        <a:xfrm>
                          <a:off x="0" y="0"/>
                          <a:ext cx="6055743" cy="727075"/>
                        </a:xfrm>
                        <a:custGeom>
                          <a:avLst/>
                          <a:gdLst>
                            <a:gd name="connsiteX0" fmla="*/ 0 w 4206240"/>
                            <a:gd name="connsiteY0" fmla="*/ 616017 h 616017"/>
                            <a:gd name="connsiteX1" fmla="*/ 154004 w 4206240"/>
                            <a:gd name="connsiteY1" fmla="*/ 0 h 616017"/>
                            <a:gd name="connsiteX2" fmla="*/ 4206240 w 4206240"/>
                            <a:gd name="connsiteY2" fmla="*/ 0 h 616017"/>
                            <a:gd name="connsiteX3" fmla="*/ 4052236 w 4206240"/>
                            <a:gd name="connsiteY3" fmla="*/ 616017 h 616017"/>
                            <a:gd name="connsiteX4" fmla="*/ 0 w 4206240"/>
                            <a:gd name="connsiteY4" fmla="*/ 616017 h 616017"/>
                            <a:gd name="connsiteX0" fmla="*/ 9626 w 4215866"/>
                            <a:gd name="connsiteY0" fmla="*/ 625643 h 625643"/>
                            <a:gd name="connsiteX1" fmla="*/ 0 w 4215866"/>
                            <a:gd name="connsiteY1" fmla="*/ 0 h 625643"/>
                            <a:gd name="connsiteX2" fmla="*/ 4215866 w 4215866"/>
                            <a:gd name="connsiteY2" fmla="*/ 9626 h 625643"/>
                            <a:gd name="connsiteX3" fmla="*/ 4061862 w 4215866"/>
                            <a:gd name="connsiteY3" fmla="*/ 625643 h 625643"/>
                            <a:gd name="connsiteX4" fmla="*/ 9626 w 4215866"/>
                            <a:gd name="connsiteY4" fmla="*/ 625643 h 625643"/>
                            <a:gd name="connsiteX0" fmla="*/ 9626 w 4215866"/>
                            <a:gd name="connsiteY0" fmla="*/ 856649 h 856649"/>
                            <a:gd name="connsiteX1" fmla="*/ 0 w 4215866"/>
                            <a:gd name="connsiteY1" fmla="*/ 0 h 856649"/>
                            <a:gd name="connsiteX2" fmla="*/ 4215866 w 4215866"/>
                            <a:gd name="connsiteY2" fmla="*/ 9626 h 856649"/>
                            <a:gd name="connsiteX3" fmla="*/ 4061862 w 4215866"/>
                            <a:gd name="connsiteY3" fmla="*/ 625643 h 856649"/>
                            <a:gd name="connsiteX4" fmla="*/ 9626 w 4215866"/>
                            <a:gd name="connsiteY4" fmla="*/ 856649 h 856649"/>
                            <a:gd name="connsiteX0" fmla="*/ 9626 w 7305575"/>
                            <a:gd name="connsiteY0" fmla="*/ 856649 h 856649"/>
                            <a:gd name="connsiteX1" fmla="*/ 0 w 7305575"/>
                            <a:gd name="connsiteY1" fmla="*/ 0 h 856649"/>
                            <a:gd name="connsiteX2" fmla="*/ 4215866 w 7305575"/>
                            <a:gd name="connsiteY2" fmla="*/ 9626 h 856649"/>
                            <a:gd name="connsiteX3" fmla="*/ 7305575 w 7305575"/>
                            <a:gd name="connsiteY3" fmla="*/ 616018 h 856649"/>
                            <a:gd name="connsiteX4" fmla="*/ 9626 w 7305575"/>
                            <a:gd name="connsiteY4" fmla="*/ 856649 h 856649"/>
                            <a:gd name="connsiteX0" fmla="*/ 9626 w 7372952"/>
                            <a:gd name="connsiteY0" fmla="*/ 856649 h 856649"/>
                            <a:gd name="connsiteX1" fmla="*/ 0 w 7372952"/>
                            <a:gd name="connsiteY1" fmla="*/ 0 h 856649"/>
                            <a:gd name="connsiteX2" fmla="*/ 7372952 w 7372952"/>
                            <a:gd name="connsiteY2" fmla="*/ 9626 h 856649"/>
                            <a:gd name="connsiteX3" fmla="*/ 7305575 w 7372952"/>
                            <a:gd name="connsiteY3" fmla="*/ 616018 h 856649"/>
                            <a:gd name="connsiteX4" fmla="*/ 9626 w 7372952"/>
                            <a:gd name="connsiteY4" fmla="*/ 856649 h 856649"/>
                            <a:gd name="connsiteX0" fmla="*/ 9626 w 7372952"/>
                            <a:gd name="connsiteY0" fmla="*/ 856649 h 856649"/>
                            <a:gd name="connsiteX1" fmla="*/ 0 w 7372952"/>
                            <a:gd name="connsiteY1" fmla="*/ 0 h 856649"/>
                            <a:gd name="connsiteX2" fmla="*/ 7372952 w 7372952"/>
                            <a:gd name="connsiteY2" fmla="*/ 9626 h 856649"/>
                            <a:gd name="connsiteX3" fmla="*/ 7324826 w 7372952"/>
                            <a:gd name="connsiteY3" fmla="*/ 298384 h 856649"/>
                            <a:gd name="connsiteX4" fmla="*/ 9626 w 7372952"/>
                            <a:gd name="connsiteY4" fmla="*/ 856649 h 856649"/>
                            <a:gd name="connsiteX0" fmla="*/ 9626 w 7372952"/>
                            <a:gd name="connsiteY0" fmla="*/ 856649 h 856649"/>
                            <a:gd name="connsiteX1" fmla="*/ 0 w 7372952"/>
                            <a:gd name="connsiteY1" fmla="*/ 0 h 856649"/>
                            <a:gd name="connsiteX2" fmla="*/ 7372952 w 7372952"/>
                            <a:gd name="connsiteY2" fmla="*/ 9626 h 856649"/>
                            <a:gd name="connsiteX3" fmla="*/ 7324826 w 7372952"/>
                            <a:gd name="connsiteY3" fmla="*/ 317635 h 856649"/>
                            <a:gd name="connsiteX4" fmla="*/ 9626 w 7372952"/>
                            <a:gd name="connsiteY4" fmla="*/ 856649 h 856649"/>
                            <a:gd name="connsiteX0" fmla="*/ 9626 w 7382577"/>
                            <a:gd name="connsiteY0" fmla="*/ 856649 h 856649"/>
                            <a:gd name="connsiteX1" fmla="*/ 0 w 7382577"/>
                            <a:gd name="connsiteY1" fmla="*/ 0 h 856649"/>
                            <a:gd name="connsiteX2" fmla="*/ 7382577 w 7382577"/>
                            <a:gd name="connsiteY2" fmla="*/ 0 h 856649"/>
                            <a:gd name="connsiteX3" fmla="*/ 7324826 w 7382577"/>
                            <a:gd name="connsiteY3" fmla="*/ 317635 h 856649"/>
                            <a:gd name="connsiteX4" fmla="*/ 9626 w 7382577"/>
                            <a:gd name="connsiteY4" fmla="*/ 856649 h 856649"/>
                            <a:gd name="connsiteX0" fmla="*/ 16883 w 7382577"/>
                            <a:gd name="connsiteY0" fmla="*/ 1044176 h 1044176"/>
                            <a:gd name="connsiteX1" fmla="*/ 0 w 7382577"/>
                            <a:gd name="connsiteY1" fmla="*/ 0 h 1044176"/>
                            <a:gd name="connsiteX2" fmla="*/ 7382577 w 7382577"/>
                            <a:gd name="connsiteY2" fmla="*/ 0 h 1044176"/>
                            <a:gd name="connsiteX3" fmla="*/ 7324826 w 7382577"/>
                            <a:gd name="connsiteY3" fmla="*/ 317635 h 1044176"/>
                            <a:gd name="connsiteX4" fmla="*/ 16883 w 7382577"/>
                            <a:gd name="connsiteY4" fmla="*/ 1044176 h 1044176"/>
                            <a:gd name="connsiteX0" fmla="*/ 16883 w 7382577"/>
                            <a:gd name="connsiteY0" fmla="*/ 1044176 h 1044176"/>
                            <a:gd name="connsiteX1" fmla="*/ 0 w 7382577"/>
                            <a:gd name="connsiteY1" fmla="*/ 0 h 1044176"/>
                            <a:gd name="connsiteX2" fmla="*/ 7382577 w 7382577"/>
                            <a:gd name="connsiteY2" fmla="*/ 0 h 1044176"/>
                            <a:gd name="connsiteX3" fmla="*/ 7368367 w 7382577"/>
                            <a:gd name="connsiteY3" fmla="*/ 317636 h 1044176"/>
                            <a:gd name="connsiteX4" fmla="*/ 16883 w 7382577"/>
                            <a:gd name="connsiteY4" fmla="*/ 1044176 h 1044176"/>
                            <a:gd name="connsiteX0" fmla="*/ 16883 w 7433374"/>
                            <a:gd name="connsiteY0" fmla="*/ 1044176 h 1044176"/>
                            <a:gd name="connsiteX1" fmla="*/ 0 w 7433374"/>
                            <a:gd name="connsiteY1" fmla="*/ 0 h 1044176"/>
                            <a:gd name="connsiteX2" fmla="*/ 7433374 w 7433374"/>
                            <a:gd name="connsiteY2" fmla="*/ 0 h 1044176"/>
                            <a:gd name="connsiteX3" fmla="*/ 7368367 w 7433374"/>
                            <a:gd name="connsiteY3" fmla="*/ 317636 h 1044176"/>
                            <a:gd name="connsiteX4" fmla="*/ 16883 w 7433374"/>
                            <a:gd name="connsiteY4" fmla="*/ 1044176 h 10441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433374" h="1044176">
                              <a:moveTo>
                                <a:pt x="16883" y="1044176"/>
                              </a:moveTo>
                              <a:lnTo>
                                <a:pt x="0" y="0"/>
                              </a:lnTo>
                              <a:lnTo>
                                <a:pt x="7433374" y="0"/>
                              </a:lnTo>
                              <a:lnTo>
                                <a:pt x="7368367" y="317636"/>
                              </a:lnTo>
                              <a:lnTo>
                                <a:pt x="16883" y="1044176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4E196D"/>
                            </a:gs>
                            <a:gs pos="100000">
                              <a:srgbClr val="A612AA">
                                <a:lumMod val="87000"/>
                              </a:srgbClr>
                            </a:gs>
                          </a:gsLst>
                          <a:lin ang="1800000" scaled="0"/>
                        </a:gradFill>
                        <a:ln w="22225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D21E20" id="Group 13" o:spid="_x0000_s1026" style="position:absolute;margin-left:-1in;margin-top:-18pt;width:613.7pt;height:57.25pt;flip:x;z-index:251658243" coordsize="77939,7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">
              <v:shape id="Freeform 17" o:spid="_x0000_s1027" style="position:absolute;left:59436;width:18503;height:7035;visibility:visible;mso-wrap-style:square;v-text-anchor:middle" coordsize="1850571,703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" path="m65314,l1850571,r,703943l,217714,65314,xe" fillcolor="#641d76" stroked="f" strokeweight="2pt">
                <v:fill color2="#1f497d" angle="50" colors="0 #641d76;26214f #641d76" focus="100%" type="gradient">
                  <o:fill v:ext="view" type="gradientUnscaled"/>
                </v:fill>
                <v:path arrowok="t" o:connecttype="custom" o:connectlocs="65308,0;1850390,0;1850390,703580;0,217602;65308,0" o:connectangles="0,0,0,0,0"/>
              </v:shape>
              <v:shape id="Parallelogram 2" o:spid="_x0000_s1028" style="position:absolute;width:60557;height:7270;visibility:visible;mso-wrap-style:square;v-text-anchor:middle" coordsize="7433374,104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" path="m16883,1044176l,,7433374,r-65007,317636l16883,1044176xe" fillcolor="#4e196d" stroked="f" strokeweight="1.75pt">
                <v:fill color2="#901094" angle="60" focus="100%" type="gradient">
                  <o:fill v:ext="view" type="gradientUnscaled"/>
                </v:fill>
                <v:path arrowok="t" o:connecttype="custom" o:connectlocs="13754,727075;0,0;6055743,0;6002784,221175;13754,727075" o:connectangles="0,0,0,0,0"/>
              </v:shape>
            </v:group>
          </w:pict>
        </mc:Fallback>
      </mc:AlternateContent>
    </w:r>
  </w:p>
  <w:p w14:paraId="6A1BBEC5" w14:textId="77777777" w:rsidR="008F26B6" w:rsidRPr="00544EBA" w:rsidRDefault="008F26B6" w:rsidP="00141D9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4A09" w14:textId="1EDAF041" w:rsidR="008F26B6" w:rsidRPr="004E7927" w:rsidRDefault="00A759E4" w:rsidP="002E2B45">
    <w:pPr>
      <w:pStyle w:val="Header"/>
    </w:pPr>
    <w:r w:rsidRPr="008B3887">
      <w:rPr>
        <w:noProof/>
      </w:rPr>
      <w:drawing>
        <wp:anchor distT="0" distB="0" distL="114300" distR="114300" simplePos="0" relativeHeight="251658257" behindDoc="0" locked="0" layoutInCell="1" allowOverlap="1" wp14:anchorId="503FBBC3" wp14:editId="7F544054">
          <wp:simplePos x="0" y="0"/>
          <wp:positionH relativeFrom="column">
            <wp:posOffset>367665</wp:posOffset>
          </wp:positionH>
          <wp:positionV relativeFrom="paragraph">
            <wp:posOffset>-146685</wp:posOffset>
          </wp:positionV>
          <wp:extent cx="5332730" cy="2967355"/>
          <wp:effectExtent l="0" t="0" r="1270" b="4445"/>
          <wp:wrapSquare wrapText="bothSides"/>
          <wp:docPr id="511150042" name="Picture 1" descr="A collage of several images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150042" name="Picture 1" descr="A collage of several images of peop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32730" cy="2967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26B6">
      <w:rPr>
        <w:noProof/>
      </w:rPr>
      <w:drawing>
        <wp:anchor distT="0" distB="0" distL="114300" distR="114300" simplePos="0" relativeHeight="251658256" behindDoc="0" locked="0" layoutInCell="1" allowOverlap="1" wp14:anchorId="680418F7" wp14:editId="2A0BB992">
          <wp:simplePos x="0" y="0"/>
          <wp:positionH relativeFrom="column">
            <wp:posOffset>-914400</wp:posOffset>
          </wp:positionH>
          <wp:positionV relativeFrom="paragraph">
            <wp:posOffset>2980055</wp:posOffset>
          </wp:positionV>
          <wp:extent cx="7772400" cy="154940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ti_color_band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54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26B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0ED9AD0" wp14:editId="52197731">
              <wp:simplePos x="0" y="0"/>
              <wp:positionH relativeFrom="column">
                <wp:posOffset>-916254</wp:posOffset>
              </wp:positionH>
              <wp:positionV relativeFrom="paragraph">
                <wp:posOffset>-2324100</wp:posOffset>
              </wp:positionV>
              <wp:extent cx="7772400" cy="5372100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537210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7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6B4814" id="Rectangle 21" o:spid="_x0000_s1026" style="position:absolute;margin-left:-72.15pt;margin-top:-183pt;width:612pt;height:423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" fillcolor="#bfbfbf" stroked="f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69B9" w14:textId="77777777" w:rsidR="008F26B6" w:rsidRPr="00C2645B" w:rsidRDefault="008F26B6" w:rsidP="0096644E">
    <w:pPr>
      <w:pStyle w:val="Header"/>
    </w:pPr>
    <w:r>
      <w:rPr>
        <w:noProof/>
      </w:rPr>
      <w:drawing>
        <wp:anchor distT="0" distB="0" distL="114300" distR="114300" simplePos="0" relativeHeight="251658252" behindDoc="1" locked="0" layoutInCell="1" allowOverlap="1" wp14:anchorId="6E1E67AC" wp14:editId="5340447F">
          <wp:simplePos x="0" y="0"/>
          <wp:positionH relativeFrom="column">
            <wp:posOffset>5511165</wp:posOffset>
          </wp:positionH>
          <wp:positionV relativeFrom="paragraph">
            <wp:posOffset>-102235</wp:posOffset>
          </wp:positionV>
          <wp:extent cx="758825" cy="182880"/>
          <wp:effectExtent l="0" t="0" r="3175" b="7620"/>
          <wp:wrapThrough wrapText="bothSides">
            <wp:wrapPolygon edited="0">
              <wp:start x="0" y="0"/>
              <wp:lineTo x="0" y="13500"/>
              <wp:lineTo x="5423" y="20250"/>
              <wp:lineTo x="21148" y="20250"/>
              <wp:lineTo x="21148" y="0"/>
              <wp:lineTo x="4880" y="0"/>
              <wp:lineTo x="0" y="0"/>
            </wp:wrapPolygon>
          </wp:wrapThrough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T_lds_4cp_wht_re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25" cy="182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674ADC2" wp14:editId="6390966C">
              <wp:simplePos x="0" y="0"/>
              <wp:positionH relativeFrom="column">
                <wp:posOffset>-343535</wp:posOffset>
              </wp:positionH>
              <wp:positionV relativeFrom="paragraph">
                <wp:posOffset>-157480</wp:posOffset>
              </wp:positionV>
              <wp:extent cx="4140200" cy="465455"/>
              <wp:effectExtent l="0" t="0" r="0" b="0"/>
              <wp:wrapNone/>
              <wp:docPr id="4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0" cy="4654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BD131F" w14:textId="77777777" w:rsidR="008F26B6" w:rsidRDefault="008F26B6" w:rsidP="0096644E">
                          <w:pPr>
                            <w:pStyle w:val="Header"/>
                            <w:ind w:left="0"/>
                          </w:pPr>
                          <w:r w:rsidRPr="00C2645B">
                            <w:t xml:space="preserve">Non-Citizen Services (NCS) </w:t>
                          </w:r>
                          <w:r w:rsidRPr="00C2645B">
                            <w:rPr>
                              <w:rFonts w:ascii="Wingdings" w:eastAsia="Wingdings" w:hAnsi="Wingdings" w:cs="Wingdings"/>
                            </w:rPr>
                            <w:t>l</w:t>
                          </w:r>
                          <w:r w:rsidRPr="00C2645B">
                            <w:t xml:space="preserve"> DME TOR #01-02</w:t>
                          </w:r>
                        </w:p>
                        <w:p w14:paraId="269367D3" w14:textId="77777777" w:rsidR="008F26B6" w:rsidRDefault="008F26B6" w:rsidP="0096644E">
                          <w:pPr>
                            <w:pStyle w:val="Header"/>
                            <w:ind w:left="0"/>
                          </w:pPr>
                          <w:r w:rsidRPr="009F49A1">
                            <w:t>Proposal No. F00491.A.2013.6H6.000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74ADC2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8" type="#_x0000_t202" style="position:absolute;left:0;text-align:left;margin-left:-27.05pt;margin-top:-12.4pt;width:326pt;height:36.6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" filled="f" stroked="f" strokeweight=".5pt">
              <v:textbox>
                <w:txbxContent>
                  <w:p w14:paraId="2EBD131F" w14:textId="77777777" w:rsidR="008F26B6" w:rsidRDefault="008F26B6" w:rsidP="0096644E">
                    <w:pPr>
                      <w:pStyle w:val="Header"/>
                      <w:ind w:left="0"/>
                    </w:pPr>
                    <w:r w:rsidRPr="00C2645B">
                      <w:t xml:space="preserve">Non-Citizen Services (NCS) </w:t>
                    </w:r>
                    <w:r w:rsidRPr="00C2645B">
                      <w:rPr>
                        <w:rFonts w:ascii="Wingdings" w:eastAsia="Wingdings" w:hAnsi="Wingdings" w:cs="Wingdings"/>
                      </w:rPr>
                      <w:t>l</w:t>
                    </w:r>
                    <w:r w:rsidRPr="00C2645B">
                      <w:t xml:space="preserve"> DME TOR #01-02</w:t>
                    </w:r>
                  </w:p>
                  <w:p w14:paraId="269367D3" w14:textId="77777777" w:rsidR="008F26B6" w:rsidRDefault="008F26B6" w:rsidP="0096644E">
                    <w:pPr>
                      <w:pStyle w:val="Header"/>
                      <w:ind w:left="0"/>
                    </w:pPr>
                    <w:r w:rsidRPr="009F49A1">
                      <w:t>Proposal No. F00491.A.2013.6H6.000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6C401445" wp14:editId="3CE7A8B7">
              <wp:simplePos x="0" y="0"/>
              <wp:positionH relativeFrom="column">
                <wp:posOffset>5020310</wp:posOffset>
              </wp:positionH>
              <wp:positionV relativeFrom="paragraph">
                <wp:posOffset>-245745</wp:posOffset>
              </wp:positionV>
              <wp:extent cx="1854200" cy="931545"/>
              <wp:effectExtent l="0" t="0" r="0" b="1905"/>
              <wp:wrapNone/>
              <wp:docPr id="1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4200" cy="931545"/>
                      </a:xfrm>
                      <a:custGeom>
                        <a:avLst/>
                        <a:gdLst>
                          <a:gd name="connsiteX0" fmla="*/ 65314 w 1850571"/>
                          <a:gd name="connsiteY0" fmla="*/ 0 h 703943"/>
                          <a:gd name="connsiteX1" fmla="*/ 1850571 w 1850571"/>
                          <a:gd name="connsiteY1" fmla="*/ 0 h 703943"/>
                          <a:gd name="connsiteX2" fmla="*/ 1850571 w 1850571"/>
                          <a:gd name="connsiteY2" fmla="*/ 703943 h 703943"/>
                          <a:gd name="connsiteX3" fmla="*/ 0 w 1850571"/>
                          <a:gd name="connsiteY3" fmla="*/ 217714 h 703943"/>
                          <a:gd name="connsiteX4" fmla="*/ 65314 w 1850571"/>
                          <a:gd name="connsiteY4" fmla="*/ 0 h 70394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850571" h="703943">
                            <a:moveTo>
                              <a:pt x="65314" y="0"/>
                            </a:moveTo>
                            <a:lnTo>
                              <a:pt x="1850571" y="0"/>
                            </a:lnTo>
                            <a:lnTo>
                              <a:pt x="1850571" y="703943"/>
                            </a:lnTo>
                            <a:lnTo>
                              <a:pt x="0" y="217714"/>
                            </a:lnTo>
                            <a:lnTo>
                              <a:pt x="65314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100000">
                            <a:srgbClr val="201747"/>
                          </a:gs>
                          <a:gs pos="40000">
                            <a:srgbClr val="641D76"/>
                          </a:gs>
                        </a:gsLst>
                        <a:lin ang="2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67BACA" id="Freeform: Shape 1" o:spid="_x0000_s1026" style="position:absolute;margin-left:395.3pt;margin-top:-19.35pt;width:146pt;height:73.35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0571,703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" path="m65314,l1850571,r,703943l,217714,65314,xe" fillcolor="#641d76" stroked="f" strokeweight="2pt">
              <v:fill color2="#201747" angle="50" colors="0 #641d76;26214f #641d76" focus="100%" type="gradient">
                <o:fill v:ext="view" type="gradientUnscaled"/>
              </v:fill>
              <v:path arrowok="t" o:connecttype="custom" o:connectlocs="65442,0;1854200,0;1854200,931545;0,288106;65442,0" o:connectangles="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1F3C9E19" wp14:editId="1E405B82">
              <wp:simplePos x="0" y="0"/>
              <wp:positionH relativeFrom="column">
                <wp:posOffset>-931545</wp:posOffset>
              </wp:positionH>
              <wp:positionV relativeFrom="paragraph">
                <wp:posOffset>-245745</wp:posOffset>
              </wp:positionV>
              <wp:extent cx="6055360" cy="922655"/>
              <wp:effectExtent l="0" t="0" r="2540" b="0"/>
              <wp:wrapNone/>
              <wp:docPr id="2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5360" cy="922655"/>
                      </a:xfrm>
                      <a:custGeom>
                        <a:avLst/>
                        <a:gdLst>
                          <a:gd name="connsiteX0" fmla="*/ 0 w 4206240"/>
                          <a:gd name="connsiteY0" fmla="*/ 616017 h 616017"/>
                          <a:gd name="connsiteX1" fmla="*/ 154004 w 4206240"/>
                          <a:gd name="connsiteY1" fmla="*/ 0 h 616017"/>
                          <a:gd name="connsiteX2" fmla="*/ 4206240 w 4206240"/>
                          <a:gd name="connsiteY2" fmla="*/ 0 h 616017"/>
                          <a:gd name="connsiteX3" fmla="*/ 4052236 w 4206240"/>
                          <a:gd name="connsiteY3" fmla="*/ 616017 h 616017"/>
                          <a:gd name="connsiteX4" fmla="*/ 0 w 4206240"/>
                          <a:gd name="connsiteY4" fmla="*/ 616017 h 616017"/>
                          <a:gd name="connsiteX0" fmla="*/ 9626 w 4215866"/>
                          <a:gd name="connsiteY0" fmla="*/ 625643 h 625643"/>
                          <a:gd name="connsiteX1" fmla="*/ 0 w 4215866"/>
                          <a:gd name="connsiteY1" fmla="*/ 0 h 625643"/>
                          <a:gd name="connsiteX2" fmla="*/ 4215866 w 4215866"/>
                          <a:gd name="connsiteY2" fmla="*/ 9626 h 625643"/>
                          <a:gd name="connsiteX3" fmla="*/ 4061862 w 4215866"/>
                          <a:gd name="connsiteY3" fmla="*/ 625643 h 625643"/>
                          <a:gd name="connsiteX4" fmla="*/ 9626 w 4215866"/>
                          <a:gd name="connsiteY4" fmla="*/ 625643 h 625643"/>
                          <a:gd name="connsiteX0" fmla="*/ 9626 w 4215866"/>
                          <a:gd name="connsiteY0" fmla="*/ 856649 h 856649"/>
                          <a:gd name="connsiteX1" fmla="*/ 0 w 4215866"/>
                          <a:gd name="connsiteY1" fmla="*/ 0 h 856649"/>
                          <a:gd name="connsiteX2" fmla="*/ 4215866 w 4215866"/>
                          <a:gd name="connsiteY2" fmla="*/ 9626 h 856649"/>
                          <a:gd name="connsiteX3" fmla="*/ 4061862 w 4215866"/>
                          <a:gd name="connsiteY3" fmla="*/ 625643 h 856649"/>
                          <a:gd name="connsiteX4" fmla="*/ 9626 w 4215866"/>
                          <a:gd name="connsiteY4" fmla="*/ 856649 h 856649"/>
                          <a:gd name="connsiteX0" fmla="*/ 9626 w 7305575"/>
                          <a:gd name="connsiteY0" fmla="*/ 856649 h 856649"/>
                          <a:gd name="connsiteX1" fmla="*/ 0 w 7305575"/>
                          <a:gd name="connsiteY1" fmla="*/ 0 h 856649"/>
                          <a:gd name="connsiteX2" fmla="*/ 4215866 w 7305575"/>
                          <a:gd name="connsiteY2" fmla="*/ 9626 h 856649"/>
                          <a:gd name="connsiteX3" fmla="*/ 7305575 w 7305575"/>
                          <a:gd name="connsiteY3" fmla="*/ 616018 h 856649"/>
                          <a:gd name="connsiteX4" fmla="*/ 9626 w 7305575"/>
                          <a:gd name="connsiteY4" fmla="*/ 856649 h 856649"/>
                          <a:gd name="connsiteX0" fmla="*/ 9626 w 7372952"/>
                          <a:gd name="connsiteY0" fmla="*/ 856649 h 856649"/>
                          <a:gd name="connsiteX1" fmla="*/ 0 w 7372952"/>
                          <a:gd name="connsiteY1" fmla="*/ 0 h 856649"/>
                          <a:gd name="connsiteX2" fmla="*/ 7372952 w 7372952"/>
                          <a:gd name="connsiteY2" fmla="*/ 9626 h 856649"/>
                          <a:gd name="connsiteX3" fmla="*/ 7305575 w 7372952"/>
                          <a:gd name="connsiteY3" fmla="*/ 616018 h 856649"/>
                          <a:gd name="connsiteX4" fmla="*/ 9626 w 7372952"/>
                          <a:gd name="connsiteY4" fmla="*/ 856649 h 856649"/>
                          <a:gd name="connsiteX0" fmla="*/ 9626 w 7372952"/>
                          <a:gd name="connsiteY0" fmla="*/ 856649 h 856649"/>
                          <a:gd name="connsiteX1" fmla="*/ 0 w 7372952"/>
                          <a:gd name="connsiteY1" fmla="*/ 0 h 856649"/>
                          <a:gd name="connsiteX2" fmla="*/ 7372952 w 7372952"/>
                          <a:gd name="connsiteY2" fmla="*/ 9626 h 856649"/>
                          <a:gd name="connsiteX3" fmla="*/ 7324826 w 7372952"/>
                          <a:gd name="connsiteY3" fmla="*/ 298384 h 856649"/>
                          <a:gd name="connsiteX4" fmla="*/ 9626 w 7372952"/>
                          <a:gd name="connsiteY4" fmla="*/ 856649 h 856649"/>
                          <a:gd name="connsiteX0" fmla="*/ 9626 w 7372952"/>
                          <a:gd name="connsiteY0" fmla="*/ 856649 h 856649"/>
                          <a:gd name="connsiteX1" fmla="*/ 0 w 7372952"/>
                          <a:gd name="connsiteY1" fmla="*/ 0 h 856649"/>
                          <a:gd name="connsiteX2" fmla="*/ 7372952 w 7372952"/>
                          <a:gd name="connsiteY2" fmla="*/ 9626 h 856649"/>
                          <a:gd name="connsiteX3" fmla="*/ 7324826 w 7372952"/>
                          <a:gd name="connsiteY3" fmla="*/ 317635 h 856649"/>
                          <a:gd name="connsiteX4" fmla="*/ 9626 w 7372952"/>
                          <a:gd name="connsiteY4" fmla="*/ 856649 h 856649"/>
                          <a:gd name="connsiteX0" fmla="*/ 9626 w 7382577"/>
                          <a:gd name="connsiteY0" fmla="*/ 856649 h 856649"/>
                          <a:gd name="connsiteX1" fmla="*/ 0 w 7382577"/>
                          <a:gd name="connsiteY1" fmla="*/ 0 h 856649"/>
                          <a:gd name="connsiteX2" fmla="*/ 7382577 w 7382577"/>
                          <a:gd name="connsiteY2" fmla="*/ 0 h 856649"/>
                          <a:gd name="connsiteX3" fmla="*/ 7324826 w 7382577"/>
                          <a:gd name="connsiteY3" fmla="*/ 317635 h 856649"/>
                          <a:gd name="connsiteX4" fmla="*/ 9626 w 7382577"/>
                          <a:gd name="connsiteY4" fmla="*/ 856649 h 856649"/>
                          <a:gd name="connsiteX0" fmla="*/ 16883 w 7382577"/>
                          <a:gd name="connsiteY0" fmla="*/ 1044176 h 1044176"/>
                          <a:gd name="connsiteX1" fmla="*/ 0 w 7382577"/>
                          <a:gd name="connsiteY1" fmla="*/ 0 h 1044176"/>
                          <a:gd name="connsiteX2" fmla="*/ 7382577 w 7382577"/>
                          <a:gd name="connsiteY2" fmla="*/ 0 h 1044176"/>
                          <a:gd name="connsiteX3" fmla="*/ 7324826 w 7382577"/>
                          <a:gd name="connsiteY3" fmla="*/ 317635 h 1044176"/>
                          <a:gd name="connsiteX4" fmla="*/ 16883 w 7382577"/>
                          <a:gd name="connsiteY4" fmla="*/ 1044176 h 1044176"/>
                          <a:gd name="connsiteX0" fmla="*/ 16883 w 7382577"/>
                          <a:gd name="connsiteY0" fmla="*/ 1044176 h 1044176"/>
                          <a:gd name="connsiteX1" fmla="*/ 0 w 7382577"/>
                          <a:gd name="connsiteY1" fmla="*/ 0 h 1044176"/>
                          <a:gd name="connsiteX2" fmla="*/ 7382577 w 7382577"/>
                          <a:gd name="connsiteY2" fmla="*/ 0 h 1044176"/>
                          <a:gd name="connsiteX3" fmla="*/ 7368367 w 7382577"/>
                          <a:gd name="connsiteY3" fmla="*/ 317636 h 1044176"/>
                          <a:gd name="connsiteX4" fmla="*/ 16883 w 7382577"/>
                          <a:gd name="connsiteY4" fmla="*/ 1044176 h 1044176"/>
                          <a:gd name="connsiteX0" fmla="*/ 16883 w 7433374"/>
                          <a:gd name="connsiteY0" fmla="*/ 1044176 h 1044176"/>
                          <a:gd name="connsiteX1" fmla="*/ 0 w 7433374"/>
                          <a:gd name="connsiteY1" fmla="*/ 0 h 1044176"/>
                          <a:gd name="connsiteX2" fmla="*/ 7433374 w 7433374"/>
                          <a:gd name="connsiteY2" fmla="*/ 0 h 1044176"/>
                          <a:gd name="connsiteX3" fmla="*/ 7368367 w 7433374"/>
                          <a:gd name="connsiteY3" fmla="*/ 317636 h 1044176"/>
                          <a:gd name="connsiteX4" fmla="*/ 16883 w 7433374"/>
                          <a:gd name="connsiteY4" fmla="*/ 1044176 h 104417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433374" h="1044176">
                            <a:moveTo>
                              <a:pt x="16883" y="1044176"/>
                            </a:moveTo>
                            <a:lnTo>
                              <a:pt x="0" y="0"/>
                            </a:lnTo>
                            <a:lnTo>
                              <a:pt x="7433374" y="0"/>
                            </a:lnTo>
                            <a:lnTo>
                              <a:pt x="7368367" y="317636"/>
                            </a:lnTo>
                            <a:lnTo>
                              <a:pt x="16883" y="1044176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4E196D"/>
                          </a:gs>
                          <a:gs pos="100000">
                            <a:srgbClr val="A612AA">
                              <a:lumMod val="87000"/>
                            </a:srgbClr>
                          </a:gs>
                        </a:gsLst>
                        <a:lin ang="1800000" scaled="0"/>
                      </a:gradFill>
                      <a:ln w="2222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87FED9" id="Freeform: Shape 2" o:spid="_x0000_s1026" style="position:absolute;margin-left:-73.35pt;margin-top:-19.35pt;width:476.8pt;height:72.65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coordsize="7433374,1044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" path="m16883,1044176l,,7433374,r-65007,317636l16883,1044176xe" fillcolor="#4e196d" stroked="f" strokeweight="1.75pt">
              <v:fill color2="#901094" angle="60" focus="100%" type="gradient">
                <o:fill v:ext="view" type="gradientUnscaled"/>
              </v:fill>
              <v:path arrowok="t" o:connecttype="custom" o:connectlocs="13753,922655;0,0;6055360,0;6002404,280670;13753,922655" o:connectangles="0,0,0,0,0"/>
            </v:shape>
          </w:pict>
        </mc:Fallback>
      </mc:AlternateContent>
    </w:r>
  </w:p>
  <w:p w14:paraId="56A3BDBD" w14:textId="77777777" w:rsidR="008F26B6" w:rsidRPr="004E7927" w:rsidRDefault="008F26B6" w:rsidP="00141D98"/>
  <w:p w14:paraId="62B2EC33" w14:textId="77777777" w:rsidR="008F26B6" w:rsidRDefault="008F26B6" w:rsidP="00141D9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033F" w14:textId="77777777" w:rsidR="008F26B6" w:rsidRPr="00C2645B" w:rsidRDefault="008F26B6" w:rsidP="0096644E">
    <w:pPr>
      <w:pStyle w:val="Header"/>
    </w:pPr>
    <w:r>
      <w:rPr>
        <w:noProof/>
      </w:rPr>
      <w:drawing>
        <wp:anchor distT="0" distB="0" distL="114300" distR="114300" simplePos="0" relativeHeight="251658254" behindDoc="0" locked="0" layoutInCell="1" allowOverlap="1" wp14:anchorId="0A17B9B2" wp14:editId="1B8205A8">
          <wp:simplePos x="0" y="0"/>
          <wp:positionH relativeFrom="column">
            <wp:posOffset>4747895</wp:posOffset>
          </wp:positionH>
          <wp:positionV relativeFrom="paragraph">
            <wp:posOffset>37338</wp:posOffset>
          </wp:positionV>
          <wp:extent cx="1827530" cy="352425"/>
          <wp:effectExtent l="0" t="0" r="1270" b="9525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TI_aggie_maro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753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462BEAE4" wp14:editId="4304EEEF">
              <wp:simplePos x="0" y="0"/>
              <wp:positionH relativeFrom="page">
                <wp:posOffset>-1905</wp:posOffset>
              </wp:positionH>
              <wp:positionV relativeFrom="paragraph">
                <wp:posOffset>-225552</wp:posOffset>
              </wp:positionV>
              <wp:extent cx="7772400" cy="68580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8DB6E0" id="Rectangle 7" o:spid="_x0000_s1026" style="position:absolute;margin-left:-.15pt;margin-top:-17.75pt;width:612pt;height:54pt;z-index:2516582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" fillcolor="#bfbfbf [2412]" stroked="f">
              <w10:wrap anchorx="page"/>
            </v:rect>
          </w:pict>
        </mc:Fallback>
      </mc:AlternateContent>
    </w:r>
  </w:p>
  <w:p w14:paraId="5A4A5489" w14:textId="77777777" w:rsidR="008F26B6" w:rsidRPr="004E7927" w:rsidRDefault="008F26B6" w:rsidP="00141D98">
    <w:r>
      <w:rPr>
        <w:noProof/>
      </w:rPr>
      <w:drawing>
        <wp:anchor distT="0" distB="0" distL="114300" distR="114300" simplePos="0" relativeHeight="251658255" behindDoc="0" locked="0" layoutInCell="1" allowOverlap="1" wp14:anchorId="0F68E74C" wp14:editId="1B5D5517">
          <wp:simplePos x="0" y="0"/>
          <wp:positionH relativeFrom="page">
            <wp:posOffset>-4445</wp:posOffset>
          </wp:positionH>
          <wp:positionV relativeFrom="paragraph">
            <wp:posOffset>295783</wp:posOffset>
          </wp:positionV>
          <wp:extent cx="7772400" cy="15494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ti_color_band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54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9A0500" w14:textId="77777777" w:rsidR="008F26B6" w:rsidRDefault="008F26B6" w:rsidP="00141D9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9883" w14:textId="77777777" w:rsidR="008F26B6" w:rsidRPr="00C2645B" w:rsidRDefault="008F26B6" w:rsidP="0096644E">
    <w:pPr>
      <w:pStyle w:val="Header"/>
    </w:pPr>
    <w:r>
      <w:rPr>
        <w:noProof/>
      </w:rPr>
      <w:drawing>
        <wp:anchor distT="0" distB="0" distL="114300" distR="114300" simplePos="0" relativeHeight="251658248" behindDoc="0" locked="0" layoutInCell="1" allowOverlap="1" wp14:anchorId="6494D524" wp14:editId="3CC1B4D3">
          <wp:simplePos x="0" y="0"/>
          <wp:positionH relativeFrom="column">
            <wp:posOffset>4747895</wp:posOffset>
          </wp:positionH>
          <wp:positionV relativeFrom="paragraph">
            <wp:posOffset>37338</wp:posOffset>
          </wp:positionV>
          <wp:extent cx="1827530" cy="352425"/>
          <wp:effectExtent l="0" t="0" r="1270" b="9525"/>
          <wp:wrapNone/>
          <wp:docPr id="1563372635" name="Picture 1563372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TI_aggie_maro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753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6E42C7F5" wp14:editId="12FE02E2">
              <wp:simplePos x="0" y="0"/>
              <wp:positionH relativeFrom="page">
                <wp:posOffset>-1905</wp:posOffset>
              </wp:positionH>
              <wp:positionV relativeFrom="paragraph">
                <wp:posOffset>-225552</wp:posOffset>
              </wp:positionV>
              <wp:extent cx="7772400" cy="685800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858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75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B94EE7" id="Rectangle 11" o:spid="_x0000_s1026" style="position:absolute;margin-left:-.15pt;margin-top:-17.75pt;width:612pt;height:54pt;z-index:2516582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" fillcolor="#bfbfbf [2412]" stroked="f">
              <w10:wrap anchorx="page"/>
            </v:rect>
          </w:pict>
        </mc:Fallback>
      </mc:AlternateContent>
    </w:r>
  </w:p>
  <w:p w14:paraId="472EAA96" w14:textId="77777777" w:rsidR="008F26B6" w:rsidRPr="004E7927" w:rsidRDefault="008F26B6" w:rsidP="00141D98">
    <w:r>
      <w:rPr>
        <w:noProof/>
      </w:rPr>
      <w:drawing>
        <wp:anchor distT="0" distB="0" distL="114300" distR="114300" simplePos="0" relativeHeight="251658249" behindDoc="0" locked="0" layoutInCell="1" allowOverlap="1" wp14:anchorId="35C15BC3" wp14:editId="55EA2281">
          <wp:simplePos x="0" y="0"/>
          <wp:positionH relativeFrom="page">
            <wp:posOffset>-4445</wp:posOffset>
          </wp:positionH>
          <wp:positionV relativeFrom="paragraph">
            <wp:posOffset>295783</wp:posOffset>
          </wp:positionV>
          <wp:extent cx="7772400" cy="154940"/>
          <wp:effectExtent l="0" t="0" r="0" b="0"/>
          <wp:wrapNone/>
          <wp:docPr id="655921894" name="Picture 6559218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ti_color_band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54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5323E4" w14:textId="77777777" w:rsidR="008F26B6" w:rsidRDefault="008F26B6" w:rsidP="00141D98"/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C5C6E80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0B94694C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89004830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46CCB0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07163592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1E24A88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0F5CB1F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ACCEC5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F58906A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F8C0088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B55CE"/>
    <w:multiLevelType w:val="hybridMultilevel"/>
    <w:tmpl w:val="FD3C81D8"/>
    <w:lvl w:ilvl="0" w:tplc="194611BE">
      <w:start w:val="1"/>
      <w:numFmt w:val="bullet"/>
      <w:pStyle w:val="Proposal-Bullet-Level2"/>
      <w:lvlText w:val=""/>
      <w:lvlJc w:val="left"/>
      <w:pPr>
        <w:ind w:hanging="360" w:left="547"/>
      </w:pPr>
      <w:rPr>
        <w:rFonts w:ascii="Symbol" w:hAnsi="Symbol" w:hint="default"/>
        <w:b w:val="0"/>
        <w:i w:val="0"/>
        <w:color w:val="A1925C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62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78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4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60"/>
      </w:pPr>
      <w:rPr>
        <w:rFonts w:ascii="Wingdings" w:hAnsi="Wingdings" w:hint="default"/>
      </w:rPr>
    </w:lvl>
  </w:abstractNum>
  <w:abstractNum w15:restartNumberingAfterBreak="0" w:abstractNumId="11">
    <w:nsid w:val="001B3758"/>
    <w:multiLevelType w:val="multilevel"/>
    <w:tmpl w:val="B1B2818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005A2533"/>
    <w:multiLevelType w:val="multilevel"/>
    <w:tmpl w:val="B066CF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00986655"/>
    <w:multiLevelType w:val="hybridMultilevel"/>
    <w:tmpl w:val="5634A57A"/>
    <w:lvl w:ilvl="0" w:tplc="79BCA1C4">
      <w:start w:val="1"/>
      <w:numFmt w:val="bullet"/>
      <w:pStyle w:val="Proposal-BulletunderTaskText"/>
      <w:lvlText w:val=""/>
      <w:lvlJc w:val="left"/>
      <w:pPr>
        <w:ind w:hanging="360" w:left="533"/>
      </w:pPr>
      <w:rPr>
        <w:rFonts w:ascii="Symbol" w:hAnsi="Symbol" w:hint="default"/>
        <w:b w:val="0"/>
        <w:i w:val="0"/>
        <w:color w:val="auto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061762DF"/>
    <w:multiLevelType w:val="multilevel"/>
    <w:tmpl w:val="C3FE6D3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0784120B"/>
    <w:multiLevelType w:val="multilevel"/>
    <w:tmpl w:val="B5E8F7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09E969D9"/>
    <w:multiLevelType w:val="multilevel"/>
    <w:tmpl w:val="04F693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09FF2D3D"/>
    <w:multiLevelType w:val="hybridMultilevel"/>
    <w:tmpl w:val="7686618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0C496BC7"/>
    <w:multiLevelType w:val="multilevel"/>
    <w:tmpl w:val="044C4A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0D3029DD"/>
    <w:multiLevelType w:val="multilevel"/>
    <w:tmpl w:val="82FC68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0">
    <w:nsid w:val="0FBA7520"/>
    <w:multiLevelType w:val="multilevel"/>
    <w:tmpl w:val="1D2C685C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40" w:val="num"/>
        </w:tabs>
        <w:ind w:hanging="360" w:left="324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60" w:val="num"/>
        </w:tabs>
        <w:ind w:hanging="360" w:left="39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400" w:val="num"/>
        </w:tabs>
        <w:ind w:hanging="360" w:left="540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20" w:val="num"/>
        </w:tabs>
        <w:ind w:hanging="360" w:left="612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  <w:sz w:val="20"/>
      </w:rPr>
    </w:lvl>
  </w:abstractNum>
  <w:abstractNum w15:restartNumberingAfterBreak="0" w:abstractNumId="21">
    <w:nsid w:val="15E70259"/>
    <w:multiLevelType w:val="hybridMultilevel"/>
    <w:tmpl w:val="7174108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16B71130"/>
    <w:multiLevelType w:val="multilevel"/>
    <w:tmpl w:val="4720E79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180365C0"/>
    <w:multiLevelType w:val="multilevel"/>
    <w:tmpl w:val="A1A26ED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188A0938"/>
    <w:multiLevelType w:val="hybridMultilevel"/>
    <w:tmpl w:val="BDFA9C6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18F80511"/>
    <w:multiLevelType w:val="hybridMultilevel"/>
    <w:tmpl w:val="3CACEB7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196A3841"/>
    <w:multiLevelType w:val="hybridMultilevel"/>
    <w:tmpl w:val="9500AB2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19823EB1"/>
    <w:multiLevelType w:val="multilevel"/>
    <w:tmpl w:val="7C9E46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1ABE26E8"/>
    <w:multiLevelType w:val="hybridMultilevel"/>
    <w:tmpl w:val="496A002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1B4F841C"/>
    <w:multiLevelType w:val="hybridMultilevel"/>
    <w:tmpl w:val="7828F66E"/>
    <w:lvl w:ilvl="0" w:tplc="A57AD34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09E6350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7E449C4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A44C56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BAC83976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EC62021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C6C5648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A9CB85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558F04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1C523701"/>
    <w:multiLevelType w:val="multilevel"/>
    <w:tmpl w:val="E3ACEF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1">
    <w:nsid w:val="1CFD5D07"/>
    <w:multiLevelType w:val="hybridMultilevel"/>
    <w:tmpl w:val="DDCEBC20"/>
    <w:lvl w:ilvl="0" w:tplc="D3946C1A">
      <w:start w:val="1"/>
      <w:numFmt w:val="upperRoman"/>
      <w:pStyle w:val="Heading1"/>
      <w:lvlText w:val="CHAPTER 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1E1B3A4C"/>
    <w:multiLevelType w:val="multilevel"/>
    <w:tmpl w:val="60A27C7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3">
    <w:nsid w:val="1EBE097F"/>
    <w:multiLevelType w:val="hybridMultilevel"/>
    <w:tmpl w:val="E7F64EC0"/>
    <w:lvl w:ilvl="0" w:tplc="8C60DC08">
      <w:start w:val="1"/>
      <w:numFmt w:val="bullet"/>
      <w:pStyle w:val="Proposal-bullets"/>
      <w:lvlText w:val=""/>
      <w:lvlJc w:val="left"/>
      <w:pPr>
        <w:ind w:hanging="360" w:left="900"/>
      </w:pPr>
      <w:rPr>
        <w:rFonts w:ascii="Symbol" w:hAnsi="Symbol" w:hint="default"/>
        <w:color w:val="580E1F"/>
      </w:rPr>
    </w:lvl>
    <w:lvl w:ilvl="1" w:tplc="04090003">
      <w:start w:val="1"/>
      <w:numFmt w:val="bullet"/>
      <w:lvlText w:val="o"/>
      <w:lvlJc w:val="left"/>
      <w:pPr>
        <w:ind w:hanging="360" w:left="16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7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60"/>
      </w:pPr>
      <w:rPr>
        <w:rFonts w:ascii="Wingdings" w:hAnsi="Wingdings" w:hint="default"/>
      </w:rPr>
    </w:lvl>
  </w:abstractNum>
  <w:abstractNum w15:restartNumberingAfterBreak="0" w:abstractNumId="34">
    <w:nsid w:val="22932B05"/>
    <w:multiLevelType w:val="hybridMultilevel"/>
    <w:tmpl w:val="175C66B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235656CB"/>
    <w:multiLevelType w:val="hybridMultilevel"/>
    <w:tmpl w:val="F1CE28C8"/>
    <w:lvl w:ilvl="0" w:tplc="04090001">
      <w:start w:val="1"/>
      <w:numFmt w:val="bullet"/>
      <w:lvlText w:val=""/>
      <w:lvlJc w:val="left"/>
      <w:pPr>
        <w:ind w:hanging="360" w:left="787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507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227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947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67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87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07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827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547"/>
      </w:pPr>
      <w:rPr>
        <w:rFonts w:ascii="Wingdings" w:hAnsi="Wingdings" w:hint="default"/>
      </w:rPr>
    </w:lvl>
  </w:abstractNum>
  <w:abstractNum w15:restartNumberingAfterBreak="0" w:abstractNumId="36">
    <w:nsid w:val="23F7024C"/>
    <w:multiLevelType w:val="multilevel"/>
    <w:tmpl w:val="72F487B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3240" w:val="num"/>
        </w:tabs>
        <w:ind w:hanging="360" w:left="324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960" w:val="num"/>
        </w:tabs>
        <w:ind w:hanging="360" w:left="39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400" w:val="num"/>
        </w:tabs>
        <w:ind w:hanging="360" w:left="540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6120" w:val="num"/>
        </w:tabs>
        <w:ind w:hanging="360" w:left="612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  <w:sz w:val="20"/>
      </w:rPr>
    </w:lvl>
  </w:abstractNum>
  <w:abstractNum w15:restartNumberingAfterBreak="0" w:abstractNumId="37">
    <w:nsid w:val="25015281"/>
    <w:multiLevelType w:val="multilevel"/>
    <w:tmpl w:val="E32229C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8">
    <w:nsid w:val="25921DB8"/>
    <w:multiLevelType w:val="multilevel"/>
    <w:tmpl w:val="B21EA4D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9">
    <w:nsid w:val="26344704"/>
    <w:multiLevelType w:val="hybridMultilevel"/>
    <w:tmpl w:val="4C908980"/>
    <w:lvl w:ilvl="0" w:tplc="FFFFFFFF">
      <w:start w:val="1"/>
      <w:numFmt w:val="decimal"/>
      <w:lvlText w:val="%1."/>
      <w:lvlJc w:val="left"/>
      <w:pPr>
        <w:ind w:hanging="360" w:left="360"/>
      </w:pPr>
    </w:lvl>
    <w:lvl w:ilvl="1" w:tentative="1" w:tplc="FFFFFFFF">
      <w:start w:val="1"/>
      <w:numFmt w:val="lowerLetter"/>
      <w:lvlText w:val="%2."/>
      <w:lvlJc w:val="left"/>
      <w:pPr>
        <w:ind w:hanging="360" w:left="1080"/>
      </w:pPr>
    </w:lvl>
    <w:lvl w:ilvl="2" w:tentative="1" w:tplc="FFFFFFFF">
      <w:start w:val="1"/>
      <w:numFmt w:val="lowerRoman"/>
      <w:lvlText w:val="%3."/>
      <w:lvlJc w:val="right"/>
      <w:pPr>
        <w:ind w:hanging="180" w:left="1800"/>
      </w:pPr>
    </w:lvl>
    <w:lvl w:ilvl="3" w:tentative="1" w:tplc="FFFFFFFF">
      <w:start w:val="1"/>
      <w:numFmt w:val="decimal"/>
      <w:lvlText w:val="%4."/>
      <w:lvlJc w:val="left"/>
      <w:pPr>
        <w:ind w:hanging="360" w:left="2520"/>
      </w:pPr>
    </w:lvl>
    <w:lvl w:ilvl="4" w:tentative="1" w:tplc="FFFFFFFF">
      <w:start w:val="1"/>
      <w:numFmt w:val="lowerLetter"/>
      <w:lvlText w:val="%5."/>
      <w:lvlJc w:val="left"/>
      <w:pPr>
        <w:ind w:hanging="360" w:left="3240"/>
      </w:pPr>
    </w:lvl>
    <w:lvl w:ilvl="5" w:tentative="1" w:tplc="FFFFFFFF">
      <w:start w:val="1"/>
      <w:numFmt w:val="lowerRoman"/>
      <w:lvlText w:val="%6."/>
      <w:lvlJc w:val="right"/>
      <w:pPr>
        <w:ind w:hanging="180" w:left="3960"/>
      </w:pPr>
    </w:lvl>
    <w:lvl w:ilvl="6" w:tentative="1" w:tplc="FFFFFFFF">
      <w:start w:val="1"/>
      <w:numFmt w:val="decimal"/>
      <w:lvlText w:val="%7."/>
      <w:lvlJc w:val="left"/>
      <w:pPr>
        <w:ind w:hanging="360" w:left="4680"/>
      </w:pPr>
    </w:lvl>
    <w:lvl w:ilvl="7" w:tentative="1" w:tplc="FFFFFFFF">
      <w:start w:val="1"/>
      <w:numFmt w:val="lowerLetter"/>
      <w:lvlText w:val="%8."/>
      <w:lvlJc w:val="left"/>
      <w:pPr>
        <w:ind w:hanging="360" w:left="5400"/>
      </w:pPr>
    </w:lvl>
    <w:lvl w:ilvl="8" w:tentative="1" w:tplc="FFFFFFFF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0">
    <w:nsid w:val="27453099"/>
    <w:multiLevelType w:val="hybridMultilevel"/>
    <w:tmpl w:val="194CCF3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29CE7997"/>
    <w:multiLevelType w:val="multilevel"/>
    <w:tmpl w:val="C730201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2">
    <w:nsid w:val="2D4C7A84"/>
    <w:multiLevelType w:val="multilevel"/>
    <w:tmpl w:val="F72859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3">
    <w:nsid w:val="2D777087"/>
    <w:multiLevelType w:val="multilevel"/>
    <w:tmpl w:val="6A746A3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4">
    <w:nsid w:val="2F7143D3"/>
    <w:multiLevelType w:val="multilevel"/>
    <w:tmpl w:val="5B7052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5">
    <w:nsid w:val="30FA173D"/>
    <w:multiLevelType w:val="multilevel"/>
    <w:tmpl w:val="427E400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6">
    <w:nsid w:val="31CF0FCB"/>
    <w:multiLevelType w:val="multilevel"/>
    <w:tmpl w:val="21DEAF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7">
    <w:nsid w:val="32E52DCE"/>
    <w:multiLevelType w:val="singleLevel"/>
    <w:tmpl w:val="1EA4CE44"/>
    <w:lvl w:ilvl="0">
      <w:start w:val="1"/>
      <w:numFmt w:val="bullet"/>
      <w:pStyle w:val="ListBullet1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48">
    <w:nsid w:val="33D701E5"/>
    <w:multiLevelType w:val="multilevel"/>
    <w:tmpl w:val="A3E4CB6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9">
    <w:nsid w:val="35E14321"/>
    <w:multiLevelType w:val="multilevel"/>
    <w:tmpl w:val="3982841C"/>
    <w:lvl w:ilvl="0">
      <w:start w:val="1"/>
      <w:numFmt w:val="decimal"/>
      <w:pStyle w:val="GanttheadOutlineHeading1"/>
      <w:suff w:val="space"/>
      <w:lvlText w:val="%1."/>
      <w:lvlJc w:val="left"/>
      <w:pPr>
        <w:ind w:hanging="360" w:left="540"/>
      </w:pPr>
      <w:rPr>
        <w:rFonts w:hint="default"/>
      </w:rPr>
    </w:lvl>
    <w:lvl w:ilvl="1">
      <w:start w:val="1"/>
      <w:numFmt w:val="decimal"/>
      <w:pStyle w:val="GanttheadOutlineHeading2"/>
      <w:suff w:val="space"/>
      <w:lvlText w:val="%1.%2."/>
      <w:lvlJc w:val="left"/>
      <w:pPr>
        <w:ind w:firstLine="0" w:left="720"/>
      </w:pPr>
      <w:rPr>
        <w:rFonts w:hint="default"/>
      </w:rPr>
    </w:lvl>
    <w:lvl w:ilvl="2">
      <w:start w:val="1"/>
      <w:numFmt w:val="decimal"/>
      <w:pStyle w:val="GanttheadOutlineHeading3"/>
      <w:suff w:val="space"/>
      <w:lvlText w:val="%1.%2.%3."/>
      <w:lvlJc w:val="left"/>
      <w:pPr>
        <w:ind w:firstLine="0" w:left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3240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4320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5040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576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684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7560" w:val="num"/>
        </w:tabs>
        <w:ind w:hanging="1440" w:left="4320"/>
      </w:pPr>
      <w:rPr>
        <w:rFonts w:hint="default"/>
      </w:rPr>
    </w:lvl>
  </w:abstractNum>
  <w:abstractNum w15:restartNumberingAfterBreak="0" w:abstractNumId="50">
    <w:nsid w:val="37236F95"/>
    <w:multiLevelType w:val="hybridMultilevel"/>
    <w:tmpl w:val="E33649E6"/>
    <w:lvl w:ilvl="0" w:tplc="8D629412">
      <w:start w:val="1"/>
      <w:numFmt w:val="bullet"/>
      <w:lvlText w:val="•"/>
      <w:lvlJc w:val="left"/>
      <w:pPr>
        <w:tabs>
          <w:tab w:pos="360" w:val="num"/>
        </w:tabs>
        <w:ind w:hanging="360" w:left="360"/>
      </w:pPr>
      <w:rPr>
        <w:rFonts w:ascii="Arial" w:hAnsi="Arial" w:hint="default"/>
      </w:rPr>
    </w:lvl>
    <w:lvl w:ilvl="1" w:tplc="1EDE8A38">
      <w:start w:val="1"/>
      <w:numFmt w:val="bullet"/>
      <w:lvlText w:val="•"/>
      <w:lvlJc w:val="left"/>
      <w:pPr>
        <w:tabs>
          <w:tab w:pos="1080" w:val="num"/>
        </w:tabs>
        <w:ind w:hanging="360" w:left="1080"/>
      </w:pPr>
      <w:rPr>
        <w:rFonts w:ascii="Arial" w:hAnsi="Arial" w:hint="default"/>
      </w:rPr>
    </w:lvl>
    <w:lvl w:ilvl="2" w:tentative="1" w:tplc="14DA6B90">
      <w:start w:val="1"/>
      <w:numFmt w:val="bullet"/>
      <w:lvlText w:val="•"/>
      <w:lvlJc w:val="left"/>
      <w:pPr>
        <w:tabs>
          <w:tab w:pos="1800" w:val="num"/>
        </w:tabs>
        <w:ind w:hanging="360" w:left="1800"/>
      </w:pPr>
      <w:rPr>
        <w:rFonts w:ascii="Arial" w:hAnsi="Arial" w:hint="default"/>
      </w:rPr>
    </w:lvl>
    <w:lvl w:ilvl="3" w:tentative="1" w:tplc="DCBE0CC2">
      <w:start w:val="1"/>
      <w:numFmt w:val="bullet"/>
      <w:lvlText w:val="•"/>
      <w:lvlJc w:val="left"/>
      <w:pPr>
        <w:tabs>
          <w:tab w:pos="2520" w:val="num"/>
        </w:tabs>
        <w:ind w:hanging="360" w:left="2520"/>
      </w:pPr>
      <w:rPr>
        <w:rFonts w:ascii="Arial" w:hAnsi="Arial" w:hint="default"/>
      </w:rPr>
    </w:lvl>
    <w:lvl w:ilvl="4" w:tentative="1" w:tplc="F29E4A94">
      <w:start w:val="1"/>
      <w:numFmt w:val="bullet"/>
      <w:lvlText w:val="•"/>
      <w:lvlJc w:val="left"/>
      <w:pPr>
        <w:tabs>
          <w:tab w:pos="3240" w:val="num"/>
        </w:tabs>
        <w:ind w:hanging="360" w:left="3240"/>
      </w:pPr>
      <w:rPr>
        <w:rFonts w:ascii="Arial" w:hAnsi="Arial" w:hint="default"/>
      </w:rPr>
    </w:lvl>
    <w:lvl w:ilvl="5" w:tentative="1" w:tplc="5F549AD8">
      <w:start w:val="1"/>
      <w:numFmt w:val="bullet"/>
      <w:lvlText w:val="•"/>
      <w:lvlJc w:val="left"/>
      <w:pPr>
        <w:tabs>
          <w:tab w:pos="3960" w:val="num"/>
        </w:tabs>
        <w:ind w:hanging="360" w:left="3960"/>
      </w:pPr>
      <w:rPr>
        <w:rFonts w:ascii="Arial" w:hAnsi="Arial" w:hint="default"/>
      </w:rPr>
    </w:lvl>
    <w:lvl w:ilvl="6" w:tentative="1" w:tplc="CBC00D24">
      <w:start w:val="1"/>
      <w:numFmt w:val="bullet"/>
      <w:lvlText w:val="•"/>
      <w:lvlJc w:val="left"/>
      <w:pPr>
        <w:tabs>
          <w:tab w:pos="4680" w:val="num"/>
        </w:tabs>
        <w:ind w:hanging="360" w:left="4680"/>
      </w:pPr>
      <w:rPr>
        <w:rFonts w:ascii="Arial" w:hAnsi="Arial" w:hint="default"/>
      </w:rPr>
    </w:lvl>
    <w:lvl w:ilvl="7" w:tentative="1" w:tplc="93546624">
      <w:start w:val="1"/>
      <w:numFmt w:val="bullet"/>
      <w:lvlText w:val="•"/>
      <w:lvlJc w:val="left"/>
      <w:pPr>
        <w:tabs>
          <w:tab w:pos="5400" w:val="num"/>
        </w:tabs>
        <w:ind w:hanging="360" w:left="5400"/>
      </w:pPr>
      <w:rPr>
        <w:rFonts w:ascii="Arial" w:hAnsi="Arial" w:hint="default"/>
      </w:rPr>
    </w:lvl>
    <w:lvl w:ilvl="8" w:tentative="1" w:tplc="E32EFED8">
      <w:start w:val="1"/>
      <w:numFmt w:val="bullet"/>
      <w:lvlText w:val="•"/>
      <w:lvlJc w:val="left"/>
      <w:pPr>
        <w:tabs>
          <w:tab w:pos="6120" w:val="num"/>
        </w:tabs>
        <w:ind w:hanging="360" w:left="6120"/>
      </w:pPr>
      <w:rPr>
        <w:rFonts w:ascii="Arial" w:hAnsi="Arial" w:hint="default"/>
      </w:rPr>
    </w:lvl>
  </w:abstractNum>
  <w:abstractNum w15:restartNumberingAfterBreak="0" w:abstractNumId="51">
    <w:nsid w:val="37BC650F"/>
    <w:multiLevelType w:val="hybridMultilevel"/>
    <w:tmpl w:val="B4AA968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2">
    <w:nsid w:val="38AC64C1"/>
    <w:multiLevelType w:val="multilevel"/>
    <w:tmpl w:val="241A67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3">
    <w:nsid w:val="3909608F"/>
    <w:multiLevelType w:val="hybridMultilevel"/>
    <w:tmpl w:val="15547AE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4">
    <w:nsid w:val="3B352E8B"/>
    <w:multiLevelType w:val="multilevel"/>
    <w:tmpl w:val="7A1C04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5">
    <w:nsid w:val="3BFD0E9A"/>
    <w:multiLevelType w:val="multilevel"/>
    <w:tmpl w:val="BC8A94E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6">
    <w:nsid w:val="3C3E53C4"/>
    <w:multiLevelType w:val="multilevel"/>
    <w:tmpl w:val="8F460FE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7">
    <w:nsid w:val="40577DA8"/>
    <w:multiLevelType w:val="multilevel"/>
    <w:tmpl w:val="B250420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8">
    <w:nsid w:val="409D7620"/>
    <w:multiLevelType w:val="multilevel"/>
    <w:tmpl w:val="D5EA276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9">
    <w:nsid w:val="423E1013"/>
    <w:multiLevelType w:val="multilevel"/>
    <w:tmpl w:val="77A0CF9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3"/>
      <w:numFmt w:val="decimal"/>
      <w:isLgl/>
      <w:lvlText w:val="%1.%2"/>
      <w:lvlJc w:val="left"/>
      <w:pPr>
        <w:ind w:hanging="405" w:left="7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60">
    <w:nsid w:val="436F3715"/>
    <w:multiLevelType w:val="hybridMultilevel"/>
    <w:tmpl w:val="534CEF6E"/>
    <w:lvl w:ilvl="0" w:tplc="C53E984E">
      <w:start w:val="1"/>
      <w:numFmt w:val="bullet"/>
      <w:pStyle w:val="Brandedbulletlist"/>
      <w:lvlText w:val=""/>
      <w:lvlJc w:val="left"/>
      <w:pPr>
        <w:ind w:hanging="360" w:left="360"/>
      </w:pPr>
      <w:rPr>
        <w:rFonts w:ascii="Symbol" w:cs="Symbol" w:hAnsi="Symbol" w:hint="default"/>
        <w:color w:val="auto"/>
        <w:sz w:val="24"/>
      </w:rPr>
    </w:lvl>
    <w:lvl w:ilvl="1" w:tplc="22AEBF06">
      <w:start w:val="1"/>
      <w:numFmt w:val="bullet"/>
      <w:lvlText w:val=""/>
      <w:lvlJc w:val="left"/>
      <w:pPr>
        <w:ind w:hanging="360" w:left="1080"/>
      </w:pPr>
      <w:rPr>
        <w:rFonts w:ascii="Wingdings" w:cs="Wingdings" w:hAnsi="Wingdings" w:hint="default"/>
        <w:color w:val="0076BE"/>
        <w:sz w:val="20"/>
      </w:rPr>
    </w:lvl>
    <w:lvl w:ilvl="2" w:tplc="BC7096FA">
      <w:start w:val="1"/>
      <w:numFmt w:val="bullet"/>
      <w:pStyle w:val="Brandedbulletlist3"/>
      <w:lvlText w:val="‒"/>
      <w:lvlJc w:val="left"/>
      <w:pPr>
        <w:ind w:hanging="360" w:left="1800"/>
      </w:pPr>
      <w:rPr>
        <w:rFonts w:ascii="Arial" w:cs="Arial" w:hAnsi="Arial" w:hint="default"/>
        <w:color w:val="535759"/>
      </w:rPr>
    </w:lvl>
    <w:lvl w:ilvl="3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61">
    <w:nsid w:val="45DD7A60"/>
    <w:multiLevelType w:val="multilevel"/>
    <w:tmpl w:val="204A34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2">
    <w:nsid w:val="463E06C4"/>
    <w:multiLevelType w:val="hybridMultilevel"/>
    <w:tmpl w:val="799A73F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3">
    <w:nsid w:val="466C71EB"/>
    <w:multiLevelType w:val="multilevel"/>
    <w:tmpl w:val="19F4ED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4">
    <w:nsid w:val="47FC511A"/>
    <w:multiLevelType w:val="hybridMultilevel"/>
    <w:tmpl w:val="B48CED3E"/>
    <w:lvl w:ilvl="0" w:tplc="011871E0">
      <w:start w:val="1"/>
      <w:numFmt w:val="bullet"/>
      <w:pStyle w:val="Bullet"/>
      <w:lvlText w:val=""/>
      <w:lvlJc w:val="left"/>
      <w:pPr>
        <w:ind w:hanging="360" w:left="360"/>
      </w:pPr>
      <w:rPr>
        <w:rFonts w:ascii="Wingdings" w:hAnsi="Wingdings" w:hint="default"/>
        <w:color w:val="66003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5">
    <w:nsid w:val="4BD03F92"/>
    <w:multiLevelType w:val="hybridMultilevel"/>
    <w:tmpl w:val="E84A1470"/>
    <w:lvl w:ilvl="0" w:tplc="4A24B1C2">
      <w:start w:val="1"/>
      <w:numFmt w:val="bullet"/>
      <w:pStyle w:val="GanttheadBullet1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7200" w:val="num"/>
        </w:tabs>
        <w:ind w:hanging="360" w:left="7200"/>
      </w:pPr>
      <w:rPr>
        <w:rFonts w:ascii="Wingdings" w:hAnsi="Wingdings" w:hint="default"/>
      </w:rPr>
    </w:lvl>
  </w:abstractNum>
  <w:abstractNum w15:restartNumberingAfterBreak="0" w:abstractNumId="66">
    <w:nsid w:val="4FCC1181"/>
    <w:multiLevelType w:val="multilevel"/>
    <w:tmpl w:val="57CEE3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7">
    <w:nsid w:val="50F51476"/>
    <w:multiLevelType w:val="multilevel"/>
    <w:tmpl w:val="39EA57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8">
    <w:nsid w:val="54D53DBB"/>
    <w:multiLevelType w:val="hybridMultilevel"/>
    <w:tmpl w:val="EA1CD7D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9">
    <w:nsid w:val="561C4196"/>
    <w:multiLevelType w:val="multilevel"/>
    <w:tmpl w:val="BED464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0">
    <w:nsid w:val="568147F9"/>
    <w:multiLevelType w:val="multilevel"/>
    <w:tmpl w:val="9E129CD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1">
    <w:nsid w:val="56D159E6"/>
    <w:multiLevelType w:val="multilevel"/>
    <w:tmpl w:val="3878B6E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2">
    <w:nsid w:val="58020512"/>
    <w:multiLevelType w:val="hybridMultilevel"/>
    <w:tmpl w:val="85DE240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3">
    <w:nsid w:val="59C2358C"/>
    <w:multiLevelType w:val="multilevel"/>
    <w:tmpl w:val="03A2DD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4">
    <w:nsid w:val="5A653020"/>
    <w:multiLevelType w:val="multilevel"/>
    <w:tmpl w:val="1A3CD71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5">
    <w:nsid w:val="5D33448E"/>
    <w:multiLevelType w:val="hybridMultilevel"/>
    <w:tmpl w:val="6DFCE708"/>
    <w:lvl w:ilvl="0" w:tplc="B7608920">
      <w:start w:val="1"/>
      <w:numFmt w:val="lowerRoman"/>
      <w:lvlText w:val="%1)"/>
      <w:lvlJc w:val="right"/>
      <w:pPr>
        <w:ind w:hanging="360" w:left="1020"/>
      </w:pPr>
    </w:lvl>
    <w:lvl w:ilvl="1" w:tplc="03982330">
      <w:start w:val="1"/>
      <w:numFmt w:val="lowerRoman"/>
      <w:lvlText w:val="%2)"/>
      <w:lvlJc w:val="right"/>
      <w:pPr>
        <w:ind w:hanging="360" w:left="1020"/>
      </w:pPr>
    </w:lvl>
    <w:lvl w:ilvl="2" w:tplc="656AEC14">
      <w:start w:val="1"/>
      <w:numFmt w:val="lowerRoman"/>
      <w:lvlText w:val="%3)"/>
      <w:lvlJc w:val="right"/>
      <w:pPr>
        <w:ind w:hanging="360" w:left="1020"/>
      </w:pPr>
    </w:lvl>
    <w:lvl w:ilvl="3" w:tplc="56D801A8">
      <w:start w:val="1"/>
      <w:numFmt w:val="lowerRoman"/>
      <w:lvlText w:val="%4)"/>
      <w:lvlJc w:val="right"/>
      <w:pPr>
        <w:ind w:hanging="360" w:left="1020"/>
      </w:pPr>
    </w:lvl>
    <w:lvl w:ilvl="4" w:tplc="C7DCBB66">
      <w:start w:val="1"/>
      <w:numFmt w:val="lowerRoman"/>
      <w:lvlText w:val="%5)"/>
      <w:lvlJc w:val="right"/>
      <w:pPr>
        <w:ind w:hanging="360" w:left="1020"/>
      </w:pPr>
    </w:lvl>
    <w:lvl w:ilvl="5" w:tplc="A6906B74">
      <w:start w:val="1"/>
      <w:numFmt w:val="lowerRoman"/>
      <w:lvlText w:val="%6)"/>
      <w:lvlJc w:val="right"/>
      <w:pPr>
        <w:ind w:hanging="360" w:left="1020"/>
      </w:pPr>
    </w:lvl>
    <w:lvl w:ilvl="6" w:tplc="DBA03BEC">
      <w:start w:val="1"/>
      <w:numFmt w:val="lowerRoman"/>
      <w:lvlText w:val="%7)"/>
      <w:lvlJc w:val="right"/>
      <w:pPr>
        <w:ind w:hanging="360" w:left="1020"/>
      </w:pPr>
    </w:lvl>
    <w:lvl w:ilvl="7" w:tplc="28BAD91A">
      <w:start w:val="1"/>
      <w:numFmt w:val="lowerRoman"/>
      <w:lvlText w:val="%8)"/>
      <w:lvlJc w:val="right"/>
      <w:pPr>
        <w:ind w:hanging="360" w:left="1020"/>
      </w:pPr>
    </w:lvl>
    <w:lvl w:ilvl="8" w:tplc="72DAA44C">
      <w:start w:val="1"/>
      <w:numFmt w:val="lowerRoman"/>
      <w:lvlText w:val="%9)"/>
      <w:lvlJc w:val="right"/>
      <w:pPr>
        <w:ind w:hanging="360" w:left="1020"/>
      </w:pPr>
    </w:lvl>
  </w:abstractNum>
  <w:abstractNum w15:restartNumberingAfterBreak="0" w:abstractNumId="76">
    <w:nsid w:val="5D431E8F"/>
    <w:multiLevelType w:val="hybridMultilevel"/>
    <w:tmpl w:val="27205570"/>
    <w:lvl w:ilvl="0" w:tplc="0C08E7FC">
      <w:start w:val="1"/>
      <w:numFmt w:val="bullet"/>
      <w:pStyle w:val="GanttheadHeading3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tabs>
          <w:tab w:pos="2520" w:val="num"/>
        </w:tabs>
        <w:ind w:hanging="360" w:left="252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3240" w:val="num"/>
        </w:tabs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960" w:val="num"/>
        </w:tabs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4680" w:val="num"/>
        </w:tabs>
        <w:ind w:hanging="360" w:left="468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5400" w:val="num"/>
        </w:tabs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6120" w:val="num"/>
        </w:tabs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840" w:val="num"/>
        </w:tabs>
        <w:ind w:hanging="360" w:left="684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7560" w:val="num"/>
        </w:tabs>
        <w:ind w:hanging="360" w:left="7560"/>
      </w:pPr>
      <w:rPr>
        <w:rFonts w:ascii="Wingdings" w:hAnsi="Wingdings" w:hint="default"/>
      </w:rPr>
    </w:lvl>
  </w:abstractNum>
  <w:abstractNum w15:restartNumberingAfterBreak="0" w:abstractNumId="77">
    <w:nsid w:val="5E8B3B09"/>
    <w:multiLevelType w:val="multilevel"/>
    <w:tmpl w:val="14C4112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78">
    <w:nsid w:val="5F0D2E9B"/>
    <w:multiLevelType w:val="hybridMultilevel"/>
    <w:tmpl w:val="C016BB1A"/>
    <w:lvl w:ilvl="0" w:tplc="E7846ABE">
      <w:start w:val="1"/>
      <w:numFmt w:val="bullet"/>
      <w:pStyle w:val="GanttheadHeading2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2160" w:val="num"/>
        </w:tabs>
        <w:ind w:hanging="360" w:left="216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tabs>
          <w:tab w:pos="4320" w:val="num"/>
        </w:tabs>
        <w:ind w:hanging="360" w:left="432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tabs>
          <w:tab w:pos="6480" w:val="num"/>
        </w:tabs>
        <w:ind w:hanging="360" w:left="648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tabs>
          <w:tab w:pos="7200" w:val="num"/>
        </w:tabs>
        <w:ind w:hanging="360" w:left="7200"/>
      </w:pPr>
      <w:rPr>
        <w:rFonts w:ascii="Wingdings" w:hAnsi="Wingdings" w:hint="default"/>
      </w:rPr>
    </w:lvl>
  </w:abstractNum>
  <w:abstractNum w15:restartNumberingAfterBreak="0" w:abstractNumId="79">
    <w:nsid w:val="5F2C5EFB"/>
    <w:multiLevelType w:val="multilevel"/>
    <w:tmpl w:val="29CE18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0">
    <w:nsid w:val="5FAF7D00"/>
    <w:multiLevelType w:val="multilevel"/>
    <w:tmpl w:val="6090048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1">
    <w:nsid w:val="5FFC192A"/>
    <w:multiLevelType w:val="multilevel"/>
    <w:tmpl w:val="189C5D5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2">
    <w:nsid w:val="623837B8"/>
    <w:multiLevelType w:val="hybridMultilevel"/>
    <w:tmpl w:val="2C74DCC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631B44A6"/>
    <w:multiLevelType w:val="multilevel"/>
    <w:tmpl w:val="8E002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4">
    <w:nsid w:val="63CE2C3A"/>
    <w:multiLevelType w:val="hybridMultilevel"/>
    <w:tmpl w:val="30685F62"/>
    <w:lvl w:ilvl="0" w:tplc="79CC2894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sz w:val="14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85">
    <w:nsid w:val="64B4206E"/>
    <w:multiLevelType w:val="hybridMultilevel"/>
    <w:tmpl w:val="CDB8C9AA"/>
    <w:lvl w:ilvl="0" w:tplc="257C7C7C">
      <w:start w:val="1"/>
      <w:numFmt w:val="lowerRoman"/>
      <w:lvlText w:val="%1)"/>
      <w:lvlJc w:val="right"/>
      <w:pPr>
        <w:ind w:hanging="360" w:left="1020"/>
      </w:pPr>
    </w:lvl>
    <w:lvl w:ilvl="1" w:tplc="0492B300">
      <w:start w:val="1"/>
      <w:numFmt w:val="lowerRoman"/>
      <w:lvlText w:val="%2)"/>
      <w:lvlJc w:val="right"/>
      <w:pPr>
        <w:ind w:hanging="360" w:left="1020"/>
      </w:pPr>
    </w:lvl>
    <w:lvl w:ilvl="2" w:tplc="827A1A2A">
      <w:start w:val="1"/>
      <w:numFmt w:val="lowerRoman"/>
      <w:lvlText w:val="%3)"/>
      <w:lvlJc w:val="right"/>
      <w:pPr>
        <w:ind w:hanging="360" w:left="1020"/>
      </w:pPr>
    </w:lvl>
    <w:lvl w:ilvl="3" w:tplc="1CD44414">
      <w:start w:val="1"/>
      <w:numFmt w:val="lowerRoman"/>
      <w:lvlText w:val="%4)"/>
      <w:lvlJc w:val="right"/>
      <w:pPr>
        <w:ind w:hanging="360" w:left="1020"/>
      </w:pPr>
    </w:lvl>
    <w:lvl w:ilvl="4" w:tplc="3FEA65A8">
      <w:start w:val="1"/>
      <w:numFmt w:val="lowerRoman"/>
      <w:lvlText w:val="%5)"/>
      <w:lvlJc w:val="right"/>
      <w:pPr>
        <w:ind w:hanging="360" w:left="1020"/>
      </w:pPr>
    </w:lvl>
    <w:lvl w:ilvl="5" w:tplc="6FF80A50">
      <w:start w:val="1"/>
      <w:numFmt w:val="lowerRoman"/>
      <w:lvlText w:val="%6)"/>
      <w:lvlJc w:val="right"/>
      <w:pPr>
        <w:ind w:hanging="360" w:left="1020"/>
      </w:pPr>
    </w:lvl>
    <w:lvl w:ilvl="6" w:tplc="14B24BF6">
      <w:start w:val="1"/>
      <w:numFmt w:val="lowerRoman"/>
      <w:lvlText w:val="%7)"/>
      <w:lvlJc w:val="right"/>
      <w:pPr>
        <w:ind w:hanging="360" w:left="1020"/>
      </w:pPr>
    </w:lvl>
    <w:lvl w:ilvl="7" w:tplc="9DD0BD74">
      <w:start w:val="1"/>
      <w:numFmt w:val="lowerRoman"/>
      <w:lvlText w:val="%8)"/>
      <w:lvlJc w:val="right"/>
      <w:pPr>
        <w:ind w:hanging="360" w:left="1020"/>
      </w:pPr>
    </w:lvl>
    <w:lvl w:ilvl="8" w:tplc="8E140F6A">
      <w:start w:val="1"/>
      <w:numFmt w:val="lowerRoman"/>
      <w:lvlText w:val="%9)"/>
      <w:lvlJc w:val="right"/>
      <w:pPr>
        <w:ind w:hanging="360" w:left="1020"/>
      </w:pPr>
    </w:lvl>
  </w:abstractNum>
  <w:abstractNum w15:restartNumberingAfterBreak="0" w:abstractNumId="86">
    <w:nsid w:val="65CE68BA"/>
    <w:multiLevelType w:val="multilevel"/>
    <w:tmpl w:val="1A3CD71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7">
    <w:nsid w:val="65F661C4"/>
    <w:multiLevelType w:val="hybridMultilevel"/>
    <w:tmpl w:val="BBF2C0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8">
    <w:nsid w:val="66E941A4"/>
    <w:multiLevelType w:val="hybridMultilevel"/>
    <w:tmpl w:val="E3E0CCF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9">
    <w:nsid w:val="67642900"/>
    <w:multiLevelType w:val="hybridMultilevel"/>
    <w:tmpl w:val="1FB24B1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0">
    <w:nsid w:val="677E100C"/>
    <w:multiLevelType w:val="hybridMultilevel"/>
    <w:tmpl w:val="AA3A1D60"/>
    <w:lvl w:ilvl="0" w:tplc="6022725C">
      <w:start w:val="1"/>
      <w:numFmt w:val="bullet"/>
      <w:pStyle w:val="Resume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1">
    <w:nsid w:val="6DC905DC"/>
    <w:multiLevelType w:val="hybridMultilevel"/>
    <w:tmpl w:val="11041F4E"/>
    <w:lvl w:ilvl="0" w:tplc="573ACD64">
      <w:start w:val="1"/>
      <w:numFmt w:val="lowerRoman"/>
      <w:lvlText w:val="%1)"/>
      <w:lvlJc w:val="right"/>
      <w:pPr>
        <w:ind w:hanging="360" w:left="1020"/>
      </w:pPr>
    </w:lvl>
    <w:lvl w:ilvl="1" w:tplc="271CAC06">
      <w:start w:val="1"/>
      <w:numFmt w:val="lowerRoman"/>
      <w:lvlText w:val="%2)"/>
      <w:lvlJc w:val="right"/>
      <w:pPr>
        <w:ind w:hanging="360" w:left="1020"/>
      </w:pPr>
    </w:lvl>
    <w:lvl w:ilvl="2" w:tplc="FDDC8A10">
      <w:start w:val="1"/>
      <w:numFmt w:val="lowerRoman"/>
      <w:lvlText w:val="%3)"/>
      <w:lvlJc w:val="right"/>
      <w:pPr>
        <w:ind w:hanging="360" w:left="1020"/>
      </w:pPr>
    </w:lvl>
    <w:lvl w:ilvl="3" w:tplc="01B85A3A">
      <w:start w:val="1"/>
      <w:numFmt w:val="lowerRoman"/>
      <w:lvlText w:val="%4)"/>
      <w:lvlJc w:val="right"/>
      <w:pPr>
        <w:ind w:hanging="360" w:left="1020"/>
      </w:pPr>
    </w:lvl>
    <w:lvl w:ilvl="4" w:tplc="C152E79A">
      <w:start w:val="1"/>
      <w:numFmt w:val="lowerRoman"/>
      <w:lvlText w:val="%5)"/>
      <w:lvlJc w:val="right"/>
      <w:pPr>
        <w:ind w:hanging="360" w:left="1020"/>
      </w:pPr>
    </w:lvl>
    <w:lvl w:ilvl="5" w:tplc="C1FA3822">
      <w:start w:val="1"/>
      <w:numFmt w:val="lowerRoman"/>
      <w:lvlText w:val="%6)"/>
      <w:lvlJc w:val="right"/>
      <w:pPr>
        <w:ind w:hanging="360" w:left="1020"/>
      </w:pPr>
    </w:lvl>
    <w:lvl w:ilvl="6" w:tplc="F5705D62">
      <w:start w:val="1"/>
      <w:numFmt w:val="lowerRoman"/>
      <w:lvlText w:val="%7)"/>
      <w:lvlJc w:val="right"/>
      <w:pPr>
        <w:ind w:hanging="360" w:left="1020"/>
      </w:pPr>
    </w:lvl>
    <w:lvl w:ilvl="7" w:tplc="13F293C6">
      <w:start w:val="1"/>
      <w:numFmt w:val="lowerRoman"/>
      <w:lvlText w:val="%8)"/>
      <w:lvlJc w:val="right"/>
      <w:pPr>
        <w:ind w:hanging="360" w:left="1020"/>
      </w:pPr>
    </w:lvl>
    <w:lvl w:ilvl="8" w:tplc="BFC2FA3C">
      <w:start w:val="1"/>
      <w:numFmt w:val="lowerRoman"/>
      <w:lvlText w:val="%9)"/>
      <w:lvlJc w:val="right"/>
      <w:pPr>
        <w:ind w:hanging="360" w:left="1020"/>
      </w:pPr>
    </w:lvl>
  </w:abstractNum>
  <w:abstractNum w15:restartNumberingAfterBreak="0" w:abstractNumId="92">
    <w:nsid w:val="6DEE2535"/>
    <w:multiLevelType w:val="multilevel"/>
    <w:tmpl w:val="423673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3">
    <w:nsid w:val="6FBF3C6A"/>
    <w:multiLevelType w:val="multilevel"/>
    <w:tmpl w:val="FEB292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4">
    <w:nsid w:val="72916658"/>
    <w:multiLevelType w:val="multilevel"/>
    <w:tmpl w:val="097AD3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5">
    <w:nsid w:val="756916F8"/>
    <w:multiLevelType w:val="hybridMultilevel"/>
    <w:tmpl w:val="98A6C7A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6">
    <w:nsid w:val="763E7344"/>
    <w:multiLevelType w:val="multilevel"/>
    <w:tmpl w:val="742A12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7">
    <w:nsid w:val="777E7BD6"/>
    <w:multiLevelType w:val="hybridMultilevel"/>
    <w:tmpl w:val="4C90898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8">
    <w:nsid w:val="786E760B"/>
    <w:multiLevelType w:val="multilevel"/>
    <w:tmpl w:val="9372F16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9">
    <w:nsid w:val="799764A9"/>
    <w:multiLevelType w:val="multilevel"/>
    <w:tmpl w:val="DB7236E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0">
    <w:nsid w:val="79F50BCE"/>
    <w:multiLevelType w:val="multilevel"/>
    <w:tmpl w:val="FDB83E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1">
    <w:nsid w:val="7A706DD8"/>
    <w:multiLevelType w:val="hybridMultilevel"/>
    <w:tmpl w:val="4E3A8552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2">
    <w:nsid w:val="7CE356C9"/>
    <w:multiLevelType w:val="multilevel"/>
    <w:tmpl w:val="5DD4012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3">
    <w:nsid w:val="7D805FE4"/>
    <w:multiLevelType w:val="multilevel"/>
    <w:tmpl w:val="447CD3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4">
    <w:nsid w:val="7DE22D20"/>
    <w:multiLevelType w:val="multilevel"/>
    <w:tmpl w:val="B1963D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5">
    <w:nsid w:val="7DFD9937"/>
    <w:multiLevelType w:val="hybridMultilevel"/>
    <w:tmpl w:val="DD9EA410"/>
    <w:lvl w:ilvl="0" w:tplc="A1108708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plc="C436D0B4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0D98FCC2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34B686B0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9A5E9428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5CE67E5E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3C527ABE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704A3BC0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C2304192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16cid:durableId="1133399884" w:numId="1">
    <w:abstractNumId w:val="105"/>
  </w:num>
  <w:num w16cid:durableId="846559653" w:numId="2">
    <w:abstractNumId w:val="29"/>
  </w:num>
  <w:num w16cid:durableId="318844863" w:numId="3">
    <w:abstractNumId w:val="47"/>
  </w:num>
  <w:num w16cid:durableId="1755662855" w:numId="4">
    <w:abstractNumId w:val="10"/>
  </w:num>
  <w:num w16cid:durableId="1842701711" w:numId="5">
    <w:abstractNumId w:val="13"/>
  </w:num>
  <w:num w16cid:durableId="2143032852" w:numId="6">
    <w:abstractNumId w:val="64"/>
  </w:num>
  <w:num w16cid:durableId="356658330" w:numId="7">
    <w:abstractNumId w:val="90"/>
  </w:num>
  <w:num w16cid:durableId="251669003" w:numId="8">
    <w:abstractNumId w:val="31"/>
  </w:num>
  <w:num w16cid:durableId="1479179004" w:numId="9">
    <w:abstractNumId w:val="9"/>
  </w:num>
  <w:num w16cid:durableId="290937535" w:numId="10">
    <w:abstractNumId w:val="7"/>
  </w:num>
  <w:num w16cid:durableId="1489400909" w:numId="11">
    <w:abstractNumId w:val="6"/>
  </w:num>
  <w:num w16cid:durableId="2060593076" w:numId="12">
    <w:abstractNumId w:val="5"/>
  </w:num>
  <w:num w16cid:durableId="1873760635" w:numId="13">
    <w:abstractNumId w:val="4"/>
  </w:num>
  <w:num w16cid:durableId="382294218" w:numId="14">
    <w:abstractNumId w:val="8"/>
  </w:num>
  <w:num w16cid:durableId="968360994" w:numId="15">
    <w:abstractNumId w:val="3"/>
  </w:num>
  <w:num w16cid:durableId="1207912821" w:numId="16">
    <w:abstractNumId w:val="2"/>
  </w:num>
  <w:num w16cid:durableId="612591983" w:numId="17">
    <w:abstractNumId w:val="1"/>
  </w:num>
  <w:num w16cid:durableId="1348675090" w:numId="18">
    <w:abstractNumId w:val="0"/>
  </w:num>
  <w:num w16cid:durableId="1646162086" w:numId="19">
    <w:abstractNumId w:val="33"/>
  </w:num>
  <w:num w16cid:durableId="1124274653" w:numId="20">
    <w:abstractNumId w:val="65"/>
  </w:num>
  <w:num w16cid:durableId="1686247918" w:numId="21">
    <w:abstractNumId w:val="78"/>
  </w:num>
  <w:num w16cid:durableId="10648053" w:numId="22">
    <w:abstractNumId w:val="76"/>
  </w:num>
  <w:num w16cid:durableId="748843316" w:numId="23">
    <w:abstractNumId w:val="49"/>
  </w:num>
  <w:num w16cid:durableId="21639949" w:numId="24">
    <w:abstractNumId w:val="59"/>
  </w:num>
  <w:num w16cid:durableId="1060982544" w:numId="25">
    <w:abstractNumId w:val="57"/>
  </w:num>
  <w:num w16cid:durableId="1381975011" w:numId="26">
    <w:abstractNumId w:val="101"/>
  </w:num>
  <w:num w16cid:durableId="1206410479" w:numId="27">
    <w:abstractNumId w:val="34"/>
  </w:num>
  <w:num w16cid:durableId="744451977" w:numId="28">
    <w:abstractNumId w:val="60"/>
  </w:num>
  <w:num w16cid:durableId="327296201" w:numId="29">
    <w:abstractNumId w:val="68"/>
  </w:num>
  <w:num w16cid:durableId="1735618785" w:numId="30">
    <w:abstractNumId w:val="72"/>
  </w:num>
  <w:num w16cid:durableId="98066246" w:numId="31">
    <w:abstractNumId w:val="24"/>
  </w:num>
  <w:num w16cid:durableId="1369526672" w:numId="32">
    <w:abstractNumId w:val="40"/>
  </w:num>
  <w:num w16cid:durableId="145824323" w:numId="33">
    <w:abstractNumId w:val="87"/>
  </w:num>
  <w:num w16cid:durableId="1480417768" w:numId="34">
    <w:abstractNumId w:val="53"/>
  </w:num>
  <w:num w16cid:durableId="1398817445" w:numId="35">
    <w:abstractNumId w:val="89"/>
  </w:num>
  <w:num w16cid:durableId="1405487936" w:numId="36">
    <w:abstractNumId w:val="62"/>
  </w:num>
  <w:num w16cid:durableId="2514883" w:numId="37">
    <w:abstractNumId w:val="82"/>
  </w:num>
  <w:num w16cid:durableId="2028753087" w:numId="38">
    <w:abstractNumId w:val="84"/>
  </w:num>
  <w:num w16cid:durableId="210267186" w:numId="39">
    <w:abstractNumId w:val="26"/>
  </w:num>
  <w:num w16cid:durableId="664431339" w:numId="40">
    <w:abstractNumId w:val="97"/>
  </w:num>
  <w:num w16cid:durableId="1144929747" w:numId="41">
    <w:abstractNumId w:val="86"/>
  </w:num>
  <w:num w16cid:durableId="305208675" w:numId="42">
    <w:abstractNumId w:val="20"/>
  </w:num>
  <w:num w16cid:durableId="200241585" w:numId="43">
    <w:abstractNumId w:val="36"/>
  </w:num>
  <w:num w16cid:durableId="85613768" w:numId="44">
    <w:abstractNumId w:val="74"/>
  </w:num>
  <w:num w16cid:durableId="146898298" w:numId="45">
    <w:abstractNumId w:val="21"/>
  </w:num>
  <w:num w16cid:durableId="1142767451" w:numId="46">
    <w:abstractNumId w:val="27"/>
  </w:num>
  <w:num w16cid:durableId="1256671589" w:numId="47">
    <w:abstractNumId w:val="63"/>
  </w:num>
  <w:num w16cid:durableId="223182804" w:numId="48">
    <w:abstractNumId w:val="94"/>
  </w:num>
  <w:num w16cid:durableId="729111911" w:numId="49">
    <w:abstractNumId w:val="50"/>
  </w:num>
  <w:num w16cid:durableId="650862768" w:numId="50">
    <w:abstractNumId w:val="39"/>
  </w:num>
  <w:num w16cid:durableId="1317879801" w:numId="51">
    <w:abstractNumId w:val="45"/>
  </w:num>
  <w:num w16cid:durableId="1267419011" w:numId="52">
    <w:abstractNumId w:val="91"/>
  </w:num>
  <w:num w16cid:durableId="1017390528" w:numId="53">
    <w:abstractNumId w:val="75"/>
  </w:num>
  <w:num w16cid:durableId="1440182635" w:numId="54">
    <w:abstractNumId w:val="85"/>
  </w:num>
  <w:num w16cid:durableId="1368485301" w:numId="55">
    <w:abstractNumId w:val="58"/>
  </w:num>
  <w:num w16cid:durableId="1879508256" w:numId="56">
    <w:abstractNumId w:val="70"/>
  </w:num>
  <w:num w16cid:durableId="935402056" w:numId="57">
    <w:abstractNumId w:val="12"/>
  </w:num>
  <w:num w16cid:durableId="879169367" w:numId="58">
    <w:abstractNumId w:val="41"/>
  </w:num>
  <w:num w16cid:durableId="1095591675" w:numId="59">
    <w:abstractNumId w:val="52"/>
  </w:num>
  <w:num w16cid:durableId="748969125" w:numId="60">
    <w:abstractNumId w:val="102"/>
  </w:num>
  <w:num w16cid:durableId="353769703" w:numId="61">
    <w:abstractNumId w:val="9"/>
  </w:num>
  <w:num w16cid:durableId="294800850" w:numId="62">
    <w:abstractNumId w:val="9"/>
  </w:num>
  <w:num w16cid:durableId="1870414934" w:numId="63">
    <w:abstractNumId w:val="9"/>
  </w:num>
  <w:num w16cid:durableId="520824827" w:numId="64">
    <w:abstractNumId w:val="69"/>
  </w:num>
  <w:num w16cid:durableId="1940403074" w:numId="65">
    <w:abstractNumId w:val="9"/>
  </w:num>
  <w:num w16cid:durableId="1095903471" w:numId="66">
    <w:abstractNumId w:val="9"/>
  </w:num>
  <w:num w16cid:durableId="432897376" w:numId="67">
    <w:abstractNumId w:val="9"/>
  </w:num>
  <w:num w16cid:durableId="745342252" w:numId="68">
    <w:abstractNumId w:val="23"/>
  </w:num>
  <w:num w16cid:durableId="719716996" w:numId="69">
    <w:abstractNumId w:val="9"/>
  </w:num>
  <w:num w16cid:durableId="1825392665" w:numId="70">
    <w:abstractNumId w:val="9"/>
  </w:num>
  <w:num w16cid:durableId="922495860" w:numId="71">
    <w:abstractNumId w:val="9"/>
  </w:num>
  <w:num w16cid:durableId="604964297" w:numId="72">
    <w:abstractNumId w:val="93"/>
  </w:num>
  <w:num w16cid:durableId="367027316" w:numId="73">
    <w:abstractNumId w:val="37"/>
  </w:num>
  <w:num w16cid:durableId="2060275899" w:numId="74">
    <w:abstractNumId w:val="66"/>
  </w:num>
  <w:num w16cid:durableId="58745556" w:numId="75">
    <w:abstractNumId w:val="96"/>
  </w:num>
  <w:num w16cid:durableId="129329570" w:numId="76">
    <w:abstractNumId w:val="44"/>
  </w:num>
  <w:num w16cid:durableId="139005592" w:numId="77">
    <w:abstractNumId w:val="55"/>
  </w:num>
  <w:num w16cid:durableId="1255623700" w:numId="78">
    <w:abstractNumId w:val="56"/>
  </w:num>
  <w:num w16cid:durableId="131137689" w:numId="79">
    <w:abstractNumId w:val="71"/>
  </w:num>
  <w:num w16cid:durableId="1116411472" w:numId="80">
    <w:abstractNumId w:val="18"/>
  </w:num>
  <w:num w16cid:durableId="781147715" w:numId="81">
    <w:abstractNumId w:val="77"/>
  </w:num>
  <w:num w16cid:durableId="2127313431" w:numId="82">
    <w:abstractNumId w:val="99"/>
  </w:num>
  <w:num w16cid:durableId="314574276" w:numId="83">
    <w:abstractNumId w:val="88"/>
  </w:num>
  <w:num w16cid:durableId="1295480946" w:numId="84">
    <w:abstractNumId w:val="11"/>
  </w:num>
  <w:num w16cid:durableId="1552421389" w:numId="85">
    <w:abstractNumId w:val="43"/>
  </w:num>
  <w:num w16cid:durableId="187257509" w:numId="86">
    <w:abstractNumId w:val="80"/>
  </w:num>
  <w:num w16cid:durableId="468212147" w:numId="87">
    <w:abstractNumId w:val="38"/>
  </w:num>
  <w:num w16cid:durableId="1702633102" w:numId="88">
    <w:abstractNumId w:val="19"/>
  </w:num>
  <w:num w16cid:durableId="21517411" w:numId="89">
    <w:abstractNumId w:val="42"/>
  </w:num>
  <w:num w16cid:durableId="883367344" w:numId="90">
    <w:abstractNumId w:val="48"/>
  </w:num>
  <w:num w16cid:durableId="2125735223" w:numId="91">
    <w:abstractNumId w:val="22"/>
  </w:num>
  <w:num w16cid:durableId="935750863" w:numId="92">
    <w:abstractNumId w:val="54"/>
  </w:num>
  <w:num w16cid:durableId="426272170" w:numId="93">
    <w:abstractNumId w:val="14"/>
  </w:num>
  <w:num w16cid:durableId="655694832" w:numId="94">
    <w:abstractNumId w:val="100"/>
  </w:num>
  <w:num w16cid:durableId="680669080" w:numId="95">
    <w:abstractNumId w:val="15"/>
  </w:num>
  <w:num w16cid:durableId="1764718272" w:numId="96">
    <w:abstractNumId w:val="104"/>
  </w:num>
  <w:num w16cid:durableId="2046442017" w:numId="97">
    <w:abstractNumId w:val="81"/>
  </w:num>
  <w:num w16cid:durableId="536740958" w:numId="98">
    <w:abstractNumId w:val="46"/>
  </w:num>
  <w:num w16cid:durableId="1277906434" w:numId="99">
    <w:abstractNumId w:val="103"/>
  </w:num>
  <w:num w16cid:durableId="465244390" w:numId="100">
    <w:abstractNumId w:val="16"/>
  </w:num>
  <w:num w16cid:durableId="451560530" w:numId="101">
    <w:abstractNumId w:val="61"/>
  </w:num>
  <w:num w16cid:durableId="992873938" w:numId="102">
    <w:abstractNumId w:val="83"/>
  </w:num>
  <w:num w16cid:durableId="254096260" w:numId="103">
    <w:abstractNumId w:val="30"/>
  </w:num>
  <w:num w16cid:durableId="822234668" w:numId="104">
    <w:abstractNumId w:val="79"/>
  </w:num>
  <w:num w16cid:durableId="1734428467" w:numId="105">
    <w:abstractNumId w:val="98"/>
  </w:num>
  <w:num w16cid:durableId="1303193703" w:numId="106">
    <w:abstractNumId w:val="73"/>
  </w:num>
  <w:num w16cid:durableId="341050720" w:numId="107">
    <w:abstractNumId w:val="32"/>
  </w:num>
  <w:num w16cid:durableId="158545583" w:numId="108">
    <w:abstractNumId w:val="67"/>
  </w:num>
  <w:num w16cid:durableId="11079633" w:numId="109">
    <w:abstractNumId w:val="92"/>
  </w:num>
  <w:num w16cid:durableId="177038129" w:numId="110">
    <w:abstractNumId w:val="35"/>
  </w:num>
  <w:num w16cid:durableId="974213765" w:numId="111">
    <w:abstractNumId w:val="95"/>
  </w:num>
  <w:num w16cid:durableId="1092775565" w:numId="112">
    <w:abstractNumId w:val="51"/>
  </w:num>
  <w:num w16cid:durableId="1178272288" w:numId="113">
    <w:abstractNumId w:val="28"/>
  </w:num>
  <w:num w16cid:durableId="277765196" w:numId="114">
    <w:abstractNumId w:val="17"/>
  </w:num>
  <w:num w16cid:durableId="1889802361" w:numId="115">
    <w:abstractNumId w:val="2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3" w:unhideWhenUsed="1"/>
    <w:lsdException w:name="heading 3" w:qFormat="1" w:semiHidden="1" w:uiPriority="4" w:unhideWhenUsed="1"/>
    <w:lsdException w:name="heading 4" w:qFormat="1" w:semiHidden="1" w:uiPriority="5" w:unhideWhenUsed="1"/>
    <w:lsdException w:name="heading 5" w:qFormat="1" w:semiHidden="1" w:uiPriority="6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qFormat="1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qFormat="1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5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562EB"/>
    <w:pPr>
      <w:widowControl w:val="0"/>
      <w:spacing w:after="120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next w:val="Normal"/>
    <w:link w:val="Heading1Char"/>
    <w:uiPriority w:val="9"/>
    <w:qFormat/>
    <w:rsid w:val="00F147F3"/>
    <w:pPr>
      <w:keepNext/>
      <w:keepLines/>
      <w:pageBreakBefore/>
      <w:numPr>
        <w:numId w:val="8"/>
      </w:numPr>
      <w:spacing w:after="240" w:before="120" w:line="240" w:lineRule="auto"/>
      <w:jc w:val="center"/>
      <w:outlineLvl w:val="0"/>
    </w:pPr>
    <w:rPr>
      <w:rFonts w:ascii="Arial Bold" w:cs="Times New Roman" w:eastAsia="Times New Roman" w:hAnsi="Arial Bold"/>
      <w:b/>
      <w:caps/>
      <w:color w:val="500000"/>
      <w:sz w:val="28"/>
      <w:szCs w:val="28"/>
    </w:rPr>
  </w:style>
  <w:style w:styleId="Heading2" w:type="paragraph">
    <w:name w:val="heading 2"/>
    <w:next w:val="Normal"/>
    <w:link w:val="Heading2Char"/>
    <w:uiPriority w:val="3"/>
    <w:qFormat/>
    <w:rsid w:val="009D1E82"/>
    <w:pPr>
      <w:keepNext/>
      <w:tabs>
        <w:tab w:pos="540" w:val="left"/>
      </w:tabs>
      <w:spacing w:after="120" w:before="120" w:line="240" w:lineRule="auto"/>
      <w:ind w:hanging="547" w:left="547"/>
      <w:outlineLvl w:val="1"/>
    </w:pPr>
    <w:rPr>
      <w:rFonts w:ascii="Arial Bold" w:cs="Times New Roman" w:eastAsia="Times New Roman" w:hAnsi="Arial Bold"/>
      <w:b/>
      <w:caps/>
      <w:color w:val="500000"/>
      <w:sz w:val="24"/>
      <w:szCs w:val="24"/>
    </w:rPr>
  </w:style>
  <w:style w:styleId="Heading3" w:type="paragraph">
    <w:name w:val="heading 3"/>
    <w:next w:val="Normal"/>
    <w:link w:val="Heading3Char"/>
    <w:uiPriority w:val="4"/>
    <w:qFormat/>
    <w:rsid w:val="009D1E82"/>
    <w:pPr>
      <w:keepNext/>
      <w:keepLines/>
      <w:tabs>
        <w:tab w:pos="720" w:val="left"/>
      </w:tabs>
      <w:spacing w:after="120" w:before="120" w:line="240" w:lineRule="auto"/>
      <w:ind w:hanging="720" w:left="720"/>
      <w:outlineLvl w:val="2"/>
    </w:pPr>
    <w:rPr>
      <w:rFonts w:ascii="Arial" w:cs="Times New Roman" w:eastAsia="Times New Roman" w:hAnsi="Arial"/>
      <w:b/>
      <w:color w:val="500000"/>
      <w:sz w:val="24"/>
      <w:szCs w:val="28"/>
    </w:rPr>
  </w:style>
  <w:style w:styleId="Heading4" w:type="paragraph">
    <w:name w:val="heading 4"/>
    <w:next w:val="Normal"/>
    <w:link w:val="Heading4Char"/>
    <w:uiPriority w:val="5"/>
    <w:qFormat/>
    <w:rsid w:val="003C5F6F"/>
    <w:pPr>
      <w:keepNext/>
      <w:keepLines/>
      <w:tabs>
        <w:tab w:pos="864" w:val="left"/>
      </w:tabs>
      <w:spacing w:after="120" w:before="120" w:line="240" w:lineRule="auto"/>
      <w:ind w:hanging="864" w:left="864"/>
      <w:outlineLvl w:val="3"/>
    </w:pPr>
    <w:rPr>
      <w:rFonts w:ascii="Arial" w:cs="Times New Roman" w:eastAsia="Times New Roman" w:hAnsi="Arial"/>
      <w:b/>
      <w:i/>
      <w:color w:val="500000"/>
      <w:sz w:val="24"/>
      <w:szCs w:val="20"/>
    </w:rPr>
  </w:style>
  <w:style w:styleId="Heading5" w:type="paragraph">
    <w:name w:val="heading 5"/>
    <w:basedOn w:val="Heading4"/>
    <w:next w:val="Normal"/>
    <w:link w:val="Heading5Char"/>
    <w:uiPriority w:val="6"/>
    <w:qFormat/>
    <w:rsid w:val="00407EA4"/>
    <w:pPr>
      <w:outlineLvl w:val="4"/>
    </w:pPr>
    <w:rPr>
      <w:b w:val="0"/>
      <w:u w:val="single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AB03BD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B03BD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AB03BD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AB03BD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E764D2"/>
    <w:rPr>
      <w:rFonts w:ascii="Arial Bold" w:cs="Times New Roman" w:eastAsia="Times New Roman" w:hAnsi="Arial Bold"/>
      <w:b/>
      <w:caps/>
      <w:color w:val="5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3"/>
    <w:rsid w:val="009D1E82"/>
    <w:rPr>
      <w:rFonts w:ascii="Arial Bold" w:cs="Times New Roman" w:eastAsia="Times New Roman" w:hAnsi="Arial Bold"/>
      <w:b/>
      <w:caps/>
      <w:color w:val="500000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4"/>
    <w:rsid w:val="009D1E82"/>
    <w:rPr>
      <w:rFonts w:ascii="Arial" w:cs="Times New Roman" w:eastAsia="Times New Roman" w:hAnsi="Arial"/>
      <w:b/>
      <w:color w:val="500000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5"/>
    <w:rsid w:val="003C5F6F"/>
    <w:rPr>
      <w:rFonts w:ascii="Arial" w:cs="Times New Roman" w:eastAsia="Times New Roman" w:hAnsi="Arial"/>
      <w:b/>
      <w:i/>
      <w:color w:val="500000"/>
      <w:sz w:val="24"/>
      <w:szCs w:val="20"/>
    </w:rPr>
  </w:style>
  <w:style w:styleId="Footer" w:type="paragraph">
    <w:name w:val="footer"/>
    <w:link w:val="FooterChar"/>
    <w:uiPriority w:val="99"/>
    <w:rsid w:val="00D6052A"/>
    <w:pPr>
      <w:pBdr>
        <w:bottom w:color="201747" w:space="1" w:sz="12" w:val="single"/>
      </w:pBdr>
      <w:tabs>
        <w:tab w:pos="4680" w:val="center"/>
      </w:tabs>
      <w:spacing w:after="40" w:line="240" w:lineRule="auto"/>
      <w:ind w:left="-360" w:right="-360"/>
    </w:pPr>
    <w:rPr>
      <w:rFonts w:ascii="Franklin Gothic Medium" w:cs="Times New Roman" w:eastAsia="Times New Roman" w:hAnsi="Franklin Gothic Medium"/>
      <w:noProof/>
      <w:sz w:val="20"/>
      <w:szCs w:val="20"/>
    </w:rPr>
  </w:style>
  <w:style w:customStyle="1" w:styleId="FooterChar" w:type="character">
    <w:name w:val="Footer Char"/>
    <w:basedOn w:val="DefaultParagraphFont"/>
    <w:link w:val="Footer"/>
    <w:uiPriority w:val="99"/>
    <w:rsid w:val="00D6052A"/>
    <w:rPr>
      <w:rFonts w:ascii="Franklin Gothic Medium" w:cs="Times New Roman" w:eastAsia="Times New Roman" w:hAnsi="Franklin Gothic Medium"/>
      <w:noProof/>
      <w:sz w:val="20"/>
      <w:szCs w:val="20"/>
    </w:rPr>
  </w:style>
  <w:style w:styleId="Header" w:type="paragraph">
    <w:name w:val="header"/>
    <w:aliases w:val="TopHeader-left,thl,h1"/>
    <w:link w:val="HeaderChar"/>
    <w:rsid w:val="00D6052A"/>
    <w:pPr>
      <w:tabs>
        <w:tab w:pos="9360" w:val="right"/>
      </w:tabs>
      <w:spacing w:after="0" w:line="240" w:lineRule="auto"/>
      <w:ind w:left="-360" w:right="-360"/>
    </w:pPr>
    <w:rPr>
      <w:rFonts w:ascii="Franklin Gothic Medium" w:cs="Times New Roman" w:eastAsia="Times New Roman" w:hAnsi="Franklin Gothic Medium"/>
      <w:smallCaps/>
      <w:color w:themeColor="background1" w:val="FFFFFF"/>
      <w:szCs w:val="24"/>
    </w:rPr>
  </w:style>
  <w:style w:customStyle="1" w:styleId="HeaderChar" w:type="character">
    <w:name w:val="Header Char"/>
    <w:aliases w:val="TopHeader-left Char,thl Char,h1 Char"/>
    <w:basedOn w:val="DefaultParagraphFont"/>
    <w:link w:val="Header"/>
    <w:uiPriority w:val="99"/>
    <w:rsid w:val="00D6052A"/>
    <w:rPr>
      <w:rFonts w:ascii="Franklin Gothic Medium" w:cs="Times New Roman" w:eastAsia="Times New Roman" w:hAnsi="Franklin Gothic Medium"/>
      <w:smallCaps/>
      <w:color w:themeColor="background1" w:val="FFFFFF"/>
      <w:szCs w:val="24"/>
    </w:rPr>
  </w:style>
  <w:style w:customStyle="1" w:styleId="tocPageWord" w:type="paragraph">
    <w:name w:val="toc PageWord"/>
    <w:aliases w:val="toc0"/>
    <w:rsid w:val="006E5F2F"/>
    <w:pPr>
      <w:tabs>
        <w:tab w:pos="9360" w:val="right"/>
      </w:tabs>
      <w:spacing w:line="240" w:lineRule="auto"/>
      <w:jc w:val="right"/>
    </w:pPr>
    <w:rPr>
      <w:rFonts w:ascii="Arial" w:cs="Times New Roman" w:eastAsia="Times New Roman" w:hAnsi="Arial"/>
      <w:noProof/>
      <w:szCs w:val="20"/>
      <w:u w:val="single"/>
    </w:rPr>
  </w:style>
  <w:style w:styleId="TOC1" w:type="paragraph">
    <w:name w:val="toc 1"/>
    <w:aliases w:val="tc1"/>
    <w:uiPriority w:val="39"/>
    <w:rsid w:val="002E2C06"/>
    <w:pPr>
      <w:tabs>
        <w:tab w:leader="dot" w:pos="9346" w:val="right"/>
      </w:tabs>
      <w:spacing w:after="0" w:before="160" w:line="240" w:lineRule="auto"/>
      <w:ind w:hanging="547" w:left="547"/>
    </w:pPr>
    <w:rPr>
      <w:rFonts w:ascii="Times New Roman" w:cs="Times New Roman" w:eastAsia="Times New Roman" w:hAnsi="Times New Roman"/>
      <w:b/>
      <w:noProof/>
      <w:szCs w:val="20"/>
    </w:rPr>
  </w:style>
  <w:style w:styleId="TOC2" w:type="paragraph">
    <w:name w:val="toc 2"/>
    <w:aliases w:val="tc2"/>
    <w:uiPriority w:val="39"/>
    <w:rsid w:val="006E5F2F"/>
    <w:pPr>
      <w:tabs>
        <w:tab w:leader="dot" w:pos="9346" w:val="right"/>
      </w:tabs>
      <w:spacing w:after="0" w:line="240" w:lineRule="auto"/>
      <w:ind w:hanging="634" w:left="634"/>
    </w:pPr>
    <w:rPr>
      <w:rFonts w:ascii="Arial" w:cs="Times New Roman" w:eastAsia="Times New Roman" w:hAnsi="Arial"/>
      <w:b/>
      <w:noProof/>
      <w:szCs w:val="20"/>
    </w:rPr>
  </w:style>
  <w:style w:styleId="TOC3" w:type="paragraph">
    <w:name w:val="toc 3"/>
    <w:aliases w:val="tc3"/>
    <w:uiPriority w:val="39"/>
    <w:rsid w:val="006E5F2F"/>
    <w:pPr>
      <w:tabs>
        <w:tab w:leader="dot" w:pos="9346" w:val="right"/>
      </w:tabs>
      <w:spacing w:after="0" w:line="240" w:lineRule="auto"/>
      <w:ind w:hanging="720" w:left="1296"/>
    </w:pPr>
    <w:rPr>
      <w:rFonts w:ascii="Arial" w:cs="Times New Roman" w:eastAsia="Times New Roman" w:hAnsi="Arial"/>
      <w:b/>
      <w:noProof/>
      <w:szCs w:val="20"/>
    </w:rPr>
  </w:style>
  <w:style w:styleId="TOC4" w:type="paragraph">
    <w:name w:val="toc 4"/>
    <w:aliases w:val="tc4"/>
    <w:basedOn w:val="TOC3"/>
    <w:uiPriority w:val="39"/>
    <w:rsid w:val="00111CFB"/>
    <w:pPr>
      <w:ind w:hanging="893" w:left="2794"/>
    </w:pPr>
  </w:style>
  <w:style w:styleId="PageNumber" w:type="character">
    <w:name w:val="page number"/>
    <w:basedOn w:val="DefaultParagraphFont"/>
    <w:rsid w:val="00D6052A"/>
  </w:style>
  <w:style w:styleId="TableofFigures" w:type="paragraph">
    <w:name w:val="table of figures"/>
    <w:uiPriority w:val="99"/>
    <w:qFormat/>
    <w:rsid w:val="00D6052A"/>
    <w:pPr>
      <w:tabs>
        <w:tab w:pos="806" w:val="left"/>
        <w:tab w:leader="dot" w:pos="8640" w:val="left"/>
        <w:tab w:pos="9360" w:val="right"/>
      </w:tabs>
      <w:spacing w:after="40" w:line="240" w:lineRule="auto"/>
      <w:ind w:hanging="806" w:left="806"/>
    </w:pPr>
    <w:rPr>
      <w:rFonts w:ascii="Garamond" w:cs="Times New Roman" w:eastAsia="Times New Roman" w:hAnsi="Garamond"/>
      <w:noProof/>
      <w:sz w:val="24"/>
      <w:szCs w:val="24"/>
    </w:rPr>
  </w:style>
  <w:style w:customStyle="1" w:styleId="l1-notoc" w:type="paragraph">
    <w:name w:val="l1-notoc"/>
    <w:basedOn w:val="Heading1"/>
    <w:rsid w:val="00D6052A"/>
    <w:pPr>
      <w:pageBreakBefore w:val="0"/>
      <w:outlineLvl w:val="9"/>
    </w:pPr>
  </w:style>
  <w:style w:styleId="TableGrid" w:type="table">
    <w:name w:val="Table Grid"/>
    <w:aliases w:val="NN Basic Table"/>
    <w:basedOn w:val="TableNormal"/>
    <w:uiPriority w:val="59"/>
    <w:rsid w:val="00D6052A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CommentReference" w:type="character">
    <w:name w:val="annotation reference"/>
    <w:basedOn w:val="DefaultParagraphFont"/>
    <w:uiPriority w:val="99"/>
    <w:rsid w:val="00D6052A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D6052A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D6052A"/>
    <w:rPr>
      <w:rFonts w:ascii="Times New Roman" w:cs="Times New Roman" w:eastAsia="Times New Roman" w:hAnsi="Times New Roman"/>
      <w:sz w:val="20"/>
      <w:szCs w:val="20"/>
    </w:rPr>
  </w:style>
  <w:style w:styleId="Strong" w:type="character">
    <w:name w:val="Strong"/>
    <w:basedOn w:val="DefaultParagraphFont"/>
    <w:uiPriority w:val="22"/>
    <w:qFormat/>
    <w:rsid w:val="00D6052A"/>
    <w:rPr>
      <w:rFonts w:ascii="Arial" w:hAnsi="Arial"/>
      <w:b/>
      <w:bCs/>
    </w:rPr>
  </w:style>
  <w:style w:styleId="NormalWeb" w:type="paragraph">
    <w:name w:val="Normal (Web)"/>
    <w:basedOn w:val="Normal"/>
    <w:uiPriority w:val="99"/>
    <w:unhideWhenUsed/>
    <w:rsid w:val="00D6052A"/>
    <w:pPr>
      <w:spacing w:after="100" w:afterAutospacing="1" w:before="100" w:beforeAutospacing="1"/>
    </w:pPr>
    <w:rPr>
      <w:rFonts w:eastAsiaTheme="minorEastAsia"/>
    </w:rPr>
  </w:style>
  <w:style w:styleId="Caption" w:type="paragraph">
    <w:name w:val="caption"/>
    <w:aliases w:val="Beschriftung Table,Figure_caption,Caption-Figures,Table/Figure Caption,Proposal Caption,Caption F,Figures Caption"/>
    <w:basedOn w:val="Normal"/>
    <w:next w:val="Normal"/>
    <w:link w:val="CaptionChar"/>
    <w:uiPriority w:val="35"/>
    <w:unhideWhenUsed/>
    <w:qFormat/>
    <w:rsid w:val="00F435D6"/>
    <w:pPr>
      <w:spacing w:before="120"/>
      <w:jc w:val="center"/>
    </w:pPr>
    <w:rPr>
      <w:b/>
      <w:bCs/>
      <w:color w:val="500000"/>
      <w:szCs w:val="18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D6052A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D6052A"/>
    <w:rPr>
      <w:rFonts w:ascii="Tahoma" w:cs="Tahoma" w:eastAsia="Times New Roman" w:hAnsi="Tahoma"/>
      <w:sz w:val="16"/>
      <w:szCs w:val="16"/>
    </w:rPr>
  </w:style>
  <w:style w:customStyle="1" w:styleId="TableHeading" w:type="paragraph">
    <w:name w:val="Table Heading"/>
    <w:basedOn w:val="Normal"/>
    <w:qFormat/>
    <w:rsid w:val="00FB76F9"/>
    <w:pPr>
      <w:spacing w:after="60" w:before="60"/>
      <w:jc w:val="center"/>
    </w:pPr>
    <w:rPr>
      <w:rFonts w:ascii="Arial Rounded MT Bold" w:hAnsi="Arial Rounded MT Bold"/>
      <w:color w:themeColor="background1" w:val="FFFFFF"/>
      <w:szCs w:val="22"/>
    </w:rPr>
  </w:style>
  <w:style w:customStyle="1" w:styleId="Bullet" w:type="paragraph">
    <w:name w:val="Bullet"/>
    <w:basedOn w:val="ListParagraph"/>
    <w:link w:val="BulletChar"/>
    <w:uiPriority w:val="99"/>
    <w:qFormat/>
    <w:rsid w:val="00AE62B6"/>
    <w:pPr>
      <w:numPr>
        <w:numId w:val="6"/>
      </w:numPr>
      <w:spacing w:after="60"/>
      <w:ind w:right="360"/>
      <w:contextualSpacing w:val="0"/>
    </w:pPr>
    <w:rPr>
      <w:szCs w:val="22"/>
    </w:rPr>
  </w:style>
  <w:style w:customStyle="1" w:styleId="BulletChar" w:type="character">
    <w:name w:val="Bullet Char"/>
    <w:basedOn w:val="DefaultParagraphFont"/>
    <w:link w:val="Bullet"/>
    <w:uiPriority w:val="99"/>
    <w:rsid w:val="00AE62B6"/>
    <w:rPr>
      <w:rFonts w:ascii="Times New Roman" w:cs="Times New Roman" w:eastAsia="Times New Roman" w:hAnsi="Times New Roman"/>
      <w:sz w:val="24"/>
    </w:rPr>
  </w:style>
  <w:style w:styleId="ListParagraph" w:type="paragraph">
    <w:name w:val="List Paragraph"/>
    <w:aliases w:val="Bullet list,Dot pt,F5 List Paragraph,List Paragraph Char Char Char,Indicator Text,Numbered Para 1,Bullet 1,Bullet Points,List Paragraph2,MAIN CONTENT,Normal numbered,List Paragraph1,Colorful List - Accent 11,Issue Action POC,3,TableHeadin"/>
    <w:basedOn w:val="Normal"/>
    <w:link w:val="ListParagraphChar"/>
    <w:uiPriority w:val="34"/>
    <w:qFormat/>
    <w:rsid w:val="00CF62A6"/>
    <w:pPr>
      <w:ind w:left="720"/>
      <w:contextualSpacing/>
    </w:pPr>
  </w:style>
  <w:style w:customStyle="1" w:styleId="TableHead1" w:type="paragraph">
    <w:name w:val="TableHead1"/>
    <w:aliases w:val="tt1"/>
    <w:rsid w:val="00BE637F"/>
    <w:pPr>
      <w:keepNext/>
      <w:spacing w:after="0" w:line="240" w:lineRule="auto"/>
    </w:pPr>
    <w:rPr>
      <w:rFonts w:ascii="Arial Narrow" w:cs="Times New Roman" w:eastAsia="Times New Roman" w:hAnsi="Arial Narrow"/>
      <w:b/>
      <w:color w:themeColor="background1" w:val="FFFFFF"/>
      <w:sz w:val="24"/>
      <w:szCs w:val="24"/>
    </w:rPr>
  </w:style>
  <w:style w:customStyle="1" w:styleId="Default" w:type="paragraph">
    <w:name w:val="Default"/>
    <w:basedOn w:val="Normal"/>
    <w:rsid w:val="006721F3"/>
    <w:pPr>
      <w:autoSpaceDE w:val="0"/>
      <w:autoSpaceDN w:val="0"/>
    </w:pPr>
    <w:rPr>
      <w:rFonts w:cs="Arial" w:eastAsiaTheme="minorHAnsi"/>
      <w:color w:val="000000"/>
    </w:rPr>
  </w:style>
  <w:style w:styleId="Hyperlink" w:type="character">
    <w:name w:val="Hyperlink"/>
    <w:basedOn w:val="DefaultParagraphFont"/>
    <w:uiPriority w:val="99"/>
    <w:unhideWhenUsed/>
    <w:rsid w:val="000765FE"/>
    <w:rPr>
      <w:rFonts w:ascii="Arial" w:hAnsi="Arial"/>
      <w:color w:themeColor="hyperlink" w:val="0000FF"/>
      <w:sz w:val="22"/>
      <w:u w:val="single"/>
    </w:rPr>
  </w:style>
  <w:style w:customStyle="1" w:styleId="CaptionChar" w:type="character">
    <w:name w:val="Caption Char"/>
    <w:aliases w:val="Beschriftung Table Char,Figure_caption Char,Caption-Figures Char,Table/Figure Caption Char,Proposal Caption Char,Caption F Char,Figures Caption Char"/>
    <w:basedOn w:val="DefaultParagraphFont"/>
    <w:link w:val="Caption"/>
    <w:uiPriority w:val="35"/>
    <w:rsid w:val="00F435D6"/>
    <w:rPr>
      <w:rFonts w:ascii="Arial" w:cs="Times New Roman" w:eastAsia="Times New Roman" w:hAnsi="Arial"/>
      <w:b/>
      <w:bCs/>
      <w:color w:val="500000"/>
      <w:szCs w:val="18"/>
    </w:rPr>
  </w:style>
  <w:style w:customStyle="1" w:styleId="Figure" w:type="paragraph">
    <w:name w:val="Figure"/>
    <w:aliases w:val="f5c"/>
    <w:rsid w:val="00853EB2"/>
    <w:pPr>
      <w:spacing w:after="80" w:before="40" w:line="240" w:lineRule="auto"/>
      <w:jc w:val="center"/>
    </w:pPr>
    <w:rPr>
      <w:rFonts w:ascii="Arial" w:cs="Times New Roman" w:eastAsia="Times New Roman" w:hAnsi="Arial"/>
      <w:b/>
      <w:szCs w:val="20"/>
    </w:rPr>
  </w:style>
  <w:style w:customStyle="1" w:styleId="l2-res" w:type="paragraph">
    <w:name w:val="l2-res"/>
    <w:basedOn w:val="Heading2"/>
    <w:rsid w:val="008A6075"/>
    <w:pPr>
      <w:jc w:val="both"/>
    </w:pPr>
    <w:rPr>
      <w:rFonts w:ascii="Arial Narrow" w:hAnsi="Arial Narrow"/>
      <w:noProof/>
      <w:color w:val="auto"/>
      <w:sz w:val="26"/>
      <w:szCs w:val="20"/>
    </w:rPr>
  </w:style>
  <w:style w:styleId="Revision" w:type="paragraph">
    <w:name w:val="Revision"/>
    <w:hidden/>
    <w:uiPriority w:val="99"/>
    <w:semiHidden/>
    <w:rsid w:val="00193C63"/>
    <w:pPr>
      <w:spacing w:after="0" w:line="240" w:lineRule="auto"/>
    </w:pPr>
    <w:rPr>
      <w:rFonts w:ascii="Arial" w:cs="Times New Roman" w:eastAsia="Times New Roman" w:hAnsi="Arial"/>
      <w:szCs w:val="24"/>
    </w:rPr>
  </w:style>
  <w:style w:customStyle="1" w:styleId="Style1" w:type="table">
    <w:name w:val="Style1"/>
    <w:basedOn w:val="TableColorful2"/>
    <w:uiPriority w:val="99"/>
    <w:qFormat/>
    <w:rsid w:val="00D21FF7"/>
    <w:pPr>
      <w:spacing w:after="480"/>
      <w:jc w:val="center"/>
    </w:pPr>
    <w:rPr>
      <w:rFonts w:eastAsiaTheme="minorEastAsia"/>
      <w:sz w:val="20"/>
      <w:szCs w:val="20"/>
      <w:lang w:bidi="en-US" w:eastAsia="ja-JP"/>
    </w:rPr>
    <w:tblPr>
      <w:tblStyleRowBandSize w:val="1"/>
      <w:tblBorders>
        <w:top w:color="000000" w:space="0" w:sz="12" w:val="single"/>
        <w:left w:color="000000" w:space="0" w:sz="12" w:val="single"/>
        <w:bottom w:color="auto" w:space="0" w:sz="0" w:val="none"/>
        <w:right w:color="000000" w:space="0" w:sz="12" w:val="single"/>
        <w:insideH w:color="000000" w:space="0" w:sz="12" w:val="single"/>
        <w:insideV w:color="000000" w:space="0" w:sz="12" w:val="single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7030A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color="F1E8F8" w:fill="FFFFFF" w:val="solid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color="FFFFFF" w:fill="auto" w:themeColor="background1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ResumeBodyTxt" w:type="paragraph">
    <w:name w:val="Resume BodyTxt"/>
    <w:basedOn w:val="Normal"/>
    <w:rsid w:val="00D21FF7"/>
    <w:pPr>
      <w:spacing w:after="80" w:before="80"/>
    </w:pPr>
    <w:rPr>
      <w:rFonts w:cstheme="minorBidi" w:eastAsiaTheme="minorEastAsia"/>
      <w:szCs w:val="20"/>
    </w:rPr>
  </w:style>
  <w:style w:customStyle="1" w:styleId="ResumeTableHead" w:type="paragraph">
    <w:name w:val="Resume Table Head"/>
    <w:rsid w:val="00D21FF7"/>
    <w:pPr>
      <w:spacing w:after="0" w:line="240" w:lineRule="auto"/>
      <w:jc w:val="center"/>
    </w:pPr>
    <w:rPr>
      <w:rFonts w:ascii="Arial Narrow" w:eastAsiaTheme="minorEastAsia" w:hAnsi="Arial Narrow"/>
      <w:b/>
      <w:bCs/>
      <w:iCs/>
      <w:color w:val="FFFFFF"/>
      <w:sz w:val="20"/>
      <w:szCs w:val="20"/>
      <w:lang w:bidi="en-US"/>
    </w:rPr>
  </w:style>
  <w:style w:styleId="TableColorful2" w:type="table">
    <w:name w:val="Table Colorful 2"/>
    <w:basedOn w:val="TableNormal"/>
    <w:uiPriority w:val="99"/>
    <w:semiHidden/>
    <w:unhideWhenUsed/>
    <w:rsid w:val="00D21FF7"/>
    <w:pPr>
      <w:spacing w:after="0" w:line="240" w:lineRule="auto"/>
      <w:jc w:val="both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577C00"/>
    <w:rPr>
      <w:rFonts w:ascii="Calibri" w:cs="Consolas" w:eastAsiaTheme="minorHAnsi" w:hAnsi="Calibri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577C00"/>
    <w:rPr>
      <w:rFonts w:ascii="Calibri" w:cs="Consolas" w:hAnsi="Calibri"/>
      <w:szCs w:val="21"/>
    </w:rPr>
  </w:style>
  <w:style w:customStyle="1" w:styleId="Profile" w:type="paragraph">
    <w:name w:val="Profile"/>
    <w:basedOn w:val="Normal"/>
    <w:rsid w:val="004E0633"/>
    <w:pPr>
      <w:spacing w:line="288" w:lineRule="auto"/>
    </w:pPr>
    <w:rPr>
      <w:rFonts w:eastAsia="Calibri"/>
      <w:sz w:val="18"/>
      <w:szCs w:val="22"/>
      <w:lang w:val="en-CA"/>
    </w:rPr>
  </w:style>
  <w:style w:styleId="BodyText" w:type="paragraph">
    <w:name w:val="Body Text"/>
    <w:basedOn w:val="Normal"/>
    <w:link w:val="BodyTextChar"/>
    <w:uiPriority w:val="99"/>
    <w:qFormat/>
    <w:rsid w:val="00F86A5D"/>
  </w:style>
  <w:style w:customStyle="1" w:styleId="BodyTextChar" w:type="character">
    <w:name w:val="Body Text Char"/>
    <w:basedOn w:val="DefaultParagraphFont"/>
    <w:link w:val="BodyText"/>
    <w:uiPriority w:val="99"/>
    <w:rsid w:val="00E764D2"/>
    <w:rPr>
      <w:rFonts w:ascii="Arial" w:cs="Times New Roman" w:eastAsia="Times New Roman" w:hAnsi="Arial"/>
      <w:szCs w:val="24"/>
    </w:rPr>
  </w:style>
  <w:style w:customStyle="1" w:styleId="tt1b" w:type="paragraph">
    <w:name w:val="tt1b"/>
    <w:aliases w:val="Table thin line"/>
    <w:basedOn w:val="Normal"/>
    <w:rsid w:val="00B07203"/>
    <w:pPr>
      <w:keepNext/>
      <w:keepLines/>
      <w:spacing w:after="200" w:before="200"/>
    </w:pPr>
    <w:rPr>
      <w:rFonts w:asciiTheme="minorHAnsi" w:cstheme="minorBidi" w:eastAsiaTheme="minorEastAsia" w:hAnsiTheme="minorHAnsi"/>
      <w:sz w:val="3"/>
      <w:szCs w:val="22"/>
      <w:lang w:bidi="en-US"/>
    </w:rPr>
  </w:style>
  <w:style w:customStyle="1" w:styleId="ResumeName" w:type="paragraph">
    <w:name w:val="Resume Name"/>
    <w:basedOn w:val="Normal"/>
    <w:rsid w:val="00B25EE7"/>
    <w:pPr>
      <w:keepNext/>
      <w:pBdr>
        <w:top w:color="BFBFBF" w:space="7" w:sz="4" w:themeColor="background1" w:themeShade="BF" w:val="single"/>
        <w:left w:color="BFBFBF" w:space="1" w:sz="4" w:themeColor="background1" w:themeShade="BF" w:val="single"/>
        <w:bottom w:color="BFBFBF" w:space="7" w:sz="4" w:themeColor="background1" w:themeShade="BF" w:val="single"/>
        <w:right w:color="BFBFBF" w:space="1" w:sz="4" w:themeColor="background1" w:themeShade="BF" w:val="single"/>
      </w:pBdr>
      <w:shd w:color="auto" w:fill="BFBFBF" w:themeFill="background1" w:themeFillShade="BF" w:val="clear"/>
      <w:tabs>
        <w:tab w:pos="180" w:val="left"/>
        <w:tab w:pos="9360" w:val="right"/>
      </w:tabs>
      <w:outlineLvl w:val="1"/>
    </w:pPr>
    <w:rPr>
      <w:rFonts w:ascii="Arial Bold" w:cs="MyriadPro-Bold" w:hAnsi="Arial Bold"/>
      <w:bCs/>
      <w:color w:val="580E1F"/>
      <w:sz w:val="28"/>
      <w:szCs w:val="28"/>
    </w:rPr>
  </w:style>
  <w:style w:customStyle="1" w:styleId="ResumeBullet" w:type="paragraph">
    <w:name w:val="Resume Bullet"/>
    <w:basedOn w:val="Normal"/>
    <w:next w:val="Normal"/>
    <w:rsid w:val="00F06005"/>
    <w:pPr>
      <w:numPr>
        <w:numId w:val="7"/>
      </w:numPr>
      <w:suppressAutoHyphens/>
      <w:contextualSpacing/>
    </w:pPr>
    <w:rPr>
      <w:rFonts w:cs="Arial" w:eastAsia="Arial Unicode MS"/>
      <w:bCs/>
      <w:szCs w:val="22"/>
    </w:rPr>
  </w:style>
  <w:style w:customStyle="1" w:styleId="CalloutBoxtitle" w:type="paragraph">
    <w:name w:val="Call out Box title"/>
    <w:basedOn w:val="Normal"/>
    <w:qFormat/>
    <w:rsid w:val="00FB76F9"/>
    <w:rPr>
      <w:b/>
      <w:i/>
      <w:sz w:val="28"/>
    </w:rPr>
  </w:style>
  <w:style w:customStyle="1" w:styleId="ResumeTableText" w:type="paragraph">
    <w:name w:val="Resume Table Text"/>
    <w:basedOn w:val="Normal"/>
    <w:rsid w:val="00332935"/>
    <w:pPr>
      <w:suppressAutoHyphens/>
      <w:autoSpaceDE w:val="0"/>
      <w:autoSpaceDN w:val="0"/>
      <w:adjustRightInd w:val="0"/>
      <w:textAlignment w:val="center"/>
    </w:pPr>
    <w:rPr>
      <w:rFonts w:cs="MyriadPro-Regular"/>
      <w:color w:val="000000"/>
      <w:sz w:val="18"/>
      <w:szCs w:val="20"/>
    </w:rPr>
  </w:style>
  <w:style w:customStyle="1" w:styleId="ResumeHeading" w:type="paragraph">
    <w:name w:val="Resume Heading"/>
    <w:basedOn w:val="Proposal-Heading1"/>
    <w:qFormat/>
    <w:rsid w:val="00B25EE7"/>
    <w:pPr>
      <w:outlineLvl w:val="9"/>
    </w:pPr>
    <w:rPr>
      <w:rFonts w:ascii="Arial" w:cs="Arial" w:hAnsi="Arial"/>
      <w:noProof w:val="0"/>
      <w:sz w:val="22"/>
      <w:szCs w:val="22"/>
    </w:rPr>
  </w:style>
  <w:style w:customStyle="1" w:styleId="ResumeTableColumnHeadings" w:type="paragraph">
    <w:name w:val="Resume Table Column Headings"/>
    <w:basedOn w:val="Normal"/>
    <w:rsid w:val="00332935"/>
    <w:pPr>
      <w:autoSpaceDE w:val="0"/>
      <w:autoSpaceDN w:val="0"/>
      <w:adjustRightInd w:val="0"/>
      <w:jc w:val="center"/>
      <w:textAlignment w:val="center"/>
    </w:pPr>
    <w:rPr>
      <w:rFonts w:ascii="Arial Bold" w:cs="MyriadPro-Regular" w:hAnsi="Arial Bold"/>
      <w:b/>
      <w:color w:val="FFFFFF"/>
    </w:rPr>
  </w:style>
  <w:style w:customStyle="1" w:styleId="ResumeHeading2" w:type="paragraph">
    <w:name w:val="Resume Heading 2"/>
    <w:autoRedefine/>
    <w:rsid w:val="00332935"/>
    <w:pPr>
      <w:spacing w:after="0" w:before="60" w:line="280" w:lineRule="exact"/>
    </w:pPr>
    <w:rPr>
      <w:rFonts w:ascii="Arial" w:cs="GaramondPremrPro" w:eastAsia="Times New Roman" w:hAnsi="Arial"/>
      <w:b/>
      <w:color w:val="580E1F"/>
      <w:szCs w:val="24"/>
    </w:rPr>
  </w:style>
  <w:style w:customStyle="1" w:styleId="ResumeRun-inHeading" w:type="character">
    <w:name w:val="Resume Run-in Heading"/>
    <w:rsid w:val="00332935"/>
    <w:rPr>
      <w:rFonts w:ascii="Arial" w:hAnsi="Arial"/>
      <w:b/>
      <w:color w:val="auto"/>
      <w:sz w:val="22"/>
      <w:szCs w:val="24"/>
    </w:rPr>
  </w:style>
  <w:style w:customStyle="1" w:styleId="ResumeTaskText" w:type="paragraph">
    <w:name w:val="Resume Task Text"/>
    <w:rsid w:val="00332935"/>
    <w:pPr>
      <w:suppressAutoHyphens/>
      <w:spacing w:after="120" w:line="240" w:lineRule="auto"/>
      <w:ind w:left="187"/>
    </w:pPr>
    <w:rPr>
      <w:rFonts w:ascii="Arial" w:cs="GaramondPremrPro" w:eastAsia="Times New Roman" w:hAnsi="Arial"/>
      <w:szCs w:val="24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5D12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5D12C9"/>
    <w:rPr>
      <w:rFonts w:ascii="Arial" w:cs="Times New Roman" w:eastAsia="Times New Roman" w:hAnsi="Arial"/>
      <w:b/>
      <w:bCs/>
      <w:sz w:val="20"/>
      <w:szCs w:val="20"/>
    </w:rPr>
  </w:style>
  <w:style w:styleId="FootnoteReference" w:type="character">
    <w:name w:val="footnote reference"/>
    <w:basedOn w:val="DefaultParagraphFont"/>
    <w:uiPriority w:val="99"/>
    <w:rsid w:val="007351FB"/>
    <w:rPr>
      <w:position w:val="2"/>
      <w:sz w:val="20"/>
      <w:vertAlign w:val="superscript"/>
    </w:rPr>
  </w:style>
  <w:style w:styleId="FootnoteText" w:type="paragraph">
    <w:name w:val="footnote text"/>
    <w:link w:val="FootnoteTextChar"/>
    <w:uiPriority w:val="99"/>
    <w:rsid w:val="007351FB"/>
    <w:pPr>
      <w:framePr w:hAnchor="text" w:hSpace="187" w:vAnchor="text" w:wrap="around" w:y="1"/>
      <w:tabs>
        <w:tab w:pos="144" w:val="left"/>
      </w:tabs>
      <w:spacing w:after="0" w:before="120" w:line="240" w:lineRule="auto"/>
      <w:ind w:hanging="173" w:left="173"/>
    </w:pPr>
    <w:rPr>
      <w:rFonts w:ascii="Arial" w:cs="Times New Roman" w:eastAsia="Times New Roman" w:hAnsi="Arial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7351FB"/>
    <w:rPr>
      <w:rFonts w:ascii="Arial" w:cs="Times New Roman" w:eastAsia="Times New Roman" w:hAnsi="Arial"/>
      <w:sz w:val="20"/>
      <w:szCs w:val="20"/>
    </w:rPr>
  </w:style>
  <w:style w:customStyle="1" w:styleId="ListBullet1" w:type="paragraph">
    <w:name w:val="List Bullet 1"/>
    <w:basedOn w:val="Normal"/>
    <w:qFormat/>
    <w:rsid w:val="00DD42CA"/>
    <w:pPr>
      <w:numPr>
        <w:numId w:val="3"/>
      </w:numPr>
      <w:spacing w:before="120"/>
      <w:ind w:left="720"/>
      <w:contextualSpacing/>
      <w:jc w:val="both"/>
    </w:pPr>
    <w:rPr>
      <w:rFonts w:cs="Arial"/>
      <w:szCs w:val="22"/>
    </w:rPr>
  </w:style>
  <w:style w:customStyle="1" w:styleId="ResumeBodyText" w:type="paragraph">
    <w:name w:val="Resume Body Text"/>
    <w:aliases w:val="rbt"/>
    <w:link w:val="ResumeBodyTextChar"/>
    <w:rsid w:val="007B6B6E"/>
    <w:pPr>
      <w:spacing w:line="240" w:lineRule="exact"/>
    </w:pPr>
    <w:rPr>
      <w:rFonts w:ascii="Corbel" w:cs="Times New Roman" w:eastAsia="Times New Roman" w:hAnsi="Corbel"/>
      <w:sz w:val="20"/>
      <w:szCs w:val="20"/>
    </w:rPr>
  </w:style>
  <w:style w:customStyle="1" w:styleId="ResumeBodyTextChar" w:type="character">
    <w:name w:val="Resume Body Text Char"/>
    <w:aliases w:val="rbt Char"/>
    <w:basedOn w:val="DefaultParagraphFont"/>
    <w:link w:val="ResumeBodyText"/>
    <w:rsid w:val="007B6B6E"/>
    <w:rPr>
      <w:rFonts w:ascii="Corbel" w:cs="Times New Roman" w:eastAsia="Times New Roman" w:hAnsi="Corbel"/>
      <w:sz w:val="20"/>
      <w:szCs w:val="20"/>
    </w:rPr>
  </w:style>
  <w:style w:customStyle="1" w:styleId="ListParagraphChar" w:type="character">
    <w:name w:val="List Paragraph Char"/>
    <w:aliases w:val="Bullet list Char,Dot pt Char,F5 List Paragraph Char,List Paragraph Char Char Char Char,Indicator Text Char,Numbered Para 1 Char,Bullet 1 Char,Bullet Points Char,List Paragraph2 Char,MAIN CONTENT Char,Normal numbered Char,3 Char"/>
    <w:link w:val="ListParagraph"/>
    <w:uiPriority w:val="34"/>
    <w:locked/>
    <w:rsid w:val="002B6AB3"/>
    <w:rPr>
      <w:rFonts w:ascii="Arial" w:cs="Times New Roman" w:eastAsia="Times New Roman" w:hAnsi="Arial"/>
      <w:szCs w:val="24"/>
    </w:rPr>
  </w:style>
  <w:style w:customStyle="1" w:styleId="Heading5Char" w:type="character">
    <w:name w:val="Heading 5 Char"/>
    <w:basedOn w:val="DefaultParagraphFont"/>
    <w:link w:val="Heading5"/>
    <w:uiPriority w:val="6"/>
    <w:rsid w:val="00407EA4"/>
    <w:rPr>
      <w:rFonts w:ascii="Arial" w:cs="Times New Roman" w:eastAsia="Times New Roman" w:hAnsi="Arial"/>
      <w:i/>
      <w:color w:val="500000"/>
      <w:sz w:val="24"/>
      <w:szCs w:val="20"/>
      <w:u w:val="single"/>
    </w:rPr>
  </w:style>
  <w:style w:customStyle="1" w:styleId="Proposal-Bullet-Level2" w:type="paragraph">
    <w:name w:val="Proposal-Bullet - Level 2"/>
    <w:basedOn w:val="Normal"/>
    <w:rsid w:val="00533FB9"/>
    <w:pPr>
      <w:numPr>
        <w:numId w:val="4"/>
      </w:numPr>
      <w:suppressAutoHyphens/>
      <w:autoSpaceDE w:val="0"/>
      <w:autoSpaceDN w:val="0"/>
      <w:adjustRightInd w:val="0"/>
      <w:ind w:hanging="187" w:left="374"/>
      <w:textAlignment w:val="center"/>
    </w:pPr>
    <w:rPr>
      <w:rFonts w:ascii="Garamond" w:cs="GaramondPremrPro" w:hAnsi="Garamond"/>
      <w:color w:val="000000"/>
    </w:rPr>
  </w:style>
  <w:style w:customStyle="1" w:styleId="Proposal-NameBlock" w:type="paragraph">
    <w:name w:val="Proposal-Name Block"/>
    <w:next w:val="Normal"/>
    <w:rsid w:val="004F7F6A"/>
    <w:pPr>
      <w:pBdr>
        <w:top w:color="A6A6A6" w:space="7" w:sz="2" w:val="single"/>
        <w:left w:color="A6A6A6" w:space="4" w:sz="2" w:val="single"/>
        <w:bottom w:color="A6A6A6" w:space="7" w:sz="2" w:val="single"/>
        <w:right w:color="A6A6A6" w:space="4" w:sz="2" w:val="single"/>
      </w:pBdr>
      <w:shd w:color="auto" w:fill="BFBFBF" w:val="clear"/>
      <w:tabs>
        <w:tab w:pos="9000" w:val="right"/>
      </w:tabs>
      <w:spacing w:after="0" w:before="240" w:line="240" w:lineRule="auto"/>
    </w:pPr>
    <w:rPr>
      <w:rFonts w:ascii="Arial Bold" w:cs="MyriadPro-Bold" w:eastAsia="Times New Roman" w:hAnsi="Arial Bold"/>
      <w:bCs/>
      <w:color w:val="580E1F"/>
      <w:sz w:val="28"/>
      <w:szCs w:val="28"/>
    </w:rPr>
  </w:style>
  <w:style w:customStyle="1" w:styleId="Proposal-TableText" w:type="paragraph">
    <w:name w:val="Proposal-Table Text"/>
    <w:basedOn w:val="Normal"/>
    <w:rsid w:val="00533FB9"/>
    <w:pPr>
      <w:suppressAutoHyphens/>
      <w:autoSpaceDE w:val="0"/>
      <w:autoSpaceDN w:val="0"/>
      <w:adjustRightInd w:val="0"/>
      <w:textAlignment w:val="center"/>
    </w:pPr>
    <w:rPr>
      <w:rFonts w:cs="MyriadPro-Regular"/>
      <w:color w:val="000000"/>
      <w:sz w:val="18"/>
      <w:szCs w:val="20"/>
    </w:rPr>
  </w:style>
  <w:style w:customStyle="1" w:styleId="Proposal-Heading1" w:type="paragraph">
    <w:name w:val="Proposal-Heading 1"/>
    <w:basedOn w:val="Normal"/>
    <w:rsid w:val="004F7F6A"/>
    <w:pPr>
      <w:keepNext/>
      <w:pBdr>
        <w:bottom w:color="auto" w:space="1" w:sz="4" w:val="single"/>
      </w:pBdr>
      <w:autoSpaceDE w:val="0"/>
      <w:autoSpaceDN w:val="0"/>
      <w:adjustRightInd w:val="0"/>
      <w:spacing w:before="120"/>
      <w:textAlignment w:val="center"/>
      <w:outlineLvl w:val="0"/>
    </w:pPr>
    <w:rPr>
      <w:rFonts w:ascii="Arial Bold" w:cs="MyriadPro-BoldIt" w:hAnsi="Arial Bold"/>
      <w:b/>
      <w:noProof/>
      <w:color w:val="580E1F"/>
      <w:w w:val="95"/>
      <w:sz w:val="28"/>
      <w:szCs w:val="28"/>
    </w:rPr>
  </w:style>
  <w:style w:customStyle="1" w:styleId="Proposal-Bullet" w:type="paragraph">
    <w:name w:val="Proposal-Bullet"/>
    <w:next w:val="Normal"/>
    <w:rsid w:val="004F7F6A"/>
    <w:pPr>
      <w:tabs>
        <w:tab w:pos="187" w:val="left"/>
      </w:tabs>
      <w:spacing w:after="0" w:line="280" w:lineRule="exact"/>
      <w:ind w:hanging="360" w:left="360"/>
    </w:pPr>
    <w:rPr>
      <w:rFonts w:ascii="Garamond" w:cs="GaramondPremrPro" w:eastAsia="Times New Roman" w:hAnsi="Garamond"/>
      <w:color w:val="000000"/>
      <w:sz w:val="24"/>
      <w:szCs w:val="24"/>
    </w:rPr>
  </w:style>
  <w:style w:customStyle="1" w:styleId="Proposal-Heading3" w:type="paragraph">
    <w:name w:val="Proposal-Heading 3"/>
    <w:basedOn w:val="Normal"/>
    <w:qFormat/>
    <w:rsid w:val="004F7F6A"/>
    <w:pPr>
      <w:suppressAutoHyphens/>
    </w:pPr>
    <w:rPr>
      <w:rFonts w:ascii="Arial Narrow" w:hAnsi="Arial Narrow"/>
      <w:caps/>
      <w:color w:val="BBC0BE"/>
      <w:w w:val="90"/>
    </w:rPr>
  </w:style>
  <w:style w:customStyle="1" w:styleId="Proposal-NumberofYears" w:type="paragraph">
    <w:name w:val="Proposal-Number of Years"/>
    <w:basedOn w:val="Normal"/>
    <w:qFormat/>
    <w:rsid w:val="004F7F6A"/>
    <w:pPr>
      <w:suppressAutoHyphens/>
      <w:jc w:val="center"/>
    </w:pPr>
    <w:rPr>
      <w:rFonts w:ascii="Arial Narrow" w:hAnsi="Arial Narrow"/>
      <w:b/>
      <w:color w:val="FFFFFF"/>
      <w:sz w:val="48"/>
      <w:szCs w:val="48"/>
    </w:rPr>
  </w:style>
  <w:style w:customStyle="1" w:styleId="Proposal-TableColumnHeadings" w:type="paragraph">
    <w:name w:val="Proposal-Table Column Headings"/>
    <w:basedOn w:val="Normal"/>
    <w:qFormat/>
    <w:rsid w:val="004F7F6A"/>
    <w:pPr>
      <w:autoSpaceDE w:val="0"/>
      <w:autoSpaceDN w:val="0"/>
      <w:adjustRightInd w:val="0"/>
      <w:spacing w:line="280" w:lineRule="exact"/>
      <w:jc w:val="center"/>
      <w:textAlignment w:val="center"/>
    </w:pPr>
    <w:rPr>
      <w:rFonts w:ascii="Arial Bold" w:cs="MyriadPro-Regular" w:hAnsi="Arial Bold"/>
      <w:b/>
      <w:color w:val="FFFFFF"/>
    </w:rPr>
  </w:style>
  <w:style w:customStyle="1" w:styleId="Proposal-BulletunderTaskText" w:type="paragraph">
    <w:name w:val="Proposal-Bullet under Task Text"/>
    <w:basedOn w:val="ListParagraph"/>
    <w:next w:val="Normal"/>
    <w:rsid w:val="004F7F6A"/>
    <w:pPr>
      <w:numPr>
        <w:numId w:val="5"/>
      </w:numPr>
      <w:suppressAutoHyphens/>
      <w:spacing w:after="220" w:line="264" w:lineRule="auto"/>
    </w:pPr>
    <w:rPr>
      <w:color w:val="000000"/>
    </w:rPr>
  </w:style>
  <w:style w:customStyle="1" w:styleId="Proposal-ReversedText" w:type="paragraph">
    <w:name w:val="Proposal-Reversed Text"/>
    <w:basedOn w:val="Normal"/>
    <w:rsid w:val="004F7F6A"/>
    <w:pPr>
      <w:suppressAutoHyphens/>
      <w:autoSpaceDE w:val="0"/>
      <w:autoSpaceDN w:val="0"/>
      <w:adjustRightInd w:val="0"/>
      <w:spacing w:line="280" w:lineRule="exact"/>
      <w:textAlignment w:val="center"/>
    </w:pPr>
    <w:rPr>
      <w:rFonts w:ascii="Garamond" w:cs="GaramondPremrPro" w:hAnsi="Garamond"/>
      <w:color w:val="FFFFFF"/>
    </w:rPr>
  </w:style>
  <w:style w:customStyle="1" w:styleId="FHWABody" w:type="paragraph">
    <w:name w:val="FHWA Body"/>
    <w:qFormat/>
    <w:rsid w:val="00E178F3"/>
    <w:pPr>
      <w:spacing w:after="0" w:line="240" w:lineRule="auto"/>
    </w:pPr>
    <w:rPr>
      <w:rFonts w:ascii="Times New Roman" w:cs="Times New Roman" w:eastAsia="Batang" w:hAnsi="Times New Roman"/>
      <w:sz w:val="24"/>
      <w:szCs w:val="24"/>
    </w:rPr>
  </w:style>
  <w:style w:styleId="TOC5" w:type="paragraph">
    <w:name w:val="toc 5"/>
    <w:basedOn w:val="Normal"/>
    <w:next w:val="Normal"/>
    <w:autoRedefine/>
    <w:uiPriority w:val="39"/>
    <w:unhideWhenUsed/>
    <w:rsid w:val="00E459D1"/>
    <w:pPr>
      <w:tabs>
        <w:tab w:leader="dot" w:pos="9350" w:val="right"/>
      </w:tabs>
      <w:ind w:left="1152"/>
    </w:pPr>
  </w:style>
  <w:style w:styleId="FollowedHyperlink" w:type="character">
    <w:name w:val="FollowedHyperlink"/>
    <w:basedOn w:val="DefaultParagraphFont"/>
    <w:uiPriority w:val="99"/>
    <w:semiHidden/>
    <w:unhideWhenUsed/>
    <w:rsid w:val="0084692A"/>
    <w:rPr>
      <w:color w:themeColor="followedHyperlink" w:val="800080"/>
      <w:u w:val="single"/>
    </w:rPr>
  </w:style>
  <w:style w:customStyle="1" w:styleId="TableGridLight1" w:type="table">
    <w:name w:val="Table Grid Light1"/>
    <w:basedOn w:val="TableNormal"/>
    <w:uiPriority w:val="40"/>
    <w:rsid w:val="00304A5F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OCHeading" w:type="paragraph">
    <w:name w:val="TOC Heading"/>
    <w:basedOn w:val="Heading1"/>
    <w:next w:val="Normal"/>
    <w:uiPriority w:val="39"/>
    <w:unhideWhenUsed/>
    <w:qFormat/>
    <w:rsid w:val="00AB16D3"/>
    <w:pPr>
      <w:pageBreakBefore w:val="0"/>
      <w:spacing w:after="0" w:before="480" w:line="276" w:lineRule="auto"/>
      <w:jc w:val="left"/>
      <w:outlineLvl w:val="9"/>
    </w:pPr>
    <w:rPr>
      <w:rFonts w:asciiTheme="majorHAnsi" w:cstheme="majorBidi" w:eastAsiaTheme="majorEastAsia" w:hAnsiTheme="majorHAnsi"/>
      <w:bCs/>
      <w:caps w:val="0"/>
      <w:color w:themeColor="accent1" w:themeShade="BF" w:val="365F91"/>
      <w:lang w:eastAsia="ja-JP"/>
    </w:rPr>
  </w:style>
  <w:style w:customStyle="1" w:styleId="xmsonormal" w:type="paragraph">
    <w:name w:val="x_msonormal"/>
    <w:basedOn w:val="Normal"/>
    <w:rsid w:val="006A47E8"/>
    <w:pPr>
      <w:spacing w:after="100" w:afterAutospacing="1" w:before="100" w:beforeAutospacing="1"/>
    </w:pPr>
  </w:style>
  <w:style w:styleId="Emphasis" w:type="character">
    <w:name w:val="Emphasis"/>
    <w:basedOn w:val="DefaultParagraphFont"/>
    <w:uiPriority w:val="20"/>
    <w:qFormat/>
    <w:rsid w:val="00B247C2"/>
    <w:rPr>
      <w:rFonts w:cs="Times New Roman"/>
      <w:i/>
      <w:iCs/>
    </w:rPr>
  </w:style>
  <w:style w:customStyle="1" w:styleId="apple-converted-space" w:type="character">
    <w:name w:val="apple-converted-space"/>
    <w:basedOn w:val="DefaultParagraphFont"/>
    <w:rsid w:val="00B247C2"/>
    <w:rPr>
      <w:rFonts w:cs="Times New Roman"/>
    </w:rPr>
  </w:style>
  <w:style w:styleId="NoSpacing" w:type="paragraph">
    <w:name w:val="No Spacing"/>
    <w:link w:val="NoSpacingChar"/>
    <w:uiPriority w:val="1"/>
    <w:qFormat/>
    <w:rsid w:val="00130BA6"/>
    <w:pPr>
      <w:spacing w:after="0" w:line="240" w:lineRule="auto"/>
    </w:pPr>
    <w:rPr>
      <w:rFonts w:eastAsiaTheme="minorEastAsia"/>
    </w:rPr>
  </w:style>
  <w:style w:customStyle="1" w:styleId="NoSpacingChar" w:type="character">
    <w:name w:val="No Spacing Char"/>
    <w:basedOn w:val="DefaultParagraphFont"/>
    <w:link w:val="NoSpacing"/>
    <w:uiPriority w:val="1"/>
    <w:rsid w:val="00130BA6"/>
    <w:rPr>
      <w:rFonts w:eastAsiaTheme="minorEastAsia"/>
    </w:rPr>
  </w:style>
  <w:style w:customStyle="1" w:styleId="Table" w:type="paragraph">
    <w:name w:val="Table"/>
    <w:basedOn w:val="Caption"/>
    <w:link w:val="TableChar"/>
    <w:qFormat/>
    <w:rsid w:val="00E05F9A"/>
    <w:pPr>
      <w:spacing w:before="240"/>
      <w:jc w:val="left"/>
    </w:pPr>
    <w:rPr>
      <w:color w:val="auto"/>
    </w:rPr>
  </w:style>
  <w:style w:customStyle="1" w:styleId="TableChar" w:type="character">
    <w:name w:val="Table Char"/>
    <w:basedOn w:val="CaptionChar"/>
    <w:link w:val="Table"/>
    <w:rsid w:val="00E05F9A"/>
    <w:rPr>
      <w:rFonts w:ascii="Arial" w:cs="Times New Roman" w:eastAsia="Times New Roman" w:hAnsi="Arial"/>
      <w:b/>
      <w:bCs/>
      <w:color w:val="660033"/>
      <w:szCs w:val="18"/>
    </w:rPr>
  </w:style>
  <w:style w:styleId="Title" w:type="paragraph">
    <w:name w:val="Title"/>
    <w:basedOn w:val="Normal"/>
    <w:next w:val="Normal"/>
    <w:link w:val="TitleChar"/>
    <w:uiPriority w:val="5"/>
    <w:qFormat/>
    <w:rsid w:val="001A0607"/>
    <w:pPr>
      <w:keepNext/>
      <w:keepLines/>
      <w:spacing w:after="240" w:before="240"/>
      <w:contextualSpacing/>
      <w:jc w:val="center"/>
    </w:pPr>
    <w:rPr>
      <w:rFonts w:cstheme="majorBidi" w:eastAsiaTheme="majorEastAsia"/>
      <w:b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5"/>
    <w:rsid w:val="001A0607"/>
    <w:rPr>
      <w:rFonts w:ascii="Times New Roman" w:cstheme="majorBidi" w:eastAsiaTheme="majorEastAsia" w:hAnsi="Times New Roman"/>
      <w:b/>
      <w:sz w:val="28"/>
      <w:szCs w:val="52"/>
    </w:rPr>
  </w:style>
  <w:style w:styleId="Bibliography" w:type="paragraph">
    <w:name w:val="Bibliography"/>
    <w:basedOn w:val="Normal"/>
    <w:next w:val="Normal"/>
    <w:uiPriority w:val="37"/>
    <w:rsid w:val="00FD4F9D"/>
    <w:rPr>
      <w:rFonts w:cstheme="minorBidi" w:eastAsiaTheme="minorHAnsi"/>
    </w:rPr>
  </w:style>
  <w:style w:customStyle="1" w:styleId="TableGrid1" w:type="table">
    <w:name w:val="Table Grid1"/>
    <w:basedOn w:val="TableNormal"/>
    <w:next w:val="TableGrid"/>
    <w:uiPriority w:val="59"/>
    <w:rsid w:val="00D409CA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4128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BODY" w:type="paragraph">
    <w:name w:val="BODY"/>
    <w:basedOn w:val="Normal"/>
    <w:uiPriority w:val="99"/>
    <w:rsid w:val="006A7129"/>
    <w:pPr>
      <w:autoSpaceDE w:val="0"/>
      <w:autoSpaceDN w:val="0"/>
      <w:adjustRightInd w:val="0"/>
    </w:pPr>
    <w:rPr>
      <w:rFonts w:cs="Arial" w:eastAsiaTheme="minorHAnsi"/>
      <w:sz w:val="16"/>
      <w:szCs w:val="16"/>
      <w:lang w:val="x-none"/>
    </w:rPr>
  </w:style>
  <w:style w:styleId="BlockText" w:type="paragraph">
    <w:name w:val="Block Text"/>
    <w:basedOn w:val="Normal"/>
    <w:uiPriority w:val="99"/>
    <w:semiHidden/>
    <w:unhideWhenUsed/>
    <w:rsid w:val="00AB03BD"/>
    <w:pPr>
      <w:pBdr>
        <w:top w:color="4F81BD" w:frame="1" w:shadow="1" w:space="10" w:sz="2" w:themeColor="accent1" w:val="single"/>
        <w:left w:color="4F81BD" w:frame="1" w:shadow="1" w:space="10" w:sz="2" w:themeColor="accent1" w:val="single"/>
        <w:bottom w:color="4F81BD" w:frame="1" w:shadow="1" w:space="10" w:sz="2" w:themeColor="accent1" w:val="single"/>
        <w:right w:color="4F81BD" w:frame="1" w:shadow="1" w:space="10" w:sz="2" w:themeColor="accent1" w:val="single"/>
      </w:pBdr>
      <w:ind w:left="1152" w:right="1152"/>
    </w:pPr>
    <w:rPr>
      <w:rFonts w:asciiTheme="minorHAnsi" w:cstheme="minorBidi" w:eastAsiaTheme="minorEastAsia" w:hAnsiTheme="minorHAnsi"/>
      <w:i/>
      <w:iCs/>
      <w:color w:themeColor="accent1" w:val="4F81BD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B03BD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B03BD"/>
    <w:rPr>
      <w:rFonts w:ascii="Arial" w:cs="Times New Roman" w:eastAsia="Times New Roman" w:hAnsi="Arial"/>
      <w:szCs w:val="24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B03BD"/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B03BD"/>
    <w:rPr>
      <w:rFonts w:ascii="Arial" w:cs="Times New Roman" w:eastAsia="Times New Roman" w:hAnsi="Arial"/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B03BD"/>
    <w:pPr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B03BD"/>
    <w:rPr>
      <w:rFonts w:ascii="Arial" w:cs="Times New Roman" w:eastAsia="Times New Roman" w:hAnsi="Arial"/>
      <w:szCs w:val="24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B03BD"/>
    <w:pPr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B03BD"/>
    <w:rPr>
      <w:rFonts w:ascii="Arial" w:cs="Times New Roman" w:eastAsia="Times New Roman" w:hAnsi="Arial"/>
      <w:szCs w:val="24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B03BD"/>
    <w:pPr>
      <w:spacing w:after="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B03BD"/>
    <w:rPr>
      <w:rFonts w:ascii="Arial" w:cs="Times New Roman" w:eastAsia="Times New Roman" w:hAnsi="Arial"/>
      <w:szCs w:val="24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B03BD"/>
    <w:pPr>
      <w:spacing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B03BD"/>
    <w:rPr>
      <w:rFonts w:ascii="Arial" w:cs="Times New Roman" w:eastAsia="Times New Roman" w:hAnsi="Arial"/>
      <w:szCs w:val="24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B03BD"/>
    <w:pPr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B03BD"/>
    <w:rPr>
      <w:rFonts w:ascii="Arial" w:cs="Times New Roman" w:eastAsia="Times New Roman" w:hAnsi="Arial"/>
      <w:sz w:val="16"/>
      <w:szCs w:val="16"/>
    </w:rPr>
  </w:style>
  <w:style w:styleId="Closing" w:type="paragraph">
    <w:name w:val="Closing"/>
    <w:basedOn w:val="Normal"/>
    <w:link w:val="ClosingChar"/>
    <w:uiPriority w:val="99"/>
    <w:semiHidden/>
    <w:unhideWhenUsed/>
    <w:rsid w:val="00AB03BD"/>
    <w:pPr>
      <w:ind w:left="4320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B03BD"/>
    <w:rPr>
      <w:rFonts w:ascii="Arial" w:cs="Times New Roman" w:eastAsia="Times New Roman" w:hAnsi="Arial"/>
      <w:szCs w:val="24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B03BD"/>
  </w:style>
  <w:style w:customStyle="1" w:styleId="DateChar" w:type="character">
    <w:name w:val="Date Char"/>
    <w:basedOn w:val="DefaultParagraphFont"/>
    <w:link w:val="Date"/>
    <w:uiPriority w:val="99"/>
    <w:semiHidden/>
    <w:rsid w:val="00AB03BD"/>
    <w:rPr>
      <w:rFonts w:ascii="Arial" w:cs="Times New Roman" w:eastAsia="Times New Roman" w:hAnsi="Arial"/>
      <w:szCs w:val="24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B03BD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B03BD"/>
    <w:rPr>
      <w:rFonts w:ascii="Tahoma" w:cs="Tahoma" w:eastAsia="Times New Roman" w:hAnsi="Tahoma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B03BD"/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B03BD"/>
    <w:rPr>
      <w:rFonts w:ascii="Arial" w:cs="Times New Roman" w:eastAsia="Times New Roman" w:hAnsi="Arial"/>
      <w:szCs w:val="24"/>
    </w:rPr>
  </w:style>
  <w:style w:styleId="EndnoteText" w:type="paragraph">
    <w:name w:val="endnote text"/>
    <w:basedOn w:val="Normal"/>
    <w:link w:val="EndnoteTextChar"/>
    <w:unhideWhenUsed/>
    <w:rsid w:val="00AB03BD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rsid w:val="00AB03BD"/>
    <w:rPr>
      <w:rFonts w:ascii="Arial" w:cs="Times New Roman" w:eastAsia="Times New Roman" w:hAnsi="Arial"/>
      <w:sz w:val="20"/>
      <w:szCs w:val="20"/>
    </w:rPr>
  </w:style>
  <w:style w:styleId="EnvelopeAddress" w:type="paragraph">
    <w:name w:val="envelope address"/>
    <w:basedOn w:val="Normal"/>
    <w:uiPriority w:val="99"/>
    <w:semiHidden/>
    <w:unhideWhenUsed/>
    <w:rsid w:val="00AB03BD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</w:rPr>
  </w:style>
  <w:style w:styleId="EnvelopeReturn" w:type="paragraph">
    <w:name w:val="envelope return"/>
    <w:basedOn w:val="Normal"/>
    <w:uiPriority w:val="99"/>
    <w:semiHidden/>
    <w:unhideWhenUsed/>
    <w:rsid w:val="00AB03BD"/>
    <w:rPr>
      <w:rFonts w:asciiTheme="majorHAnsi" w:cstheme="majorBidi" w:eastAsiaTheme="majorEastAsia" w:hAnsiTheme="majorHAnsi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AB03BD"/>
    <w:rPr>
      <w:rFonts w:asciiTheme="majorHAnsi" w:cstheme="majorBidi" w:eastAsiaTheme="majorEastAsia" w:hAnsiTheme="majorHAnsi"/>
      <w:i/>
      <w:iCs/>
      <w:color w:themeColor="accent1" w:themeShade="7F" w:val="243F60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B03BD"/>
    <w:rPr>
      <w:rFonts w:asciiTheme="majorHAnsi" w:cstheme="majorBidi" w:eastAsiaTheme="majorEastAsia" w:hAnsiTheme="majorHAnsi"/>
      <w:i/>
      <w:iCs/>
      <w:color w:themeColor="text1" w:themeTint="BF" w:val="404040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B03BD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B03BD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B03BD"/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B03BD"/>
    <w:rPr>
      <w:rFonts w:ascii="Arial" w:cs="Times New Roman" w:eastAsia="Times New Roman" w:hAnsi="Arial"/>
      <w:i/>
      <w:iCs/>
      <w:szCs w:val="24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B03BD"/>
    <w:rPr>
      <w:rFonts w:ascii="Consolas" w:cs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B03BD"/>
    <w:rPr>
      <w:rFonts w:ascii="Consolas" w:cs="Consolas" w:eastAsia="Times New Roman" w:hAnsi="Consolas"/>
      <w:sz w:val="20"/>
      <w:szCs w:val="20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B03BD"/>
    <w:pPr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B03BD"/>
    <w:pPr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B03BD"/>
    <w:pPr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B03BD"/>
    <w:pPr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B03BD"/>
    <w:pPr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B03BD"/>
    <w:pPr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B03BD"/>
    <w:pPr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B03BD"/>
    <w:pPr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B03BD"/>
    <w:pPr>
      <w:ind w:hanging="220" w:left="198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B03BD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uiPriority w:val="30"/>
    <w:rsid w:val="00AB03BD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B03BD"/>
    <w:rPr>
      <w:rFonts w:ascii="Arial" w:cs="Times New Roman" w:eastAsia="Times New Roman" w:hAnsi="Arial"/>
      <w:b/>
      <w:bCs/>
      <w:i/>
      <w:iCs/>
      <w:color w:themeColor="accent1" w:val="4F81BD"/>
      <w:szCs w:val="24"/>
    </w:rPr>
  </w:style>
  <w:style w:styleId="List" w:type="paragraph">
    <w:name w:val="List"/>
    <w:basedOn w:val="Normal"/>
    <w:uiPriority w:val="99"/>
    <w:semiHidden/>
    <w:unhideWhenUsed/>
    <w:rsid w:val="00AB03BD"/>
    <w:pPr>
      <w:ind w:hanging="360" w:left="360"/>
      <w:contextualSpacing/>
    </w:pPr>
  </w:style>
  <w:style w:styleId="List2" w:type="paragraph">
    <w:name w:val="List 2"/>
    <w:basedOn w:val="Normal"/>
    <w:uiPriority w:val="99"/>
    <w:semiHidden/>
    <w:unhideWhenUsed/>
    <w:rsid w:val="00AB03BD"/>
    <w:pPr>
      <w:ind w:hanging="360" w:left="720"/>
      <w:contextualSpacing/>
    </w:pPr>
  </w:style>
  <w:style w:styleId="List3" w:type="paragraph">
    <w:name w:val="List 3"/>
    <w:basedOn w:val="Normal"/>
    <w:uiPriority w:val="99"/>
    <w:semiHidden/>
    <w:unhideWhenUsed/>
    <w:rsid w:val="00AB03BD"/>
    <w:pPr>
      <w:ind w:hanging="360" w:left="1080"/>
      <w:contextualSpacing/>
    </w:pPr>
  </w:style>
  <w:style w:styleId="List4" w:type="paragraph">
    <w:name w:val="List 4"/>
    <w:basedOn w:val="Normal"/>
    <w:uiPriority w:val="99"/>
    <w:semiHidden/>
    <w:unhideWhenUsed/>
    <w:rsid w:val="00AB03BD"/>
    <w:pPr>
      <w:ind w:hanging="360" w:left="1440"/>
      <w:contextualSpacing/>
    </w:pPr>
  </w:style>
  <w:style w:styleId="List5" w:type="paragraph">
    <w:name w:val="List 5"/>
    <w:basedOn w:val="Normal"/>
    <w:uiPriority w:val="99"/>
    <w:semiHidden/>
    <w:unhideWhenUsed/>
    <w:rsid w:val="00AB03BD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AB03BD"/>
    <w:pPr>
      <w:numPr>
        <w:numId w:val="9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AB03BD"/>
    <w:pPr>
      <w:numPr>
        <w:numId w:val="10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B03BD"/>
    <w:pPr>
      <w:numPr>
        <w:numId w:val="11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B03BD"/>
    <w:pPr>
      <w:numPr>
        <w:numId w:val="12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B03BD"/>
    <w:pPr>
      <w:numPr>
        <w:numId w:val="13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B03BD"/>
    <w:pPr>
      <w:ind w:left="360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B03BD"/>
    <w:pPr>
      <w:ind w:left="720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B03BD"/>
    <w:pPr>
      <w:ind w:left="1080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B03BD"/>
    <w:pPr>
      <w:ind w:left="1440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B03BD"/>
    <w:pPr>
      <w:ind w:left="1800"/>
      <w:contextualSpacing/>
    </w:pPr>
  </w:style>
  <w:style w:styleId="ListNumber" w:type="paragraph">
    <w:name w:val="List Number"/>
    <w:basedOn w:val="Normal"/>
    <w:uiPriority w:val="99"/>
    <w:semiHidden/>
    <w:unhideWhenUsed/>
    <w:rsid w:val="00AB03BD"/>
    <w:pPr>
      <w:numPr>
        <w:numId w:val="14"/>
      </w:numPr>
      <w:contextualSpacing/>
    </w:pPr>
  </w:style>
  <w:style w:styleId="ListNumber2" w:type="paragraph">
    <w:name w:val="List Number 2"/>
    <w:basedOn w:val="Normal"/>
    <w:uiPriority w:val="99"/>
    <w:semiHidden/>
    <w:unhideWhenUsed/>
    <w:rsid w:val="00AB03BD"/>
    <w:pPr>
      <w:numPr>
        <w:numId w:val="15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B03BD"/>
    <w:pPr>
      <w:numPr>
        <w:numId w:val="16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B03BD"/>
    <w:pPr>
      <w:numPr>
        <w:numId w:val="17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B03BD"/>
    <w:pPr>
      <w:numPr>
        <w:numId w:val="18"/>
      </w:numPr>
      <w:contextualSpacing/>
    </w:pPr>
  </w:style>
  <w:style w:styleId="MacroText" w:type="paragraph">
    <w:name w:val="macro"/>
    <w:link w:val="MacroTextChar"/>
    <w:uiPriority w:val="99"/>
    <w:semiHidden/>
    <w:unhideWhenUsed/>
    <w:rsid w:val="00AB03BD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 w:line="240" w:lineRule="auto"/>
    </w:pPr>
    <w:rPr>
      <w:rFonts w:ascii="Consolas" w:cs="Consolas" w:eastAsia="Times New Roman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B03BD"/>
    <w:rPr>
      <w:rFonts w:ascii="Consolas" w:cs="Consolas" w:eastAsia="Times New Roman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B03BD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B03BD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Indent" w:type="paragraph">
    <w:name w:val="Normal Indent"/>
    <w:basedOn w:val="Normal"/>
    <w:uiPriority w:val="99"/>
    <w:semiHidden/>
    <w:unhideWhenUsed/>
    <w:rsid w:val="00AB03BD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B03BD"/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B03BD"/>
    <w:rPr>
      <w:rFonts w:ascii="Arial" w:cs="Times New Roman" w:eastAsia="Times New Roman" w:hAnsi="Arial"/>
      <w:szCs w:val="24"/>
    </w:rPr>
  </w:style>
  <w:style w:styleId="Quote" w:type="paragraph">
    <w:name w:val="Quote"/>
    <w:basedOn w:val="Normal"/>
    <w:next w:val="Normal"/>
    <w:link w:val="QuoteChar"/>
    <w:uiPriority w:val="29"/>
    <w:rsid w:val="00AB03BD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B03BD"/>
    <w:rPr>
      <w:rFonts w:ascii="Arial" w:cs="Times New Roman" w:eastAsia="Times New Roman" w:hAnsi="Arial"/>
      <w:i/>
      <w:iCs/>
      <w:color w:themeColor="text1" w:val="000000"/>
      <w:szCs w:val="24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B03BD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B03BD"/>
    <w:rPr>
      <w:rFonts w:ascii="Arial" w:cs="Times New Roman" w:eastAsia="Times New Roman" w:hAnsi="Arial"/>
      <w:szCs w:val="24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B03BD"/>
    <w:pPr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B03BD"/>
    <w:rPr>
      <w:rFonts w:ascii="Arial" w:cs="Times New Roman" w:eastAsia="Times New Roman" w:hAnsi="Arial"/>
      <w:szCs w:val="24"/>
    </w:rPr>
  </w:style>
  <w:style w:styleId="Subtitle" w:type="paragraph">
    <w:name w:val="Subtitle"/>
    <w:basedOn w:val="Normal"/>
    <w:next w:val="Normal"/>
    <w:link w:val="SubtitleChar"/>
    <w:uiPriority w:val="11"/>
    <w:rsid w:val="00AB03BD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AB03BD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B03BD"/>
    <w:pPr>
      <w:ind w:hanging="220" w:left="220"/>
    </w:pPr>
  </w:style>
  <w:style w:styleId="TOAHeading" w:type="paragraph">
    <w:name w:val="toa heading"/>
    <w:basedOn w:val="Normal"/>
    <w:next w:val="Normal"/>
    <w:uiPriority w:val="99"/>
    <w:semiHidden/>
    <w:unhideWhenUsed/>
    <w:rsid w:val="00AB03BD"/>
    <w:pPr>
      <w:spacing w:before="120"/>
    </w:pPr>
    <w:rPr>
      <w:rFonts w:asciiTheme="majorHAnsi" w:cstheme="majorBidi" w:eastAsiaTheme="majorEastAsia" w:hAnsiTheme="majorHAnsi"/>
      <w:b/>
      <w:bCs/>
    </w:rPr>
  </w:style>
  <w:style w:styleId="TOC6" w:type="paragraph">
    <w:name w:val="toc 6"/>
    <w:basedOn w:val="Normal"/>
    <w:next w:val="Normal"/>
    <w:autoRedefine/>
    <w:uiPriority w:val="39"/>
    <w:unhideWhenUsed/>
    <w:rsid w:val="00AB03BD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AB03BD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AB03BD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AB03BD"/>
    <w:pPr>
      <w:spacing w:after="100"/>
      <w:ind w:left="1760"/>
    </w:pPr>
  </w:style>
  <w:style w:customStyle="1" w:styleId="BHNormal" w:type="paragraph">
    <w:name w:val="BHNormal"/>
    <w:qFormat/>
    <w:rsid w:val="001F034D"/>
    <w:pPr>
      <w:spacing w:after="0" w:line="240" w:lineRule="auto"/>
    </w:pPr>
    <w:rPr>
      <w:rFonts w:ascii="Times New Roman" w:cs="Times New Roman" w:eastAsia="Times New Roman" w:hAnsi="Times New Roman"/>
      <w:sz w:val="24"/>
    </w:rPr>
  </w:style>
  <w:style w:customStyle="1" w:styleId="GridTable2-Accent11" w:type="table">
    <w:name w:val="Grid Table 2 - Accent 11"/>
    <w:basedOn w:val="TableNormal"/>
    <w:uiPriority w:val="47"/>
    <w:rsid w:val="0004371C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95B3D7" w:space="0" w:sz="2" w:themeColor="accent1" w:themeTint="99" w:val="single"/>
        <w:bottom w:color="95B3D7" w:space="0" w:sz="2" w:themeColor="accent1" w:themeTint="99" w:val="single"/>
        <w:insideH w:color="95B3D7" w:space="0" w:sz="2" w:themeColor="accent1" w:themeTint="99" w:val="single"/>
        <w:insideV w:color="95B3D7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95B3D7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5B3D7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customStyle="1" w:styleId="GridTable2-Accent21" w:type="table">
    <w:name w:val="Grid Table 2 - Accent 21"/>
    <w:basedOn w:val="TableNormal"/>
    <w:uiPriority w:val="47"/>
    <w:rsid w:val="0004371C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D99594" w:space="0" w:sz="2" w:themeColor="accent2" w:themeTint="99" w:val="single"/>
        <w:bottom w:color="D99594" w:space="0" w:sz="2" w:themeColor="accent2" w:themeTint="99" w:val="single"/>
        <w:insideH w:color="D99594" w:space="0" w:sz="2" w:themeColor="accent2" w:themeTint="99" w:val="single"/>
        <w:insideV w:color="D99594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99594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99594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BDB" w:themeFill="accent2" w:themeFillTint="33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customStyle="1" w:styleId="ResumeTitleProfExper" w:type="character">
    <w:name w:val="Resume Title Prof  Exper"/>
    <w:basedOn w:val="DefaultParagraphFont"/>
    <w:rsid w:val="00FD3814"/>
    <w:rPr>
      <w:rFonts w:ascii="Corbel" w:hAnsi="Corbel"/>
      <w:b/>
      <w:sz w:val="22"/>
    </w:rPr>
  </w:style>
  <w:style w:customStyle="1" w:styleId="TitleProfExper" w:type="character">
    <w:name w:val="Title Prof Exper"/>
    <w:aliases w:val="tpe, tpe"/>
    <w:basedOn w:val="DefaultParagraphFont"/>
    <w:rsid w:val="00FD3814"/>
    <w:rPr>
      <w:rFonts w:ascii="Book Antiqua" w:hAnsi="Book Antiqua"/>
      <w:b/>
      <w:sz w:val="22"/>
    </w:rPr>
  </w:style>
  <w:style w:customStyle="1" w:styleId="CSPEbodytext" w:type="paragraph">
    <w:name w:val="CS PE body text"/>
    <w:aliases w:val="pebt"/>
    <w:basedOn w:val="Normal"/>
    <w:next w:val="Normal"/>
    <w:rsid w:val="00FD3814"/>
    <w:pPr>
      <w:spacing w:after="240"/>
      <w:jc w:val="both"/>
    </w:pPr>
    <w:rPr>
      <w:rFonts w:ascii="Book Antiqua" w:cs="Book Antiqua" w:hAnsi="Book Antiqua"/>
      <w:sz w:val="20"/>
      <w:szCs w:val="20"/>
    </w:rPr>
  </w:style>
  <w:style w:customStyle="1" w:styleId="PlainTable11" w:type="table">
    <w:name w:val="Plain Table 11"/>
    <w:basedOn w:val="TableNormal"/>
    <w:uiPriority w:val="41"/>
    <w:rsid w:val="00B058F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Grid3" w:type="table">
    <w:name w:val="Table Grid3"/>
    <w:basedOn w:val="TableNormal"/>
    <w:next w:val="TableGrid"/>
    <w:uiPriority w:val="59"/>
    <w:rsid w:val="00520B21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TableText" w:type="paragraph">
    <w:name w:val="Table Text"/>
    <w:basedOn w:val="Normal"/>
    <w:link w:val="TableTextChar"/>
    <w:qFormat/>
    <w:rsid w:val="00F06005"/>
  </w:style>
  <w:style w:customStyle="1" w:styleId="TableTextChar" w:type="character">
    <w:name w:val="Table Text Char"/>
    <w:basedOn w:val="DefaultParagraphFont"/>
    <w:link w:val="TableText"/>
    <w:rsid w:val="00F06005"/>
    <w:rPr>
      <w:rFonts w:ascii="Arial" w:cs="Times New Roman" w:eastAsia="Times New Roman" w:hAnsi="Arial"/>
      <w:szCs w:val="24"/>
    </w:rPr>
  </w:style>
  <w:style w:customStyle="1" w:styleId="Proposal-bullets" w:type="paragraph">
    <w:name w:val="Proposal-bullets"/>
    <w:basedOn w:val="Normal"/>
    <w:uiPriority w:val="99"/>
    <w:unhideWhenUsed/>
    <w:locked/>
    <w:rsid w:val="00AF7C60"/>
    <w:pPr>
      <w:numPr>
        <w:numId w:val="19"/>
      </w:numPr>
      <w:suppressAutoHyphens/>
      <w:autoSpaceDE w:val="0"/>
      <w:autoSpaceDN w:val="0"/>
      <w:adjustRightInd w:val="0"/>
      <w:ind w:left="907"/>
      <w:textAlignment w:val="center"/>
    </w:pPr>
    <w:rPr>
      <w:rFonts w:cs="GaramondPremrPro"/>
      <w:color w:val="000000"/>
    </w:rPr>
  </w:style>
  <w:style w:customStyle="1" w:styleId="TableParagraph" w:type="paragraph">
    <w:name w:val="Table Paragraph"/>
    <w:basedOn w:val="Normal"/>
    <w:uiPriority w:val="1"/>
    <w:qFormat/>
    <w:rsid w:val="003B24C1"/>
    <w:rPr>
      <w:rFonts w:asciiTheme="minorHAnsi" w:cstheme="minorBidi" w:eastAsiaTheme="minorHAnsi" w:hAnsiTheme="minorHAnsi"/>
      <w:szCs w:val="22"/>
    </w:rPr>
  </w:style>
  <w:style w:styleId="EndnoteReference" w:type="character">
    <w:name w:val="endnote reference"/>
    <w:basedOn w:val="DefaultParagraphFont"/>
    <w:uiPriority w:val="99"/>
    <w:unhideWhenUsed/>
    <w:qFormat/>
    <w:rsid w:val="00BE2ABA"/>
    <w:rPr>
      <w:sz w:val="24"/>
      <w:vertAlign w:val="baseline"/>
    </w:rPr>
  </w:style>
  <w:style w:customStyle="1" w:styleId="TableGridLight2" w:type="table">
    <w:name w:val="Table Grid Light2"/>
    <w:basedOn w:val="TableNormal"/>
    <w:uiPriority w:val="40"/>
    <w:rsid w:val="00BE2ABA"/>
    <w:pPr>
      <w:spacing w:after="0" w:line="240" w:lineRule="auto"/>
    </w:pPr>
    <w:rPr>
      <w:rFonts w:ascii="Times New Roman" w:hAnsi="Times New Roman"/>
      <w:sz w:val="24"/>
      <w:szCs w:val="24"/>
    </w:r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BlockQuotation" w:type="paragraph">
    <w:name w:val="Block Quotation"/>
    <w:basedOn w:val="Normal"/>
    <w:rsid w:val="00457A7F"/>
    <w:rPr>
      <w:szCs w:val="20"/>
    </w:rPr>
  </w:style>
  <w:style w:customStyle="1" w:styleId="GantheadFooterPage2" w:type="paragraph">
    <w:name w:val="Ganthead Footer Page 2"/>
    <w:basedOn w:val="Normal"/>
    <w:rsid w:val="00457A7F"/>
    <w:pPr>
      <w:pBdr>
        <w:top w:color="auto" w:space="1" w:sz="4" w:val="single"/>
      </w:pBdr>
      <w:tabs>
        <w:tab w:pos="10080" w:val="right"/>
      </w:tabs>
      <w:spacing w:after="240"/>
    </w:pPr>
    <w:rPr>
      <w:sz w:val="20"/>
      <w:szCs w:val="20"/>
    </w:rPr>
  </w:style>
  <w:style w:customStyle="1" w:styleId="GanttheadHeaderSecondPage" w:type="paragraph">
    <w:name w:val="Gantthead Header Second Page"/>
    <w:basedOn w:val="Normal"/>
    <w:rsid w:val="00457A7F"/>
    <w:pPr>
      <w:pBdr>
        <w:bottom w:color="auto" w:space="1" w:sz="4" w:val="single"/>
      </w:pBdr>
      <w:tabs>
        <w:tab w:pos="9360" w:val="right"/>
      </w:tabs>
    </w:pPr>
    <w:rPr>
      <w:rFonts w:cs="Arial"/>
      <w:szCs w:val="22"/>
    </w:rPr>
  </w:style>
  <w:style w:customStyle="1" w:styleId="GanttheadHeading1" w:type="paragraph">
    <w:name w:val="Gantthead Heading 1"/>
    <w:basedOn w:val="Heading3"/>
    <w:rsid w:val="00457A7F"/>
    <w:pPr>
      <w:keepNext w:val="0"/>
      <w:keepLines w:val="0"/>
      <w:tabs>
        <w:tab w:pos="720" w:val="clear"/>
      </w:tabs>
      <w:spacing w:after="240" w:before="0"/>
      <w:ind w:firstLine="0" w:left="0"/>
    </w:pPr>
    <w:rPr>
      <w:rFonts w:cs="Arial"/>
      <w:bCs/>
      <w:color w:val="auto"/>
    </w:rPr>
  </w:style>
  <w:style w:customStyle="1" w:styleId="GanttheadNormal" w:type="paragraph">
    <w:name w:val="Gantthead Normal"/>
    <w:basedOn w:val="NormalWeb"/>
    <w:link w:val="GanttheadNormalChar"/>
    <w:rsid w:val="00457A7F"/>
    <w:pPr>
      <w:spacing w:after="240" w:afterAutospacing="0" w:before="0" w:beforeAutospacing="0"/>
      <w:ind w:left="720"/>
    </w:pPr>
    <w:rPr>
      <w:rFonts w:eastAsia="Times New Roman"/>
      <w:szCs w:val="20"/>
    </w:rPr>
  </w:style>
  <w:style w:customStyle="1" w:styleId="GanttheadHeading2" w:type="paragraph">
    <w:name w:val="Gantthead Heading 2"/>
    <w:basedOn w:val="NormalWeb"/>
    <w:rsid w:val="00457A7F"/>
    <w:pPr>
      <w:keepNext/>
      <w:spacing w:after="240" w:afterAutospacing="0" w:before="0" w:beforeAutospacing="0"/>
      <w:ind w:left="720"/>
    </w:pPr>
    <w:rPr>
      <w:rFonts w:cs="Arial" w:eastAsia="Times New Roman"/>
      <w:b/>
    </w:rPr>
  </w:style>
  <w:style w:customStyle="1" w:styleId="GanttheadNormalChar" w:type="character">
    <w:name w:val="Gantthead Normal Char"/>
    <w:basedOn w:val="DefaultParagraphFont"/>
    <w:link w:val="GanttheadNormal"/>
    <w:rsid w:val="00457A7F"/>
    <w:rPr>
      <w:rFonts w:ascii="Arial" w:cs="Times New Roman" w:eastAsia="Times New Roman" w:hAnsi="Arial"/>
      <w:szCs w:val="20"/>
    </w:rPr>
  </w:style>
  <w:style w:customStyle="1" w:styleId="GanttheadHeading3" w:type="paragraph">
    <w:name w:val="Gantthead Heading 3"/>
    <w:basedOn w:val="GanttheadHeading2"/>
    <w:rsid w:val="00457A7F"/>
    <w:pPr>
      <w:ind w:left="1440"/>
    </w:pPr>
    <w:rPr>
      <w:sz w:val="22"/>
      <w:szCs w:val="22"/>
    </w:rPr>
  </w:style>
  <w:style w:customStyle="1" w:styleId="GanttheadBullet1" w:type="paragraph">
    <w:name w:val="Gantthead Bullet 1"/>
    <w:basedOn w:val="GanttheadNormal"/>
    <w:rsid w:val="00457A7F"/>
    <w:pPr>
      <w:numPr>
        <w:numId w:val="20"/>
      </w:numPr>
      <w:tabs>
        <w:tab w:pos="1440" w:val="clear"/>
        <w:tab w:pos="1080" w:val="num"/>
      </w:tabs>
      <w:ind w:left="1080"/>
    </w:pPr>
  </w:style>
  <w:style w:customStyle="1" w:styleId="GanttheadTableHeader" w:type="paragraph">
    <w:name w:val="Gantthead Table Header"/>
    <w:basedOn w:val="Normal"/>
    <w:rsid w:val="00457A7F"/>
    <w:rPr>
      <w:rFonts w:ascii="Times" w:hAnsi="Times"/>
      <w:b/>
    </w:rPr>
  </w:style>
  <w:style w:customStyle="1" w:styleId="GanttheadTableText" w:type="paragraph">
    <w:name w:val="Gantthead Table Text"/>
    <w:basedOn w:val="Normal"/>
    <w:link w:val="GanttheadTableTextChar"/>
    <w:rsid w:val="00457A7F"/>
    <w:rPr>
      <w:rFonts w:ascii="Times" w:hAnsi="Times"/>
    </w:rPr>
  </w:style>
  <w:style w:customStyle="1" w:styleId="GanttheadHeading2Bullet" w:type="paragraph">
    <w:name w:val="Gantthead Heading 2 Bullet"/>
    <w:basedOn w:val="Normal"/>
    <w:rsid w:val="00457A7F"/>
    <w:pPr>
      <w:numPr>
        <w:numId w:val="21"/>
      </w:numPr>
    </w:pPr>
    <w:rPr>
      <w:bCs/>
      <w:szCs w:val="20"/>
    </w:rPr>
  </w:style>
  <w:style w:customStyle="1" w:styleId="GanttheadHeading3Bullet" w:type="paragraph">
    <w:name w:val="Gantthead Heading 3 Bullet"/>
    <w:basedOn w:val="Normal"/>
    <w:rsid w:val="00457A7F"/>
    <w:pPr>
      <w:numPr>
        <w:numId w:val="22"/>
      </w:numPr>
    </w:pPr>
    <w:rPr>
      <w:bCs/>
      <w:szCs w:val="20"/>
    </w:rPr>
  </w:style>
  <w:style w:customStyle="1" w:styleId="GanttheadHeading2NormalText" w:type="paragraph">
    <w:name w:val="Gantthead Heading 2 Normal Text"/>
    <w:basedOn w:val="Normal"/>
    <w:rsid w:val="00457A7F"/>
    <w:pPr>
      <w:spacing w:after="240"/>
      <w:ind w:left="720"/>
    </w:pPr>
    <w:rPr>
      <w:szCs w:val="20"/>
    </w:rPr>
  </w:style>
  <w:style w:customStyle="1" w:styleId="GanttheadHeading3NormalText" w:type="paragraph">
    <w:name w:val="Gantthead Heading 3 Normal Text"/>
    <w:basedOn w:val="Normal"/>
    <w:link w:val="GanttheadHeading3NormalTextChar"/>
    <w:rsid w:val="00457A7F"/>
    <w:pPr>
      <w:spacing w:after="240"/>
      <w:ind w:left="1440"/>
    </w:pPr>
    <w:rPr>
      <w:szCs w:val="20"/>
    </w:rPr>
  </w:style>
  <w:style w:customStyle="1" w:styleId="GanttheadOutlineHeading1" w:type="paragraph">
    <w:name w:val="Gantthead Outline Heading 1"/>
    <w:basedOn w:val="GanttheadHeading1"/>
    <w:rsid w:val="00457A7F"/>
    <w:pPr>
      <w:numPr>
        <w:numId w:val="23"/>
      </w:numPr>
    </w:pPr>
  </w:style>
  <w:style w:customStyle="1" w:styleId="GanttheadOutlineHeading2" w:type="paragraph">
    <w:name w:val="Gantthead Outline Heading 2"/>
    <w:basedOn w:val="GanttheadHeading2"/>
    <w:rsid w:val="00457A7F"/>
    <w:pPr>
      <w:numPr>
        <w:ilvl w:val="1"/>
        <w:numId w:val="23"/>
      </w:numPr>
    </w:pPr>
  </w:style>
  <w:style w:customStyle="1" w:styleId="GanttheadOutlineHeading3" w:type="paragraph">
    <w:name w:val="Gantthead Outline Heading 3"/>
    <w:basedOn w:val="GanttheadHeading3"/>
    <w:rsid w:val="00457A7F"/>
    <w:pPr>
      <w:numPr>
        <w:ilvl w:val="2"/>
        <w:numId w:val="23"/>
      </w:numPr>
    </w:pPr>
  </w:style>
  <w:style w:customStyle="1" w:styleId="GanttheadHeading3NormalTextChar" w:type="character">
    <w:name w:val="Gantthead Heading 3 Normal Text Char"/>
    <w:link w:val="GanttheadHeading3NormalText"/>
    <w:rsid w:val="00457A7F"/>
    <w:rPr>
      <w:rFonts w:ascii="Arial" w:cs="Times New Roman" w:eastAsia="Times New Roman" w:hAnsi="Arial"/>
      <w:szCs w:val="20"/>
    </w:rPr>
  </w:style>
  <w:style w:customStyle="1" w:styleId="GanttheadTableTextChar" w:type="character">
    <w:name w:val="Gantthead Table Text Char"/>
    <w:link w:val="GanttheadTableText"/>
    <w:rsid w:val="00457A7F"/>
    <w:rPr>
      <w:rFonts w:ascii="Times" w:cs="Times New Roman" w:eastAsia="Times New Roman" w:hAnsi="Times"/>
      <w:sz w:val="24"/>
      <w:szCs w:val="24"/>
    </w:rPr>
  </w:style>
  <w:style w:customStyle="1" w:styleId="FHWASource" w:type="paragraph">
    <w:name w:val="FHWA Source"/>
    <w:basedOn w:val="Normal"/>
    <w:qFormat/>
    <w:rsid w:val="003D06F9"/>
    <w:pPr>
      <w:widowControl/>
      <w:spacing w:before="40" w:line="240" w:lineRule="auto"/>
      <w:contextualSpacing/>
      <w:mirrorIndents/>
      <w:jc w:val="center"/>
    </w:pPr>
    <w:rPr>
      <w:rFonts w:eastAsia="Batang"/>
      <w:sz w:val="18"/>
      <w:lang w:bidi="en-US"/>
    </w:rPr>
  </w:style>
  <w:style w:customStyle="1" w:styleId="FHWAFigurecaption" w:type="paragraph">
    <w:name w:val="FHWA Figure caption"/>
    <w:basedOn w:val="Normal"/>
    <w:autoRedefine/>
    <w:qFormat/>
    <w:rsid w:val="003D06F9"/>
    <w:pPr>
      <w:keepLines/>
      <w:widowControl/>
      <w:spacing w:after="240" w:line="240" w:lineRule="auto"/>
      <w:jc w:val="center"/>
    </w:pPr>
    <w:rPr>
      <w:rFonts w:eastAsia="Batang"/>
      <w:b/>
    </w:rPr>
  </w:style>
  <w:style w:customStyle="1" w:styleId="FHWAFigure" w:type="paragraph">
    <w:name w:val="FHWA Figure"/>
    <w:qFormat/>
    <w:rsid w:val="003D06F9"/>
    <w:pPr>
      <w:keepNext/>
      <w:spacing w:after="60" w:line="240" w:lineRule="auto"/>
      <w:jc w:val="center"/>
    </w:pPr>
    <w:rPr>
      <w:rFonts w:ascii="Times New Roman" w:cs="Times New Roman" w:eastAsia="Batang" w:hAnsi="Times New Roman"/>
      <w:sz w:val="24"/>
      <w:szCs w:val="24"/>
    </w:rPr>
  </w:style>
  <w:style w:customStyle="1" w:styleId="CFigure" w:type="paragraph">
    <w:name w:val="C Figure"/>
    <w:basedOn w:val="Caption"/>
    <w:next w:val="Normal"/>
    <w:link w:val="CFigureChar"/>
    <w:autoRedefine/>
    <w:qFormat/>
    <w:rsid w:val="001160AD"/>
    <w:pPr>
      <w:keepNext/>
      <w:widowControl/>
      <w:spacing w:after="240" w:line="240" w:lineRule="auto"/>
      <w:contextualSpacing/>
    </w:pPr>
    <w:rPr>
      <w:lang w:eastAsia="en-GB"/>
    </w:rPr>
  </w:style>
  <w:style w:customStyle="1" w:styleId="CFigureChar" w:type="character">
    <w:name w:val="C Figure Char"/>
    <w:basedOn w:val="CaptionChar"/>
    <w:link w:val="CFigure"/>
    <w:rsid w:val="001160AD"/>
    <w:rPr>
      <w:rFonts w:ascii="Times New Roman" w:cs="Times New Roman" w:eastAsia="Times New Roman" w:hAnsi="Times New Roman"/>
      <w:b/>
      <w:bCs/>
      <w:color w:val="500000"/>
      <w:sz w:val="24"/>
      <w:szCs w:val="18"/>
      <w:lang w:eastAsia="en-GB"/>
    </w:rPr>
  </w:style>
  <w:style w:customStyle="1" w:styleId="CTableContents" w:type="paragraph">
    <w:name w:val="C Table Contents"/>
    <w:basedOn w:val="Normal"/>
    <w:link w:val="CTableContentsChar"/>
    <w:qFormat/>
    <w:rsid w:val="001160AD"/>
    <w:pPr>
      <w:keepNext/>
      <w:keepLines/>
      <w:widowControl/>
      <w:spacing w:after="0" w:line="240" w:lineRule="auto"/>
      <w:jc w:val="center"/>
    </w:pPr>
    <w:rPr>
      <w:szCs w:val="22"/>
      <w:lang w:eastAsia="en-GB" w:val="en-GB"/>
    </w:rPr>
  </w:style>
  <w:style w:customStyle="1" w:styleId="CTableContentsChar" w:type="character">
    <w:name w:val="C Table Contents Char"/>
    <w:basedOn w:val="DefaultParagraphFont"/>
    <w:link w:val="CTableContents"/>
    <w:rsid w:val="001160AD"/>
    <w:rPr>
      <w:rFonts w:ascii="Times New Roman" w:cs="Times New Roman" w:eastAsia="Times New Roman" w:hAnsi="Times New Roman"/>
      <w:lang w:eastAsia="en-GB" w:val="en-GB"/>
    </w:rPr>
  </w:style>
  <w:style w:customStyle="1" w:styleId="Reference" w:type="paragraph">
    <w:name w:val="Reference"/>
    <w:basedOn w:val="Normal"/>
    <w:link w:val="ReferenceChar"/>
    <w:qFormat/>
    <w:rsid w:val="00A879D4"/>
    <w:pPr>
      <w:widowControl/>
      <w:spacing w:before="120" w:line="240" w:lineRule="auto"/>
      <w:ind w:hanging="720" w:left="720"/>
    </w:pPr>
    <w:rPr>
      <w:rFonts w:eastAsia="Calibri"/>
      <w:szCs w:val="22"/>
    </w:rPr>
  </w:style>
  <w:style w:customStyle="1" w:styleId="ReferenceChar" w:type="character">
    <w:name w:val="Reference Char"/>
    <w:basedOn w:val="DefaultParagraphFont"/>
    <w:link w:val="Reference"/>
    <w:rsid w:val="00A879D4"/>
    <w:rPr>
      <w:rFonts w:ascii="Times New Roman" w:cs="Times New Roman" w:eastAsia="Calibri" w:hAnsi="Times New Roman"/>
    </w:rPr>
  </w:style>
  <w:style w:customStyle="1" w:styleId="FHWANumberedList" w:type="paragraph">
    <w:name w:val="FHWA Numbered List"/>
    <w:qFormat/>
    <w:rsid w:val="004671AE"/>
    <w:pPr>
      <w:spacing w:after="120" w:before="12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GridTable1Light" w:type="table">
    <w:name w:val="Grid Table 1 Light"/>
    <w:basedOn w:val="TableNormal"/>
    <w:uiPriority w:val="46"/>
    <w:rsid w:val="004671AE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normaltextrun" w:type="character">
    <w:name w:val="normaltextrun"/>
    <w:basedOn w:val="DefaultParagraphFont"/>
    <w:rsid w:val="00BE6A9A"/>
  </w:style>
  <w:style w:styleId="PlainTable1" w:type="table">
    <w:name w:val="Plain Table 1"/>
    <w:basedOn w:val="TableNormal"/>
    <w:uiPriority w:val="41"/>
    <w:rsid w:val="001C7276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UnresolvedMention" w:type="character">
    <w:name w:val="Unresolved Mention"/>
    <w:basedOn w:val="DefaultParagraphFont"/>
    <w:uiPriority w:val="99"/>
    <w:semiHidden/>
    <w:unhideWhenUsed/>
    <w:rsid w:val="00B25944"/>
    <w:rPr>
      <w:color w:val="605E5C"/>
      <w:shd w:color="auto" w:fill="E1DFDD" w:val="clear"/>
    </w:rPr>
  </w:style>
  <w:style w:styleId="GridTable2" w:type="table">
    <w:name w:val="Grid Table 2"/>
    <w:basedOn w:val="TableNormal"/>
    <w:uiPriority w:val="47"/>
    <w:rsid w:val="00E067A2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pf0" w:type="paragraph">
    <w:name w:val="pf0"/>
    <w:basedOn w:val="Normal"/>
    <w:rsid w:val="006261E0"/>
    <w:pPr>
      <w:widowControl/>
      <w:spacing w:after="100" w:afterAutospacing="1" w:before="100" w:beforeAutospacing="1" w:line="240" w:lineRule="auto"/>
    </w:pPr>
  </w:style>
  <w:style w:customStyle="1" w:styleId="cf01" w:type="character">
    <w:name w:val="cf01"/>
    <w:basedOn w:val="DefaultParagraphFont"/>
    <w:rsid w:val="006261E0"/>
    <w:rPr>
      <w:rFonts w:ascii="Segoe UI" w:cs="Segoe UI" w:hAnsi="Segoe UI" w:hint="default"/>
      <w:sz w:val="18"/>
      <w:szCs w:val="18"/>
    </w:rPr>
  </w:style>
  <w:style w:customStyle="1" w:styleId="cf11" w:type="character">
    <w:name w:val="cf11"/>
    <w:basedOn w:val="DefaultParagraphFont"/>
    <w:rsid w:val="006261E0"/>
    <w:rPr>
      <w:rFonts w:ascii="Segoe UI" w:cs="Segoe UI" w:hAnsi="Segoe UI" w:hint="default"/>
      <w:sz w:val="18"/>
      <w:szCs w:val="18"/>
    </w:rPr>
  </w:style>
  <w:style w:customStyle="1" w:styleId="cf21" w:type="character">
    <w:name w:val="cf21"/>
    <w:basedOn w:val="DefaultParagraphFont"/>
    <w:rsid w:val="006261E0"/>
    <w:rPr>
      <w:rFonts w:ascii="Segoe UI" w:cs="Segoe UI" w:hAnsi="Segoe UI" w:hint="default"/>
      <w:color w:val="A7A7A7"/>
      <w:sz w:val="18"/>
      <w:szCs w:val="18"/>
    </w:rPr>
  </w:style>
  <w:style w:customStyle="1" w:styleId="cf31" w:type="character">
    <w:name w:val="cf31"/>
    <w:basedOn w:val="DefaultParagraphFont"/>
    <w:rsid w:val="006261E0"/>
    <w:rPr>
      <w:rFonts w:ascii="Segoe UI" w:cs="Segoe UI" w:hAnsi="Segoe UI" w:hint="default"/>
      <w:color w:val="A7A7A7"/>
      <w:sz w:val="18"/>
      <w:szCs w:val="18"/>
    </w:rPr>
  </w:style>
  <w:style w:customStyle="1" w:styleId="cf41" w:type="character">
    <w:name w:val="cf41"/>
    <w:basedOn w:val="DefaultParagraphFont"/>
    <w:rsid w:val="006261E0"/>
    <w:rPr>
      <w:rFonts w:ascii="Segoe UI" w:cs="Segoe UI" w:hAnsi="Segoe UI" w:hint="default"/>
      <w:b/>
      <w:bCs/>
      <w:sz w:val="18"/>
      <w:szCs w:val="18"/>
    </w:rPr>
  </w:style>
  <w:style w:customStyle="1" w:styleId="eop" w:type="character">
    <w:name w:val="eop"/>
    <w:basedOn w:val="DefaultParagraphFont"/>
    <w:rsid w:val="005C342A"/>
  </w:style>
  <w:style w:customStyle="1" w:styleId="paragraph" w:type="paragraph">
    <w:name w:val="paragraph"/>
    <w:basedOn w:val="Normal"/>
    <w:rsid w:val="00B54112"/>
    <w:pPr>
      <w:widowControl/>
      <w:spacing w:after="100" w:afterAutospacing="1" w:before="100" w:beforeAutospacing="1" w:line="240" w:lineRule="auto"/>
    </w:pPr>
  </w:style>
  <w:style w:styleId="Mention" w:type="character">
    <w:name w:val="Mention"/>
    <w:basedOn w:val="DefaultParagraphFont"/>
    <w:uiPriority w:val="99"/>
    <w:unhideWhenUsed/>
    <w:rsid w:val="001A3040"/>
    <w:rPr>
      <w:color w:val="2B579A"/>
      <w:shd w:color="auto" w:fill="E1DFDD" w:val="clear"/>
    </w:rPr>
  </w:style>
  <w:style w:customStyle="1" w:styleId="TableGrid4" w:type="table">
    <w:name w:val="Table Grid4"/>
    <w:basedOn w:val="TableNormal"/>
    <w:next w:val="TableGrid"/>
    <w:uiPriority w:val="39"/>
    <w:rsid w:val="00CD3CCD"/>
    <w:pPr>
      <w:spacing w:after="0" w:line="240" w:lineRule="auto"/>
    </w:pPr>
    <w:rPr>
      <w:rFonts w:ascii="Times New Roman" w:cs="Times New Roman" w:hAnsi="Times New Roman"/>
      <w:kern w:val="2"/>
      <w:sz w:val="20"/>
      <w:szCs w:val="20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Els-NoIndent" w:type="paragraph">
    <w:name w:val="Els-NoIndent"/>
    <w:basedOn w:val="Normal"/>
    <w:qFormat/>
    <w:rsid w:val="00D068E2"/>
    <w:pPr>
      <w:widowControl/>
      <w:spacing w:before="120" w:line="288" w:lineRule="auto"/>
    </w:pPr>
    <w:rPr>
      <w:rFonts w:eastAsia="SimSun"/>
      <w:szCs w:val="20"/>
    </w:rPr>
  </w:style>
  <w:style w:styleId="PlaceholderText" w:type="character">
    <w:name w:val="Placeholder Text"/>
    <w:basedOn w:val="DefaultParagraphFont"/>
    <w:uiPriority w:val="99"/>
    <w:semiHidden/>
    <w:rsid w:val="000F541D"/>
    <w:rPr>
      <w:color w:val="666666"/>
    </w:rPr>
  </w:style>
  <w:style w:styleId="TableGridLight" w:type="table">
    <w:name w:val="Grid Table Light"/>
    <w:basedOn w:val="TableNormal"/>
    <w:uiPriority w:val="40"/>
    <w:rsid w:val="00EB437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BodyTextDRS" w:type="paragraph">
    <w:name w:val="Body Text DRS"/>
    <w:basedOn w:val="Normal"/>
    <w:link w:val="BodyTextDRSChar"/>
    <w:qFormat/>
    <w:rsid w:val="007839A3"/>
    <w:pPr>
      <w:widowControl/>
      <w:tabs>
        <w:tab w:pos="0" w:val="left"/>
        <w:tab w:pos="720" w:val="left"/>
        <w:tab w:pos="2160" w:val="left"/>
        <w:tab w:pos="288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  <w:tab w:pos="8640" w:val="left"/>
        <w:tab w:pos="9360" w:val="left"/>
      </w:tabs>
      <w:spacing w:line="240" w:lineRule="auto"/>
    </w:pPr>
    <w:rPr>
      <w:szCs w:val="22"/>
      <w:lang w:eastAsia="x-none" w:val="x-none"/>
    </w:rPr>
  </w:style>
  <w:style w:customStyle="1" w:styleId="BodyTextDRSChar" w:type="character">
    <w:name w:val="Body Text DRS Char"/>
    <w:link w:val="BodyTextDRS"/>
    <w:rsid w:val="007839A3"/>
    <w:rPr>
      <w:rFonts w:ascii="Times New Roman" w:cs="Times New Roman" w:eastAsia="Times New Roman" w:hAnsi="Times New Roman"/>
      <w:sz w:val="24"/>
      <w:lang w:eastAsia="x-none" w:val="x-none"/>
    </w:rPr>
  </w:style>
  <w:style w:customStyle="1" w:styleId="Brandedbulletlist" w:type="paragraph">
    <w:name w:val="Branded_bullet_list"/>
    <w:basedOn w:val="ListParagraph"/>
    <w:qFormat/>
    <w:rsid w:val="007839A3"/>
    <w:pPr>
      <w:widowControl/>
      <w:numPr>
        <w:numId w:val="28"/>
      </w:numPr>
      <w:tabs>
        <w:tab w:pos="360" w:val="left"/>
      </w:tabs>
      <w:spacing w:after="200" w:before="120" w:line="264" w:lineRule="auto"/>
    </w:pPr>
    <w:rPr>
      <w:rFonts w:cs="Arial" w:eastAsia="Calibri"/>
      <w:szCs w:val="20"/>
    </w:rPr>
  </w:style>
  <w:style w:customStyle="1" w:styleId="Brandedbulletlist3" w:type="paragraph">
    <w:name w:val="Branded_bullet_list3"/>
    <w:basedOn w:val="Brandedbulletlist"/>
    <w:qFormat/>
    <w:rsid w:val="007839A3"/>
    <w:pPr>
      <w:numPr>
        <w:ilvl w:val="2"/>
      </w:numPr>
      <w:tabs>
        <w:tab w:pos="360" w:val="num"/>
      </w:tabs>
      <w:spacing w:after="120"/>
      <w:ind w:left="2160"/>
      <w:contextualSpacing w:val="0"/>
    </w:pPr>
  </w:style>
  <w:style w:customStyle="1" w:styleId="TableContent" w:type="paragraph">
    <w:name w:val="Table Content"/>
    <w:basedOn w:val="Normal"/>
    <w:rsid w:val="00F22D3E"/>
    <w:pPr>
      <w:widowControl/>
      <w:spacing w:after="0"/>
    </w:pPr>
    <w:rPr>
      <w:rFonts w:cs="Arial"/>
      <w:sz w:val="20"/>
      <w:szCs w:val="22"/>
    </w:rPr>
  </w:style>
  <w:style w:customStyle="1" w:styleId="Text4Table01" w:type="paragraph">
    <w:name w:val="Text4Table01"/>
    <w:basedOn w:val="Normal"/>
    <w:qFormat/>
    <w:rsid w:val="003D6949"/>
    <w:pPr>
      <w:widowControl/>
      <w:spacing w:after="0" w:line="240" w:lineRule="auto"/>
    </w:pPr>
    <w:rPr>
      <w:rFonts w:ascii="Aptos" w:hAnsi="Aptos"/>
      <w:sz w:val="20"/>
      <w:szCs w:val="20"/>
    </w:rPr>
  </w:style>
  <w:style w:customStyle="1" w:styleId="Text4Table02" w:type="paragraph">
    <w:name w:val="Text4Table02"/>
    <w:basedOn w:val="Text4Table01"/>
    <w:qFormat/>
    <w:rsid w:val="002666D4"/>
    <w:rPr>
      <w:b/>
      <w:b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5379">
                          <w:marLeft w:val="4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0377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5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6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5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28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9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11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654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730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36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18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74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1495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14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444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63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68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646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71054">
                          <w:marLeft w:val="40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2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1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9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05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77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962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86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5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7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5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4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9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3.xml" Type="http://schemas.openxmlformats.org/officeDocument/2006/relationships/header" /><Relationship Id="rId14" Target="footer1.xml" Type="http://schemas.openxmlformats.org/officeDocument/2006/relationships/footer" /><Relationship Id="rId15" Target="footer3.xml" Type="http://schemas.openxmlformats.org/officeDocument/2006/relationships/footer" /><Relationship Id="rId16" Target="footer2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-fitzpatrick\AppData\Local\Microsoft\Windows\Temporary%20Internet%20Files\Content.Outlook\1A7RCZH5\TOPR%20TTI%20Propos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TOPR TTI Proposal</Template>
  <TotalTime>67</TotalTime>
  <Pages>76</Pages>
  <Words>23594</Words>
  <Characters>134487</Characters>
  <Application>Microsoft Office Word</Application>
  <DocSecurity>0</DocSecurity>
  <Lines>1120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Leidos</Company>
  <LinksUpToDate>false</LinksUpToDate>
  <CharactersWithSpaces>157766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MCBOMs Task 4 Report Chapter 2: Updated Formulation of MCBOMs (Formulation and Validation)</dc:title>
  <dc:creator>Texas A&amp;M Transportation Institute FHWA Contract HRSO20240009PR</dc:creator>
  <cp:keywords/>
  <dcterms:created xsi:type="dcterms:W3CDTF">2026-04-25T18:05:41Z</dcterms:created>
  <dcterms:modified xsi:type="dcterms:W3CDTF">2026-04-25T18:05:41Z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24, 2026</vt:lpwstr>
  </property>
</Properties>
</file>