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Segoe UI" w:hAnsi="Segoe UI"/>
          <w:b/>
          <w:color w:val="4F46E5"/>
          <w:sz w:val="19"/>
        </w:rPr>
        <w:t>VELLORE INSTITUTE OF TECHNOLOGY • SCOPE • ACADEMIC YEAR 2026–2027</w:t>
        <w:br/>
        <w:t>REVIEW 1 DELIVERABLES</w:t>
      </w:r>
    </w:p>
    <w:p>
      <w:pPr>
        <w:spacing w:after="40"/>
      </w:pPr>
      <w:r>
        <w:rPr>
          <w:rFonts w:ascii="Segoe UI" w:hAnsi="Segoe UI"/>
          <w:b/>
          <w:color w:val="1E293B"/>
          <w:sz w:val="44"/>
        </w:rPr>
        <w:t>CreatorOps: Cloud-Native Content Operations Platform</w:t>
      </w:r>
    </w:p>
    <w:p>
      <w:pPr>
        <w:spacing w:after="240"/>
      </w:pPr>
      <w:r>
        <w:rPr>
          <w:rFonts w:ascii="Segoe UI" w:hAnsi="Segoe UI"/>
          <w:color w:val="475569"/>
          <w:sz w:val="22"/>
        </w:rPr>
        <w:t>Review 1 Deliverable Report: Problem Statement, Existing System Critique, Proposed System, Requirements, Scope, Use Case Diagram, UI Mockups, &amp; Initial SRS</w:t>
      </w:r>
    </w:p>
    <w:tbl>
      <w:tblPr>
        <w:tblW w:type="auto" w:w="0"/>
        <w:jc w:val="center"/>
        <w:tblLayout w:type="fixed"/>
        <w:tblLook w:firstColumn="1" w:firstRow="1" w:lastColumn="0" w:lastRow="0" w:noHBand="0" w:noVBand="1" w:val="04A0"/>
      </w:tblPr>
      <w:tblGrid>
        <w:gridCol w:w="3120"/>
        <w:gridCol w:w="3120"/>
        <w:gridCol w:w="3120"/>
      </w:tblGrid>
      <w:tr>
        <w:tc>
          <w:tcPr>
            <w:tcW w:type="dxa" w:w="3168"/>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40"/>
            </w:pPr>
            <w:r>
              <w:rPr>
                <w:rFonts w:ascii="Segoe UI" w:hAnsi="Segoe UI"/>
                <w:b/>
                <w:color w:val="64748B"/>
                <w:sz w:val="16"/>
              </w:rPr>
              <w:t>Course Code &amp; Title</w:t>
              <w:br/>
            </w:r>
            <w:r>
              <w:rPr>
                <w:rFonts w:ascii="Segoe UI" w:hAnsi="Segoe UI"/>
                <w:b/>
                <w:color w:val="0F172A"/>
                <w:sz w:val="18"/>
              </w:rPr>
              <w:t>BCSE408L — Cloud Computing &amp; Full Stack App Dev</w:t>
            </w:r>
          </w:p>
        </w:tc>
        <w:tc>
          <w:tcPr>
            <w:tcW w:type="dxa" w:w="3168"/>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40"/>
            </w:pPr>
            <w:r>
              <w:rPr>
                <w:rFonts w:ascii="Segoe UI" w:hAnsi="Segoe UI"/>
                <w:b/>
                <w:color w:val="64748B"/>
                <w:sz w:val="16"/>
              </w:rPr>
              <w:t>Candidate Name</w:t>
              <w:br/>
            </w:r>
            <w:r>
              <w:rPr>
                <w:rFonts w:ascii="Segoe UI" w:hAnsi="Segoe UI"/>
                <w:b/>
                <w:color w:val="0F172A"/>
                <w:sz w:val="18"/>
              </w:rPr>
              <w:t>Kathyayani T T</w:t>
            </w:r>
          </w:p>
        </w:tc>
        <w:tc>
          <w:tcPr>
            <w:tcW w:type="dxa" w:w="3024"/>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40"/>
            </w:pPr>
            <w:r>
              <w:rPr>
                <w:rFonts w:ascii="Segoe UI" w:hAnsi="Segoe UI"/>
                <w:b/>
                <w:color w:val="64748B"/>
                <w:sz w:val="16"/>
              </w:rPr>
              <w:t>Project Title</w:t>
              <w:br/>
            </w:r>
            <w:r>
              <w:rPr>
                <w:rFonts w:ascii="Segoe UI" w:hAnsi="Segoe UI"/>
                <w:b/>
                <w:color w:val="0F172A"/>
                <w:sz w:val="18"/>
              </w:rPr>
              <w:t>Project 12: CreatorOps (Marketing SaaS)</w:t>
            </w:r>
          </w:p>
        </w:tc>
      </w:tr>
      <w:tr>
        <w:tc>
          <w:tcPr>
            <w:tcW w:type="dxa" w:w="3168"/>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40"/>
            </w:pPr>
            <w:r>
              <w:rPr>
                <w:rFonts w:ascii="Segoe UI" w:hAnsi="Segoe UI"/>
                <w:b/>
                <w:color w:val="64748B"/>
                <w:sz w:val="16"/>
              </w:rPr>
              <w:t>Live Deployment URL</w:t>
              <w:br/>
            </w:r>
            <w:r>
              <w:rPr>
                <w:rFonts w:ascii="Segoe UI" w:hAnsi="Segoe UI"/>
                <w:b/>
                <w:color w:val="0F172A"/>
                <w:sz w:val="18"/>
              </w:rPr>
              <w:t>https://creatorops-rho.vercel.app</w:t>
            </w:r>
          </w:p>
        </w:tc>
        <w:tc>
          <w:tcPr>
            <w:tcW w:type="dxa" w:w="3168"/>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40"/>
            </w:pPr>
            <w:r>
              <w:rPr>
                <w:rFonts w:ascii="Segoe UI" w:hAnsi="Segoe UI"/>
                <w:b/>
                <w:color w:val="64748B"/>
                <w:sz w:val="16"/>
              </w:rPr>
              <w:t>GitHub Repository</w:t>
              <w:br/>
            </w:r>
            <w:r>
              <w:rPr>
                <w:rFonts w:ascii="Segoe UI" w:hAnsi="Segoe UI"/>
                <w:b/>
                <w:color w:val="0F172A"/>
                <w:sz w:val="18"/>
              </w:rPr>
              <w:t>https://github.com/ttkathyayani/CreatorOps</w:t>
            </w:r>
          </w:p>
        </w:tc>
        <w:tc>
          <w:tcPr>
            <w:tcW w:type="dxa" w:w="3024"/>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40"/>
            </w:pPr>
            <w:r>
              <w:rPr>
                <w:rFonts w:ascii="Segoe UI" w:hAnsi="Segoe UI"/>
                <w:b/>
                <w:color w:val="64748B"/>
                <w:sz w:val="16"/>
              </w:rPr>
              <w:t>Evaluation Review</w:t>
              <w:br/>
            </w:r>
            <w:r>
              <w:rPr>
                <w:rFonts w:ascii="Segoe UI" w:hAnsi="Segoe UI"/>
                <w:b/>
                <w:color w:val="0F172A"/>
                <w:sz w:val="18"/>
              </w:rPr>
              <w:t>Review 1 Deliverables</w:t>
            </w:r>
          </w:p>
        </w:tc>
      </w:tr>
    </w:tbl>
    <w:p>
      <w:pPr>
        <w:spacing w:after="240"/>
      </w:pPr>
    </w:p>
    <w:p>
      <w:pPr>
        <w:keepNext/>
        <w:spacing w:before="320" w:after="120"/>
      </w:pPr>
      <w:r>
        <w:rPr>
          <w:rFonts w:ascii="Segoe UI" w:hAnsi="Segoe UI"/>
          <w:b/>
          <w:color w:val="1E3A8A"/>
          <w:sz w:val="28"/>
        </w:rPr>
        <w:t>1. Problem Statement</w:t>
      </w:r>
    </w:p>
    <w:p>
      <w:pPr>
        <w:spacing w:after="100" w:line="276" w:lineRule="auto"/>
      </w:pPr>
      <w:r>
        <w:rPr>
          <w:rFonts w:ascii="Segoe UI" w:hAnsi="Segoe UI"/>
          <w:color w:val="334155"/>
          <w:sz w:val="19"/>
        </w:rPr>
        <w:t>Digital content marketing across multi-channel environments (Instagram, YouTube, TikTok, LinkedIn) requires constant coordination between content creators, agency managers, and brand clients. In current creator operations, creative teams and digital marketing agencies suffer severe operational chaos due to scattered feedback, lack of version control, premature client publishing, and zero structured audit trails.</w:t>
      </w:r>
    </w:p>
    <w:tbl>
      <w:tblPr>
        <w:tblW w:type="auto" w:w="0"/>
        <w:jc w:val="center"/>
        <w:tblLayout w:type="fixed"/>
        <w:tblLook w:firstColumn="1" w:firstRow="1" w:lastColumn="0" w:lastRow="0" w:noHBand="0" w:noVBand="1" w:val="04A0"/>
      </w:tblPr>
      <w:tblGrid>
        <w:gridCol w:w="9360"/>
      </w:tblGrid>
      <w:tr>
        <w:tc>
          <w:tcPr>
            <w:tcW w:type="dxa" w:w="9360"/>
            <w:shd w:fill="FFFBEB"/>
            <w:tcMar>
              <w:top w:w="140" w:type="dxa"/>
              <w:bottom w:w="140" w:type="dxa"/>
              <w:left w:w="200" w:type="dxa"/>
              <w:right w:w="180" w:type="dxa"/>
            </w:tcMar>
            <w:tcBorders>
              <w:top w:val="none" w:sz="0" w:space="0" w:color="FFFFFF"/>
              <w:left w:val="single" w:sz="24" w:space="0" w:color="F59E0B"/>
              <w:bottom w:val="none" w:sz="0" w:space="0" w:color="FFFFFF"/>
              <w:right w:val="single" w:sz="4" w:space="0" w:color="E2E8F0"/>
            </w:tcBorders>
          </w:tcPr>
          <w:p>
            <w:pPr>
              <w:spacing w:after="40" w:line="276" w:lineRule="auto"/>
            </w:pPr>
            <w:r>
              <w:rPr>
                <w:rFonts w:ascii="Segoe UI" w:hAnsi="Segoe UI"/>
                <w:b/>
                <w:color w:val="1E293B"/>
                <w:sz w:val="19"/>
              </w:rPr>
              <w:t>★ Problem Context &amp; Core Agency Frictions</w:t>
              <w:br/>
            </w:r>
            <w:r>
              <w:rPr>
                <w:rFonts w:ascii="Segoe UI" w:hAnsi="Segoe UI"/>
                <w:color w:val="334155"/>
                <w:sz w:val="18"/>
              </w:rPr>
              <w:t>Operational Pain Points:</w:t>
              <w:br/>
              <w:t>• Unorganized Feedback: Revisions sent across WhatsApp, Slack, and email threads lead to confusion over which draft is final.</w:t>
              <w:br/>
              <w:t>• Premature Publishing: Creators publish deliverables before brand clients officially sign off on copy and compliance.</w:t>
              <w:br/>
              <w:t>• Manual Compliance Checks: Reviewers manually check scripts for forbidden terms, required disclosures, and speaking duration.</w:t>
              <w:br/>
              <w:t>• Data Isolation Risks: Using shared spreadsheets risks exposing one client's marketing campaign data to another competing brand.</w:t>
            </w:r>
          </w:p>
        </w:tc>
      </w:tr>
    </w:tbl>
    <w:p>
      <w:pPr>
        <w:spacing w:after="120"/>
      </w:pPr>
    </w:p>
    <w:p>
      <w:pPr>
        <w:keepNext/>
        <w:spacing w:before="320" w:after="120"/>
      </w:pPr>
      <w:r>
        <w:rPr>
          <w:rFonts w:ascii="Segoe UI" w:hAnsi="Segoe UI"/>
          <w:b/>
          <w:color w:val="1E3A8A"/>
          <w:sz w:val="28"/>
        </w:rPr>
        <w:t>2. Existing System</w:t>
      </w:r>
    </w:p>
    <w:p>
      <w:pPr>
        <w:spacing w:after="100" w:line="276" w:lineRule="auto"/>
      </w:pPr>
      <w:r>
        <w:rPr>
          <w:rFonts w:ascii="Segoe UI" w:hAnsi="Segoe UI"/>
          <w:color w:val="334155"/>
          <w:sz w:val="19"/>
        </w:rPr>
        <w:t>In existing marketing agency workflows, content creation, collaboration, and client sign-offs rely on generic consumer tools such as Google Sheets, WhatsApp, Slack, Google Drive, and generic project management boards (Trello/Asana). These tools were never designed for multi-stakeholder creative compliance.</w:t>
      </w:r>
    </w:p>
    <w:p>
      <w:pPr>
        <w:keepNext/>
        <w:spacing w:before="240" w:after="80"/>
      </w:pPr>
      <w:r>
        <w:rPr>
          <w:rFonts w:ascii="Segoe UI" w:hAnsi="Segoe UI"/>
          <w:b/>
          <w:color w:val="334155"/>
          <w:sz w:val="23"/>
        </w:rPr>
        <w:t>2.1 Existing Workflow Channels &amp; Tools</w:t>
      </w:r>
    </w:p>
    <w:p>
      <w:pPr>
        <w:spacing w:after="100" w:line="276" w:lineRule="auto"/>
      </w:pPr>
      <w:r>
        <w:rPr>
          <w:rFonts w:ascii="Segoe UI" w:hAnsi="Segoe UI"/>
          <w:b/>
          <w:color w:val="1E293B"/>
          <w:sz w:val="19"/>
        </w:rPr>
        <w:t xml:space="preserve">• </w:t>
      </w:r>
      <w:r>
        <w:rPr>
          <w:rFonts w:ascii="Segoe UI" w:hAnsi="Segoe UI"/>
          <w:color w:val="334155"/>
          <w:sz w:val="19"/>
        </w:rPr>
        <w:t>Spreadsheets (Google Sheets / Excel): Used for editorial calendars and content matrices. Lacks real-time status locks, cannot preview rich media, has no version diffing, and presents severe data leak risks across clients.</w:t>
      </w:r>
    </w:p>
    <w:p>
      <w:pPr>
        <w:spacing w:after="100" w:line="276" w:lineRule="auto"/>
      </w:pPr>
      <w:r>
        <w:rPr>
          <w:rFonts w:ascii="Segoe UI" w:hAnsi="Segoe UI"/>
          <w:b/>
          <w:color w:val="1E293B"/>
          <w:sz w:val="19"/>
        </w:rPr>
        <w:t xml:space="preserve">• </w:t>
      </w:r>
      <w:r>
        <w:rPr>
          <w:rFonts w:ascii="Segoe UI" w:hAnsi="Segoe UI"/>
          <w:color w:val="334155"/>
          <w:sz w:val="19"/>
        </w:rPr>
        <w:t>Messaging Apps (WhatsApp / Slack / Email): Feedback is scattered across unindexed chat threads. Creative suggestions get buried, and proof-of-approval is lost in chat history.</w:t>
      </w:r>
    </w:p>
    <w:p>
      <w:pPr>
        <w:spacing w:after="100" w:line="276" w:lineRule="auto"/>
      </w:pPr>
      <w:r>
        <w:rPr>
          <w:rFonts w:ascii="Segoe UI" w:hAnsi="Segoe UI"/>
          <w:b/>
          <w:color w:val="1E293B"/>
          <w:sz w:val="19"/>
        </w:rPr>
        <w:t xml:space="preserve">• </w:t>
      </w:r>
      <w:r>
        <w:rPr>
          <w:rFonts w:ascii="Segoe UI" w:hAnsi="Segoe UI"/>
          <w:color w:val="334155"/>
          <w:sz w:val="19"/>
        </w:rPr>
        <w:t>Generic Project Management Tools (Trello / Asana / ClickUp): Generalized task boards lack creator-specific features such as script duration estimation, forbidden term filters, and dual-tier client gating.</w:t>
      </w:r>
    </w:p>
    <w:p>
      <w:pPr>
        <w:keepNext/>
        <w:spacing w:before="240" w:after="80"/>
      </w:pPr>
      <w:r>
        <w:rPr>
          <w:rFonts w:ascii="Segoe UI" w:hAnsi="Segoe UI"/>
          <w:b/>
          <w:color w:val="334155"/>
          <w:sz w:val="23"/>
        </w:rPr>
        <w:t>2.2 Comparative Analysis: Existing Tools vs. CreatorOps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1E3A8A"/>
            <w:tcMar>
              <w:top w:w="120" w:type="dxa"/>
              <w:bottom w:w="120" w:type="dxa"/>
              <w:left w:w="140" w:type="dxa"/>
              <w:right w:w="140" w:type="dxa"/>
            </w:tcMar>
            <w:tcBorders>
              <w:top w:val="single" w:sz="6" w:space="0" w:color="1E3A8A"/>
              <w:left w:val="single" w:sz="4" w:space="0" w:color="2563EB"/>
              <w:bottom w:val="single" w:sz="12" w:space="0" w:color="3B82F6"/>
              <w:right w:val="single" w:sz="4" w:space="0" w:color="2563EB"/>
            </w:tcBorders>
          </w:tcPr>
          <w:p>
            <w:pPr>
              <w:jc w:val="left"/>
            </w:pPr>
            <w:r>
              <w:rPr>
                <w:rFonts w:ascii="Segoe UI" w:hAnsi="Segoe UI"/>
                <w:b/>
                <w:color w:val="FFFFFF"/>
                <w:sz w:val="17"/>
              </w:rPr>
              <w:t>Feature / Capability</w:t>
            </w:r>
          </w:p>
        </w:tc>
        <w:tc>
          <w:tcPr>
            <w:tcW w:type="dxa" w:w="2592"/>
            <w:shd w:fill="1E3A8A"/>
            <w:tcMar>
              <w:top w:w="120" w:type="dxa"/>
              <w:bottom w:w="120" w:type="dxa"/>
              <w:left w:w="140" w:type="dxa"/>
              <w:right w:w="140" w:type="dxa"/>
            </w:tcMar>
            <w:tcBorders>
              <w:top w:val="single" w:sz="6" w:space="0" w:color="1E3A8A"/>
              <w:left w:val="single" w:sz="4" w:space="0" w:color="2563EB"/>
              <w:bottom w:val="single" w:sz="12" w:space="0" w:color="3B82F6"/>
              <w:right w:val="single" w:sz="4" w:space="0" w:color="2563EB"/>
            </w:tcBorders>
          </w:tcPr>
          <w:p>
            <w:pPr>
              <w:jc w:val="left"/>
            </w:pPr>
            <w:r>
              <w:rPr>
                <w:rFonts w:ascii="Segoe UI" w:hAnsi="Segoe UI"/>
                <w:b/>
                <w:color w:val="FFFFFF"/>
                <w:sz w:val="17"/>
              </w:rPr>
              <w:t>Spreadsheets &amp; Drive</w:t>
            </w:r>
          </w:p>
        </w:tc>
        <w:tc>
          <w:tcPr>
            <w:tcW w:type="dxa" w:w="2304"/>
            <w:shd w:fill="1E3A8A"/>
            <w:tcMar>
              <w:top w:w="120" w:type="dxa"/>
              <w:bottom w:w="120" w:type="dxa"/>
              <w:left w:w="140" w:type="dxa"/>
              <w:right w:w="140" w:type="dxa"/>
            </w:tcMar>
            <w:tcBorders>
              <w:top w:val="single" w:sz="6" w:space="0" w:color="1E3A8A"/>
              <w:left w:val="single" w:sz="4" w:space="0" w:color="2563EB"/>
              <w:bottom w:val="single" w:sz="12" w:space="0" w:color="3B82F6"/>
              <w:right w:val="single" w:sz="4" w:space="0" w:color="2563EB"/>
            </w:tcBorders>
          </w:tcPr>
          <w:p>
            <w:pPr>
              <w:jc w:val="left"/>
            </w:pPr>
            <w:r>
              <w:rPr>
                <w:rFonts w:ascii="Segoe UI" w:hAnsi="Segoe UI"/>
                <w:b/>
                <w:color w:val="FFFFFF"/>
                <w:sz w:val="17"/>
              </w:rPr>
              <w:t>Generic PM (Trello/Asana)</w:t>
            </w:r>
          </w:p>
        </w:tc>
        <w:tc>
          <w:tcPr>
            <w:tcW w:type="dxa" w:w="2592"/>
            <w:shd w:fill="1E3A8A"/>
            <w:tcMar>
              <w:top w:w="120" w:type="dxa"/>
              <w:bottom w:w="120" w:type="dxa"/>
              <w:left w:w="140" w:type="dxa"/>
              <w:right w:w="140" w:type="dxa"/>
            </w:tcMar>
            <w:tcBorders>
              <w:top w:val="single" w:sz="6" w:space="0" w:color="1E3A8A"/>
              <w:left w:val="single" w:sz="4" w:space="0" w:color="2563EB"/>
              <w:bottom w:val="single" w:sz="12" w:space="0" w:color="3B82F6"/>
              <w:right w:val="single" w:sz="4" w:space="0" w:color="2563EB"/>
            </w:tcBorders>
          </w:tcPr>
          <w:p>
            <w:pPr>
              <w:jc w:val="left"/>
            </w:pPr>
            <w:r>
              <w:rPr>
                <w:rFonts w:ascii="Segoe UI" w:hAnsi="Segoe UI"/>
                <w:b/>
                <w:color w:val="FFFFFF"/>
                <w:sz w:val="17"/>
              </w:rPr>
              <w:t>CreatorOps Cloud Platform</w:t>
            </w:r>
          </w:p>
        </w:tc>
      </w:tr>
      <w:tr>
        <w:tc>
          <w:tcPr>
            <w:tcW w:type="dxa" w:w="259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Multi-Tenant Isolation</w:t>
            </w:r>
          </w:p>
        </w:tc>
        <w:tc>
          <w:tcPr>
            <w:tcW w:type="dxa" w:w="259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Manual file permissioning (High Risk)</w:t>
            </w:r>
          </w:p>
        </w:tc>
        <w:tc>
          <w:tcPr>
            <w:tcW w:type="dxa" w:w="230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Workspace-level only; no client barrier</w:t>
            </w:r>
          </w:p>
        </w:tc>
        <w:tc>
          <w:tcPr>
            <w:tcW w:type="dxa" w:w="259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Strict Tenant Workspace Isolation (RBAC)</w:t>
            </w:r>
          </w:p>
        </w:tc>
      </w:tr>
      <w:tr>
        <w:tc>
          <w:tcPr>
            <w:tcW w:type="dxa" w:w="259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Content Approval Gates</w:t>
            </w:r>
          </w:p>
        </w:tc>
        <w:tc>
          <w:tcPr>
            <w:tcW w:type="dxa" w:w="259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Informal chat messages ('looks good')</w:t>
            </w:r>
          </w:p>
        </w:tc>
        <w:tc>
          <w:tcPr>
            <w:tcW w:type="dxa" w:w="230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Generic status column ('Done')</w:t>
            </w:r>
          </w:p>
        </w:tc>
        <w:tc>
          <w:tcPr>
            <w:tcW w:type="dxa" w:w="259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Enforced 7-Stage State Machine with Audit Log</w:t>
            </w:r>
          </w:p>
        </w:tc>
      </w:tr>
      <w:tr>
        <w:tc>
          <w:tcPr>
            <w:tcW w:type="dxa" w:w="259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Script Analysis &amp; Safety</w:t>
            </w:r>
          </w:p>
        </w:tc>
        <w:tc>
          <w:tcPr>
            <w:tcW w:type="dxa" w:w="259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Manual proofreading by agency staff</w:t>
            </w:r>
          </w:p>
        </w:tc>
        <w:tc>
          <w:tcPr>
            <w:tcW w:type="dxa" w:w="230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None</w:t>
            </w:r>
          </w:p>
        </w:tc>
        <w:tc>
          <w:tcPr>
            <w:tcW w:type="dxa" w:w="259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Automated Hook, Pacing &amp; Brand Safety Checker</w:t>
            </w:r>
          </w:p>
        </w:tc>
      </w:tr>
      <w:tr>
        <w:tc>
          <w:tcPr>
            <w:tcW w:type="dxa" w:w="259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Direct Social Publishing</w:t>
            </w:r>
          </w:p>
        </w:tc>
        <w:tc>
          <w:tcPr>
            <w:tcW w:type="dxa" w:w="259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Manual download &amp; manual app upload</w:t>
            </w:r>
          </w:p>
        </w:tc>
        <w:tc>
          <w:tcPr>
            <w:tcW w:type="dxa" w:w="230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None (requires third-party Zapier)</w:t>
            </w:r>
          </w:p>
        </w:tc>
        <w:tc>
          <w:tcPr>
            <w:tcW w:type="dxa" w:w="259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Native Meta Graph, YouTube, &amp; TikTok Publishing</w:t>
            </w:r>
          </w:p>
        </w:tc>
      </w:tr>
      <w:tr>
        <w:tc>
          <w:tcPr>
            <w:tcW w:type="dxa" w:w="259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Media Asset Control</w:t>
            </w:r>
          </w:p>
        </w:tc>
        <w:tc>
          <w:tcPr>
            <w:tcW w:type="dxa" w:w="259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Scattered Drive links with expired access</w:t>
            </w:r>
          </w:p>
        </w:tc>
        <w:tc>
          <w:tcPr>
            <w:tcW w:type="dxa" w:w="230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Basic attachment upload</w:t>
            </w:r>
          </w:p>
        </w:tc>
        <w:tc>
          <w:tcPr>
            <w:tcW w:type="dxa" w:w="259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Centralized Object Storage with Presigned URLs</w:t>
            </w:r>
          </w:p>
        </w:tc>
      </w:tr>
      <w:tr>
        <w:tc>
          <w:tcPr>
            <w:tcW w:type="dxa" w:w="259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Version Snapshotting</w:t>
            </w:r>
          </w:p>
        </w:tc>
        <w:tc>
          <w:tcPr>
            <w:tcW w:type="dxa" w:w="259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File naming ('video_v2_final_final.mp4')</w:t>
            </w:r>
          </w:p>
        </w:tc>
        <w:tc>
          <w:tcPr>
            <w:tcW w:type="dxa" w:w="230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History log without script diff</w:t>
            </w:r>
          </w:p>
        </w:tc>
        <w:tc>
          <w:tcPr>
            <w:tcW w:type="dxa" w:w="259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Immutable Version History with side-by-side diff</w:t>
            </w:r>
          </w:p>
        </w:tc>
      </w:tr>
    </w:tbl>
    <w:p>
      <w:pPr>
        <w:spacing w:after="160"/>
      </w:pPr>
    </w:p>
    <w:p>
      <w:pPr>
        <w:keepNext/>
        <w:spacing w:before="320" w:after="120"/>
      </w:pPr>
      <w:r>
        <w:rPr>
          <w:rFonts w:ascii="Segoe UI" w:hAnsi="Segoe UI"/>
          <w:b/>
          <w:color w:val="1E3A8A"/>
          <w:sz w:val="28"/>
        </w:rPr>
        <w:t>3. Proposed System</w:t>
      </w:r>
    </w:p>
    <w:p>
      <w:pPr>
        <w:spacing w:after="100" w:line="276" w:lineRule="auto"/>
      </w:pPr>
      <w:r>
        <w:rPr>
          <w:rFonts w:ascii="Segoe UI" w:hAnsi="Segoe UI"/>
          <w:color w:val="334155"/>
          <w:sz w:val="19"/>
        </w:rPr>
        <w:t>CreatorOps is a dedicated, cloud-native Software-as-a-Service (SaaS) web application designed specifically for creator workflows and marketing agencies. The platform enforces 'One Campaign, One Workspace, One Approval Trail'.</w:t>
      </w:r>
    </w:p>
    <w:p>
      <w:pPr>
        <w:spacing w:after="100" w:line="276" w:lineRule="auto"/>
      </w:pPr>
      <w:r>
        <w:rPr>
          <w:rFonts w:ascii="Segoe UI" w:hAnsi="Segoe UI"/>
          <w:b/>
          <w:color w:val="1E293B"/>
          <w:sz w:val="19"/>
        </w:rPr>
        <w:t xml:space="preserve">1. </w:t>
      </w:r>
      <w:r>
        <w:rPr>
          <w:rFonts w:ascii="Segoe UI" w:hAnsi="Segoe UI"/>
          <w:color w:val="334155"/>
          <w:sz w:val="19"/>
        </w:rPr>
        <w:t>Multi-Tenant Agency Workspaces: Complete tenant data isolation where agencies manage separate brand clients and creator teams within segregated security boundaries.</w:t>
      </w:r>
    </w:p>
    <w:p>
      <w:pPr>
        <w:spacing w:after="100" w:line="276" w:lineRule="auto"/>
      </w:pPr>
      <w:r>
        <w:rPr>
          <w:rFonts w:ascii="Segoe UI" w:hAnsi="Segoe UI"/>
          <w:b/>
          <w:color w:val="1E293B"/>
          <w:sz w:val="19"/>
        </w:rPr>
        <w:t xml:space="preserve">2. </w:t>
      </w:r>
      <w:r>
        <w:rPr>
          <w:rFonts w:ascii="Segoe UI" w:hAnsi="Segoe UI"/>
          <w:color w:val="334155"/>
          <w:sz w:val="19"/>
        </w:rPr>
        <w:t>Programmatic 7-Stage Approval State Machine: Content progresses strictly through Draft -&gt; In Review -&gt; Changes Requested -&gt; Approved -&gt; Client Review -&gt; Ready to Publish -&gt; Published.</w:t>
      </w:r>
    </w:p>
    <w:p>
      <w:pPr>
        <w:spacing w:after="100" w:line="276" w:lineRule="auto"/>
      </w:pPr>
      <w:r>
        <w:rPr>
          <w:rFonts w:ascii="Segoe UI" w:hAnsi="Segoe UI"/>
          <w:b/>
          <w:color w:val="1E293B"/>
          <w:sz w:val="19"/>
        </w:rPr>
        <w:t xml:space="preserve">3. </w:t>
      </w:r>
      <w:r>
        <w:rPr>
          <w:rFonts w:ascii="Segoe UI" w:hAnsi="Segoe UI"/>
          <w:color w:val="334155"/>
          <w:sz w:val="19"/>
        </w:rPr>
        <w:t>Automated Script &amp; Content Quality Engine: Real-time analysis of script text for hook placement, speaking duration (130-160 WPM), and forbidden competitor terms.</w:t>
      </w:r>
    </w:p>
    <w:p>
      <w:pPr>
        <w:spacing w:after="100" w:line="276" w:lineRule="auto"/>
      </w:pPr>
      <w:r>
        <w:rPr>
          <w:rFonts w:ascii="Segoe UI" w:hAnsi="Segoe UI"/>
          <w:b/>
          <w:color w:val="1E293B"/>
          <w:sz w:val="19"/>
        </w:rPr>
        <w:t xml:space="preserve">4. </w:t>
      </w:r>
      <w:r>
        <w:rPr>
          <w:rFonts w:ascii="Segoe UI" w:hAnsi="Segoe UI"/>
          <w:color w:val="334155"/>
          <w:sz w:val="19"/>
        </w:rPr>
        <w:t>Direct Social Media Publishing: Native API integration with Meta Graph API v19.0 (Instagram), YouTube Data API v3, and TikTok Content Posting API v2 to publish approved content directly.</w:t>
      </w:r>
    </w:p>
    <w:p>
      <w:pPr>
        <w:spacing w:after="100" w:line="276" w:lineRule="auto"/>
      </w:pPr>
      <w:r>
        <w:rPr>
          <w:rFonts w:ascii="Segoe UI" w:hAnsi="Segoe UI"/>
          <w:b/>
          <w:color w:val="1E293B"/>
          <w:sz w:val="19"/>
        </w:rPr>
        <w:t xml:space="preserve">5. </w:t>
      </w:r>
      <w:r>
        <w:rPr>
          <w:rFonts w:ascii="Segoe UI" w:hAnsi="Segoe UI"/>
          <w:color w:val="334155"/>
          <w:sz w:val="19"/>
        </w:rPr>
        <w:t>Autonomous Competitor Benchmarking: Automated social ingestion and head-to-head metric benchmarking matrix.</w:t>
      </w:r>
    </w:p>
    <w:p>
      <w:pPr>
        <w:keepNext/>
        <w:spacing w:before="320" w:after="120"/>
      </w:pPr>
      <w:r>
        <w:rPr>
          <w:rFonts w:ascii="Segoe UI" w:hAnsi="Segoe UI"/>
          <w:b/>
          <w:color w:val="1E3A8A"/>
          <w:sz w:val="28"/>
        </w:rPr>
        <w:t>4. Functional Requirements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584"/>
            <w:shd w:fill="1E3A8A"/>
            <w:tcMar>
              <w:top w:w="120" w:type="dxa"/>
              <w:bottom w:w="120" w:type="dxa"/>
              <w:left w:w="140" w:type="dxa"/>
              <w:right w:w="140" w:type="dxa"/>
            </w:tcMar>
            <w:tcBorders>
              <w:top w:val="single" w:sz="6" w:space="0" w:color="1E3A8A"/>
              <w:left w:val="single" w:sz="4" w:space="0" w:color="2563EB"/>
              <w:bottom w:val="single" w:sz="12" w:space="0" w:color="3B82F6"/>
              <w:right w:val="single" w:sz="4" w:space="0" w:color="2563EB"/>
            </w:tcBorders>
          </w:tcPr>
          <w:p>
            <w:pPr>
              <w:jc w:val="left"/>
            </w:pPr>
            <w:r>
              <w:rPr>
                <w:rFonts w:ascii="Segoe UI" w:hAnsi="Segoe UI"/>
                <w:b/>
                <w:color w:val="FFFFFF"/>
                <w:sz w:val="17"/>
              </w:rPr>
              <w:t>Requirement ID</w:t>
            </w:r>
          </w:p>
        </w:tc>
        <w:tc>
          <w:tcPr>
            <w:tcW w:type="dxa" w:w="1728"/>
            <w:shd w:fill="1E3A8A"/>
            <w:tcMar>
              <w:top w:w="120" w:type="dxa"/>
              <w:bottom w:w="120" w:type="dxa"/>
              <w:left w:w="140" w:type="dxa"/>
              <w:right w:w="140" w:type="dxa"/>
            </w:tcMar>
            <w:tcBorders>
              <w:top w:val="single" w:sz="6" w:space="0" w:color="1E3A8A"/>
              <w:left w:val="single" w:sz="4" w:space="0" w:color="2563EB"/>
              <w:bottom w:val="single" w:sz="12" w:space="0" w:color="3B82F6"/>
              <w:right w:val="single" w:sz="4" w:space="0" w:color="2563EB"/>
            </w:tcBorders>
          </w:tcPr>
          <w:p>
            <w:pPr>
              <w:jc w:val="left"/>
            </w:pPr>
            <w:r>
              <w:rPr>
                <w:rFonts w:ascii="Segoe UI" w:hAnsi="Segoe UI"/>
                <w:b/>
                <w:color w:val="FFFFFF"/>
                <w:sz w:val="17"/>
              </w:rPr>
              <w:t>Module</w:t>
            </w:r>
          </w:p>
        </w:tc>
        <w:tc>
          <w:tcPr>
            <w:tcW w:type="dxa" w:w="5184"/>
            <w:shd w:fill="1E3A8A"/>
            <w:tcMar>
              <w:top w:w="120" w:type="dxa"/>
              <w:bottom w:w="120" w:type="dxa"/>
              <w:left w:w="140" w:type="dxa"/>
              <w:right w:w="140" w:type="dxa"/>
            </w:tcMar>
            <w:tcBorders>
              <w:top w:val="single" w:sz="6" w:space="0" w:color="1E3A8A"/>
              <w:left w:val="single" w:sz="4" w:space="0" w:color="2563EB"/>
              <w:bottom w:val="single" w:sz="12" w:space="0" w:color="3B82F6"/>
              <w:right w:val="single" w:sz="4" w:space="0" w:color="2563EB"/>
            </w:tcBorders>
          </w:tcPr>
          <w:p>
            <w:pPr>
              <w:jc w:val="left"/>
            </w:pPr>
            <w:r>
              <w:rPr>
                <w:rFonts w:ascii="Segoe UI" w:hAnsi="Segoe UI"/>
                <w:b/>
                <w:color w:val="FFFFFF"/>
                <w:sz w:val="17"/>
              </w:rPr>
              <w:t>Functional Requirement Description</w:t>
            </w:r>
          </w:p>
        </w:tc>
        <w:tc>
          <w:tcPr>
            <w:tcW w:type="dxa" w:w="1296"/>
            <w:shd w:fill="1E3A8A"/>
            <w:tcMar>
              <w:top w:w="120" w:type="dxa"/>
              <w:bottom w:w="120" w:type="dxa"/>
              <w:left w:w="140" w:type="dxa"/>
              <w:right w:w="140" w:type="dxa"/>
            </w:tcMar>
            <w:tcBorders>
              <w:top w:val="single" w:sz="6" w:space="0" w:color="1E3A8A"/>
              <w:left w:val="single" w:sz="4" w:space="0" w:color="2563EB"/>
              <w:bottom w:val="single" w:sz="12" w:space="0" w:color="3B82F6"/>
              <w:right w:val="single" w:sz="4" w:space="0" w:color="2563EB"/>
            </w:tcBorders>
          </w:tcPr>
          <w:p>
            <w:pPr>
              <w:jc w:val="left"/>
            </w:pPr>
            <w:r>
              <w:rPr>
                <w:rFonts w:ascii="Segoe UI" w:hAnsi="Segoe UI"/>
                <w:b/>
                <w:color w:val="FFFFFF"/>
                <w:sz w:val="17"/>
              </w:rPr>
              <w:t>Priority</w:t>
            </w:r>
          </w:p>
        </w:tc>
      </w:tr>
      <w:tr>
        <w:tc>
          <w:tcPr>
            <w:tcW w:type="dxa" w:w="158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FR-01</w:t>
            </w:r>
          </w:p>
        </w:tc>
        <w:tc>
          <w:tcPr>
            <w:tcW w:type="dxa" w:w="172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Authentication</w:t>
            </w:r>
          </w:p>
        </w:tc>
        <w:tc>
          <w:tcPr>
            <w:tcW w:type="dxa" w:w="518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User registration, secure session authentication, and PBKDF2 password hashing.</w:t>
            </w:r>
          </w:p>
        </w:tc>
        <w:tc>
          <w:tcPr>
            <w:tcW w:type="dxa" w:w="129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High</w:t>
            </w:r>
          </w:p>
        </w:tc>
      </w:tr>
      <w:tr>
        <w:tc>
          <w:tcPr>
            <w:tcW w:type="dxa" w:w="158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FR-02</w:t>
            </w:r>
          </w:p>
        </w:tc>
        <w:tc>
          <w:tcPr>
            <w:tcW w:type="dxa" w:w="172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Workspaces</w:t>
            </w:r>
          </w:p>
        </w:tc>
        <w:tc>
          <w:tcPr>
            <w:tcW w:type="dxa" w:w="518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Multi-tenant workspace provisioning with automated slug generation and data isolation.</w:t>
            </w:r>
          </w:p>
        </w:tc>
        <w:tc>
          <w:tcPr>
            <w:tcW w:type="dxa" w:w="129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High</w:t>
            </w:r>
          </w:p>
        </w:tc>
      </w:tr>
      <w:tr>
        <w:tc>
          <w:tcPr>
            <w:tcW w:type="dxa" w:w="158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FR-03</w:t>
            </w:r>
          </w:p>
        </w:tc>
        <w:tc>
          <w:tcPr>
            <w:tcW w:type="dxa" w:w="172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RBAC</w:t>
            </w:r>
          </w:p>
        </w:tc>
        <w:tc>
          <w:tcPr>
            <w:tcW w:type="dxa" w:w="518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Four-tier Role-Based Access Control: Admin, Manager, Creator, and Client.</w:t>
            </w:r>
          </w:p>
        </w:tc>
        <w:tc>
          <w:tcPr>
            <w:tcW w:type="dxa" w:w="129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High</w:t>
            </w:r>
          </w:p>
        </w:tc>
      </w:tr>
      <w:tr>
        <w:tc>
          <w:tcPr>
            <w:tcW w:type="dxa" w:w="158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FR-04</w:t>
            </w:r>
          </w:p>
        </w:tc>
        <w:tc>
          <w:tcPr>
            <w:tcW w:type="dxa" w:w="172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Brand CRM</w:t>
            </w:r>
          </w:p>
        </w:tc>
        <w:tc>
          <w:tcPr>
            <w:tcW w:type="dxa" w:w="518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Client profile management with brand voice guidelines and target audience specs.</w:t>
            </w:r>
          </w:p>
        </w:tc>
        <w:tc>
          <w:tcPr>
            <w:tcW w:type="dxa" w:w="129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Medium</w:t>
            </w:r>
          </w:p>
        </w:tc>
      </w:tr>
      <w:tr>
        <w:tc>
          <w:tcPr>
            <w:tcW w:type="dxa" w:w="158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FR-05</w:t>
            </w:r>
          </w:p>
        </w:tc>
        <w:tc>
          <w:tcPr>
            <w:tcW w:type="dxa" w:w="172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Campaigns</w:t>
            </w:r>
          </w:p>
        </w:tc>
        <w:tc>
          <w:tcPr>
            <w:tcW w:type="dxa" w:w="518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Campaign creation with objective definition, budget tracking, and date scheduling.</w:t>
            </w:r>
          </w:p>
        </w:tc>
        <w:tc>
          <w:tcPr>
            <w:tcW w:type="dxa" w:w="129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High</w:t>
            </w:r>
          </w:p>
        </w:tc>
      </w:tr>
      <w:tr>
        <w:tc>
          <w:tcPr>
            <w:tcW w:type="dxa" w:w="158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FR-06</w:t>
            </w:r>
          </w:p>
        </w:tc>
        <w:tc>
          <w:tcPr>
            <w:tcW w:type="dxa" w:w="172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Content Pipeline</w:t>
            </w:r>
          </w:p>
        </w:tc>
        <w:tc>
          <w:tcPr>
            <w:tcW w:type="dxa" w:w="518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Content deliverable tracking across Instagram, YouTube, TikTok, and LinkedIn.</w:t>
            </w:r>
          </w:p>
        </w:tc>
        <w:tc>
          <w:tcPr>
            <w:tcW w:type="dxa" w:w="129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High</w:t>
            </w:r>
          </w:p>
        </w:tc>
      </w:tr>
      <w:tr>
        <w:tc>
          <w:tcPr>
            <w:tcW w:type="dxa" w:w="158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FR-07</w:t>
            </w:r>
          </w:p>
        </w:tc>
        <w:tc>
          <w:tcPr>
            <w:tcW w:type="dxa" w:w="172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Version History</w:t>
            </w:r>
          </w:p>
        </w:tc>
        <w:tc>
          <w:tcPr>
            <w:tcW w:type="dxa" w:w="518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Automated immutable snapshot creation upon script updates with rollback capability.</w:t>
            </w:r>
          </w:p>
        </w:tc>
        <w:tc>
          <w:tcPr>
            <w:tcW w:type="dxa" w:w="129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High</w:t>
            </w:r>
          </w:p>
        </w:tc>
      </w:tr>
      <w:tr>
        <w:tc>
          <w:tcPr>
            <w:tcW w:type="dxa" w:w="158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FR-08</w:t>
            </w:r>
          </w:p>
        </w:tc>
        <w:tc>
          <w:tcPr>
            <w:tcW w:type="dxa" w:w="172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Two-Tier Approvals</w:t>
            </w:r>
          </w:p>
        </w:tc>
        <w:tc>
          <w:tcPr>
            <w:tcW w:type="dxa" w:w="518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Segregated approval inbox for Manager internal reviews and Client sign-offs.</w:t>
            </w:r>
          </w:p>
        </w:tc>
        <w:tc>
          <w:tcPr>
            <w:tcW w:type="dxa" w:w="129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High</w:t>
            </w:r>
          </w:p>
        </w:tc>
      </w:tr>
      <w:tr>
        <w:tc>
          <w:tcPr>
            <w:tcW w:type="dxa" w:w="158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FR-09</w:t>
            </w:r>
          </w:p>
        </w:tc>
        <w:tc>
          <w:tcPr>
            <w:tcW w:type="dxa" w:w="172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Script Quality Check</w:t>
            </w:r>
          </w:p>
        </w:tc>
        <w:tc>
          <w:tcPr>
            <w:tcW w:type="dxa" w:w="518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Automated script pacing calculation, hook analysis, and forbidden term detection.</w:t>
            </w:r>
          </w:p>
        </w:tc>
        <w:tc>
          <w:tcPr>
            <w:tcW w:type="dxa" w:w="129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High</w:t>
            </w:r>
          </w:p>
        </w:tc>
      </w:tr>
      <w:tr>
        <w:tc>
          <w:tcPr>
            <w:tcW w:type="dxa" w:w="158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FR-10</w:t>
            </w:r>
          </w:p>
        </w:tc>
        <w:tc>
          <w:tcPr>
            <w:tcW w:type="dxa" w:w="172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Direct Publishing</w:t>
            </w:r>
          </w:p>
        </w:tc>
        <w:tc>
          <w:tcPr>
            <w:tcW w:type="dxa" w:w="518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Direct one-click social publishing via Meta Graph, YouTube, and TikTok APIs.</w:t>
            </w:r>
          </w:p>
        </w:tc>
        <w:tc>
          <w:tcPr>
            <w:tcW w:type="dxa" w:w="129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High</w:t>
            </w:r>
          </w:p>
        </w:tc>
      </w:tr>
      <w:tr>
        <w:tc>
          <w:tcPr>
            <w:tcW w:type="dxa" w:w="158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FR-11</w:t>
            </w:r>
          </w:p>
        </w:tc>
        <w:tc>
          <w:tcPr>
            <w:tcW w:type="dxa" w:w="172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Asset Management</w:t>
            </w:r>
          </w:p>
        </w:tc>
        <w:tc>
          <w:tcPr>
            <w:tcW w:type="dxa" w:w="518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Secure cloud media file uploads with file extension and size validation.</w:t>
            </w:r>
          </w:p>
        </w:tc>
        <w:tc>
          <w:tcPr>
            <w:tcW w:type="dxa" w:w="129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Medium</w:t>
            </w:r>
          </w:p>
        </w:tc>
      </w:tr>
      <w:tr>
        <w:tc>
          <w:tcPr>
            <w:tcW w:type="dxa" w:w="158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FR-12</w:t>
            </w:r>
          </w:p>
        </w:tc>
        <w:tc>
          <w:tcPr>
            <w:tcW w:type="dxa" w:w="172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Analytics &amp; Insights</w:t>
            </w:r>
          </w:p>
        </w:tc>
        <w:tc>
          <w:tcPr>
            <w:tcW w:type="dxa" w:w="518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Campaign metrics visualization and public social competitor benchmarking.</w:t>
            </w:r>
          </w:p>
        </w:tc>
        <w:tc>
          <w:tcPr>
            <w:tcW w:type="dxa" w:w="129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Medium</w:t>
            </w:r>
          </w:p>
        </w:tc>
      </w:tr>
    </w:tbl>
    <w:p>
      <w:pPr>
        <w:spacing w:after="160"/>
      </w:pPr>
    </w:p>
    <w:p>
      <w:pPr>
        <w:keepNext/>
        <w:spacing w:before="320" w:after="120"/>
      </w:pPr>
      <w:r>
        <w:rPr>
          <w:rFonts w:ascii="Segoe UI" w:hAnsi="Segoe UI"/>
          <w:b/>
          <w:color w:val="1E3A8A"/>
          <w:sz w:val="28"/>
        </w:rPr>
        <w:t>5. Non-Functional Requirements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296"/>
            <w:shd w:fill="1E3A8A"/>
            <w:tcMar>
              <w:top w:w="120" w:type="dxa"/>
              <w:bottom w:w="120" w:type="dxa"/>
              <w:left w:w="140" w:type="dxa"/>
              <w:right w:w="140" w:type="dxa"/>
            </w:tcMar>
            <w:tcBorders>
              <w:top w:val="single" w:sz="6" w:space="0" w:color="1E3A8A"/>
              <w:left w:val="single" w:sz="4" w:space="0" w:color="2563EB"/>
              <w:bottom w:val="single" w:sz="12" w:space="0" w:color="3B82F6"/>
              <w:right w:val="single" w:sz="4" w:space="0" w:color="2563EB"/>
            </w:tcBorders>
          </w:tcPr>
          <w:p>
            <w:pPr>
              <w:jc w:val="left"/>
            </w:pPr>
            <w:r>
              <w:rPr>
                <w:rFonts w:ascii="Segoe UI" w:hAnsi="Segoe UI"/>
                <w:b/>
                <w:color w:val="FFFFFF"/>
                <w:sz w:val="17"/>
              </w:rPr>
              <w:t>ID</w:t>
            </w:r>
          </w:p>
        </w:tc>
        <w:tc>
          <w:tcPr>
            <w:tcW w:type="dxa" w:w="1872"/>
            <w:shd w:fill="1E3A8A"/>
            <w:tcMar>
              <w:top w:w="120" w:type="dxa"/>
              <w:bottom w:w="120" w:type="dxa"/>
              <w:left w:w="140" w:type="dxa"/>
              <w:right w:w="140" w:type="dxa"/>
            </w:tcMar>
            <w:tcBorders>
              <w:top w:val="single" w:sz="6" w:space="0" w:color="1E3A8A"/>
              <w:left w:val="single" w:sz="4" w:space="0" w:color="2563EB"/>
              <w:bottom w:val="single" w:sz="12" w:space="0" w:color="3B82F6"/>
              <w:right w:val="single" w:sz="4" w:space="0" w:color="2563EB"/>
            </w:tcBorders>
          </w:tcPr>
          <w:p>
            <w:pPr>
              <w:jc w:val="left"/>
            </w:pPr>
            <w:r>
              <w:rPr>
                <w:rFonts w:ascii="Segoe UI" w:hAnsi="Segoe UI"/>
                <w:b/>
                <w:color w:val="FFFFFF"/>
                <w:sz w:val="17"/>
              </w:rPr>
              <w:t>Dimension</w:t>
            </w:r>
          </w:p>
        </w:tc>
        <w:tc>
          <w:tcPr>
            <w:tcW w:type="dxa" w:w="4320"/>
            <w:shd w:fill="1E3A8A"/>
            <w:tcMar>
              <w:top w:w="120" w:type="dxa"/>
              <w:bottom w:w="120" w:type="dxa"/>
              <w:left w:w="140" w:type="dxa"/>
              <w:right w:w="140" w:type="dxa"/>
            </w:tcMar>
            <w:tcBorders>
              <w:top w:val="single" w:sz="6" w:space="0" w:color="1E3A8A"/>
              <w:left w:val="single" w:sz="4" w:space="0" w:color="2563EB"/>
              <w:bottom w:val="single" w:sz="12" w:space="0" w:color="3B82F6"/>
              <w:right w:val="single" w:sz="4" w:space="0" w:color="2563EB"/>
            </w:tcBorders>
          </w:tcPr>
          <w:p>
            <w:pPr>
              <w:jc w:val="left"/>
            </w:pPr>
            <w:r>
              <w:rPr>
                <w:rFonts w:ascii="Segoe UI" w:hAnsi="Segoe UI"/>
                <w:b/>
                <w:color w:val="FFFFFF"/>
                <w:sz w:val="17"/>
              </w:rPr>
              <w:t>Specification / Metric</w:t>
            </w:r>
          </w:p>
        </w:tc>
        <w:tc>
          <w:tcPr>
            <w:tcW w:type="dxa" w:w="2304"/>
            <w:shd w:fill="1E3A8A"/>
            <w:tcMar>
              <w:top w:w="120" w:type="dxa"/>
              <w:bottom w:w="120" w:type="dxa"/>
              <w:left w:w="140" w:type="dxa"/>
              <w:right w:w="140" w:type="dxa"/>
            </w:tcMar>
            <w:tcBorders>
              <w:top w:val="single" w:sz="6" w:space="0" w:color="1E3A8A"/>
              <w:left w:val="single" w:sz="4" w:space="0" w:color="2563EB"/>
              <w:bottom w:val="single" w:sz="12" w:space="0" w:color="3B82F6"/>
              <w:right w:val="single" w:sz="4" w:space="0" w:color="2563EB"/>
            </w:tcBorders>
          </w:tcPr>
          <w:p>
            <w:pPr>
              <w:jc w:val="left"/>
            </w:pPr>
            <w:r>
              <w:rPr>
                <w:rFonts w:ascii="Segoe UI" w:hAnsi="Segoe UI"/>
                <w:b/>
                <w:color w:val="FFFFFF"/>
                <w:sz w:val="17"/>
              </w:rPr>
              <w:t>Verification Approach</w:t>
            </w:r>
          </w:p>
        </w:tc>
      </w:tr>
      <w:tr>
        <w:tc>
          <w:tcPr>
            <w:tcW w:type="dxa" w:w="129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NFR-01</w:t>
            </w:r>
          </w:p>
        </w:tc>
        <w:tc>
          <w:tcPr>
            <w:tcW w:type="dxa" w:w="187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Security</w:t>
            </w:r>
          </w:p>
        </w:tc>
        <w:tc>
          <w:tcPr>
            <w:tcW w:type="dxa" w:w="432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Tenant data isolation, CSRF protection, PBKDF2 password hashing, RBAC decorators.</w:t>
            </w:r>
          </w:p>
        </w:tc>
        <w:tc>
          <w:tcPr>
            <w:tcW w:type="dxa" w:w="230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Penetration audit &amp; unit test verification</w:t>
            </w:r>
          </w:p>
        </w:tc>
      </w:tr>
      <w:tr>
        <w:tc>
          <w:tcPr>
            <w:tcW w:type="dxa" w:w="129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NFR-02</w:t>
            </w:r>
          </w:p>
        </w:tc>
        <w:tc>
          <w:tcPr>
            <w:tcW w:type="dxa" w:w="187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Performance</w:t>
            </w:r>
          </w:p>
        </w:tc>
        <w:tc>
          <w:tcPr>
            <w:tcW w:type="dxa" w:w="432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P95 API latency &lt; 350ms; sub-second page loads globally via Vercel Edge CDN.</w:t>
            </w:r>
          </w:p>
        </w:tc>
        <w:tc>
          <w:tcPr>
            <w:tcW w:type="dxa" w:w="230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Lighthouse &amp; load testing</w:t>
            </w:r>
          </w:p>
        </w:tc>
      </w:tr>
      <w:tr>
        <w:tc>
          <w:tcPr>
            <w:tcW w:type="dxa" w:w="129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NFR-03</w:t>
            </w:r>
          </w:p>
        </w:tc>
        <w:tc>
          <w:tcPr>
            <w:tcW w:type="dxa" w:w="187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Scalability</w:t>
            </w:r>
          </w:p>
        </w:tc>
        <w:tc>
          <w:tcPr>
            <w:tcW w:type="dxa" w:w="432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Stateless serverless backend architecture; horizontal autoscaling with zero code change.</w:t>
            </w:r>
          </w:p>
        </w:tc>
        <w:tc>
          <w:tcPr>
            <w:tcW w:type="dxa" w:w="230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Vercel edge serverless scaling</w:t>
            </w:r>
          </w:p>
        </w:tc>
      </w:tr>
      <w:tr>
        <w:tc>
          <w:tcPr>
            <w:tcW w:type="dxa" w:w="129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NFR-04</w:t>
            </w:r>
          </w:p>
        </w:tc>
        <w:tc>
          <w:tcPr>
            <w:tcW w:type="dxa" w:w="187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Availability</w:t>
            </w:r>
          </w:p>
        </w:tc>
        <w:tc>
          <w:tcPr>
            <w:tcW w:type="dxa" w:w="432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Target uptime of 99.9% backed by Vercel edge infrastructure and multi-region CDN.</w:t>
            </w:r>
          </w:p>
        </w:tc>
        <w:tc>
          <w:tcPr>
            <w:tcW w:type="dxa" w:w="230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Synthetic uptime monitoring</w:t>
            </w:r>
          </w:p>
        </w:tc>
      </w:tr>
      <w:tr>
        <w:tc>
          <w:tcPr>
            <w:tcW w:type="dxa" w:w="129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NFR-05</w:t>
            </w:r>
          </w:p>
        </w:tc>
        <w:tc>
          <w:tcPr>
            <w:tcW w:type="dxa" w:w="187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Maintainability</w:t>
            </w:r>
          </w:p>
        </w:tc>
        <w:tc>
          <w:tcPr>
            <w:tcW w:type="dxa" w:w="432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Modular Django app structure, PEP8 compliance, automated test suite.</w:t>
            </w:r>
          </w:p>
        </w:tc>
        <w:tc>
          <w:tcPr>
            <w:tcW w:type="dxa" w:w="230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Continuous integration runner</w:t>
            </w:r>
          </w:p>
        </w:tc>
      </w:tr>
      <w:tr>
        <w:tc>
          <w:tcPr>
            <w:tcW w:type="dxa" w:w="129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NFR-06</w:t>
            </w:r>
          </w:p>
        </w:tc>
        <w:tc>
          <w:tcPr>
            <w:tcW w:type="dxa" w:w="187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Usability</w:t>
            </w:r>
          </w:p>
        </w:tc>
        <w:tc>
          <w:tcPr>
            <w:tcW w:type="dxa" w:w="432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Responsive dark-mode UI with high-contrast accessibility across desktop &amp; mobile.</w:t>
            </w:r>
          </w:p>
        </w:tc>
        <w:tc>
          <w:tcPr>
            <w:tcW w:type="dxa" w:w="230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Responsive viewport audits</w:t>
            </w:r>
          </w:p>
        </w:tc>
      </w:tr>
    </w:tbl>
    <w:p>
      <w:pPr>
        <w:spacing w:after="160"/>
      </w:pPr>
    </w:p>
    <w:p>
      <w:pPr>
        <w:keepNext/>
        <w:spacing w:before="320" w:after="120"/>
      </w:pPr>
      <w:r>
        <w:rPr>
          <w:rFonts w:ascii="Segoe UI" w:hAnsi="Segoe UI"/>
          <w:b/>
          <w:color w:val="1E3A8A"/>
          <w:sz w:val="28"/>
        </w:rPr>
        <w:t>6. Scope</w:t>
      </w:r>
    </w:p>
    <w:p>
      <w:pPr>
        <w:spacing w:after="100" w:line="276" w:lineRule="auto"/>
      </w:pPr>
      <w:r>
        <w:rPr>
          <w:rFonts w:ascii="Segoe UI" w:hAnsi="Segoe UI"/>
          <w:color w:val="334155"/>
          <w:sz w:val="19"/>
        </w:rPr>
        <w:t>In-Scope:</w:t>
        <w:br/>
        <w:t>• Full lifecycle content operations from drafting to direct multi-platform social publication.</w:t>
        <w:br/>
        <w:t>• Four-tier RBAC governing creators, internal managers, clients, and workspace admins.</w:t>
        <w:br/>
        <w:t>• Real-time automated script review and brand safety compliance engine.</w:t>
        <w:br/>
        <w:t>• Native direct social publishing integration with Meta Graph (Instagram), YouTube Data, and TikTok APIs.</w:t>
        <w:br/>
        <w:t>• Cloud deployment on Vercel with automated continuous deployment from GitHub.</w:t>
        <w:br/>
        <w:br/>
        <w:t>Out-of-Scope:</w:t>
        <w:br/>
        <w:t>• In-browser multi-track video editing (CreatorOps focuses on scripts, review, compliance, and publishing).</w:t>
        <w:br/>
        <w:t>• Direct payment gateway processing for influencer fee payouts.</w:t>
        <w:br/>
        <w:t>• Offline desktop client software (platform is exclusively cloud-native web SaaS).</w:t>
      </w:r>
    </w:p>
    <w:p>
      <w:pPr>
        <w:keepNext/>
        <w:spacing w:before="320" w:after="120"/>
      </w:pPr>
      <w:r>
        <w:rPr>
          <w:rFonts w:ascii="Segoe UI" w:hAnsi="Segoe UI"/>
          <w:b/>
          <w:color w:val="1E3A8A"/>
          <w:sz w:val="28"/>
        </w:rPr>
        <w:t>7. Use Case Diagram</w:t>
      </w:r>
    </w:p>
    <w:p>
      <w:pPr>
        <w:spacing w:after="100" w:line="276" w:lineRule="auto"/>
      </w:pPr>
      <w:r>
        <w:rPr>
          <w:rFonts w:ascii="Segoe UI" w:hAnsi="Segoe UI"/>
          <w:color w:val="334155"/>
          <w:sz w:val="19"/>
        </w:rPr>
        <w:t>The UML Use Case Diagram models the system actors (Content Creator, Agency Manager, Brand Client, Workspace Admin) and their primary interaction boundaries with CreatorOps:</w:t>
      </w:r>
    </w:p>
    <w:p>
      <w:pPr>
        <w:keepNext/>
        <w:spacing w:before="160" w:after="60"/>
        <w:jc w:val="center"/>
      </w:pPr>
      <w:r>
        <w:drawing>
          <wp:inline xmlns:a="http://schemas.openxmlformats.org/drawingml/2006/main" xmlns:pic="http://schemas.openxmlformats.org/drawingml/2006/picture">
            <wp:extent cx="5669280" cy="4049486"/>
            <wp:docPr id="1" name="Picture 1"/>
            <wp:cNvGraphicFramePr>
              <a:graphicFrameLocks noChangeAspect="1"/>
            </wp:cNvGraphicFramePr>
            <a:graphic>
              <a:graphicData uri="http://schemas.openxmlformats.org/drawingml/2006/picture">
                <pic:pic>
                  <pic:nvPicPr>
                    <pic:cNvPr id="0" name="use_case_diagram.png"/>
                    <pic:cNvPicPr/>
                  </pic:nvPicPr>
                  <pic:blipFill>
                    <a:blip r:embed="rId11"/>
                    <a:stretch>
                      <a:fillRect/>
                    </a:stretch>
                  </pic:blipFill>
                  <pic:spPr>
                    <a:xfrm>
                      <a:off x="0" y="0"/>
                      <a:ext cx="5669280" cy="4049486"/>
                    </a:xfrm>
                    <a:prstGeom prst="rect"/>
                  </pic:spPr>
                </pic:pic>
              </a:graphicData>
            </a:graphic>
          </wp:inline>
        </w:drawing>
      </w:r>
    </w:p>
    <w:p>
      <w:pPr>
        <w:spacing w:before="40" w:after="240"/>
        <w:jc w:val="center"/>
      </w:pPr>
      <w:r>
        <w:rPr>
          <w:rFonts w:ascii="Segoe UI" w:hAnsi="Segoe UI"/>
          <w:b/>
          <w:color w:val="1E293B"/>
          <w:sz w:val="18"/>
        </w:rPr>
        <w:t>Figure 1: UML Use Case Diagram for CreatorOps SaaS</w:t>
        <w:br/>
      </w:r>
      <w:r>
        <w:rPr>
          <w:rFonts w:ascii="Segoe UI" w:hAnsi="Segoe UI"/>
          <w:i/>
          <w:color w:val="64748B"/>
          <w:sz w:val="16"/>
        </w:rPr>
        <w:t>Actor boundaries and primary interactions: Drafting, Reviewing, Approving, Publishing, and Analytics.</w:t>
      </w:r>
    </w:p>
    <w:p>
      <w:pPr>
        <w:keepNext/>
        <w:spacing w:before="320" w:after="120"/>
      </w:pPr>
      <w:r>
        <w:rPr>
          <w:rFonts w:ascii="Segoe UI" w:hAnsi="Segoe UI"/>
          <w:b/>
          <w:color w:val="1E3A8A"/>
          <w:sz w:val="28"/>
        </w:rPr>
        <w:t>8. UI Mockups</w:t>
      </w:r>
    </w:p>
    <w:p>
      <w:pPr>
        <w:spacing w:after="100" w:line="276" w:lineRule="auto"/>
      </w:pPr>
      <w:r>
        <w:rPr>
          <w:rFonts w:ascii="Segoe UI" w:hAnsi="Segoe UI"/>
          <w:color w:val="334155"/>
          <w:sz w:val="19"/>
        </w:rPr>
        <w:t>The CreatorOps user interface was designed with a modern, high-contrast dark theme (#0B0F19 canvas, #111827 cards, #FACC15 accent) providing optimal ergonomics for creative operations:</w:t>
      </w:r>
    </w:p>
    <w:p>
      <w:pPr>
        <w:keepNext/>
        <w:spacing w:before="160" w:after="60"/>
        <w:jc w:val="center"/>
      </w:pPr>
      <w:r>
        <w:drawing>
          <wp:inline xmlns:a="http://schemas.openxmlformats.org/drawingml/2006/main" xmlns:pic="http://schemas.openxmlformats.org/drawingml/2006/picture">
            <wp:extent cx="5669280" cy="3164249"/>
            <wp:docPr id="2" name="Picture 2"/>
            <wp:cNvGraphicFramePr>
              <a:graphicFrameLocks noChangeAspect="1"/>
            </wp:cNvGraphicFramePr>
            <a:graphic>
              <a:graphicData uri="http://schemas.openxmlformats.org/drawingml/2006/picture">
                <pic:pic>
                  <pic:nvPicPr>
                    <pic:cNvPr id="0" name="creatorops_dashboard_ui.jpg"/>
                    <pic:cNvPicPr/>
                  </pic:nvPicPr>
                  <pic:blipFill>
                    <a:blip r:embed="rId12"/>
                    <a:stretch>
                      <a:fillRect/>
                    </a:stretch>
                  </pic:blipFill>
                  <pic:spPr>
                    <a:xfrm>
                      <a:off x="0" y="0"/>
                      <a:ext cx="5669280" cy="3164249"/>
                    </a:xfrm>
                    <a:prstGeom prst="rect"/>
                  </pic:spPr>
                </pic:pic>
              </a:graphicData>
            </a:graphic>
          </wp:inline>
        </w:drawing>
      </w:r>
    </w:p>
    <w:p>
      <w:pPr>
        <w:spacing w:before="40" w:after="240"/>
        <w:jc w:val="center"/>
      </w:pPr>
      <w:r>
        <w:rPr>
          <w:rFonts w:ascii="Segoe UI" w:hAnsi="Segoe UI"/>
          <w:b/>
          <w:color w:val="1E293B"/>
          <w:sz w:val="18"/>
        </w:rPr>
        <w:t>Figure 2: CreatorOps Executive Command Center Dashboard</w:t>
        <w:br/>
      </w:r>
      <w:r>
        <w:rPr>
          <w:rFonts w:ascii="Segoe UI" w:hAnsi="Segoe UI"/>
          <w:i/>
          <w:color w:val="64748B"/>
          <w:sz w:val="16"/>
        </w:rPr>
        <w:t>Unified KPI overview displaying active campaigns, pending approvals, and content velocity.</w:t>
      </w:r>
    </w:p>
    <w:p>
      <w:pPr>
        <w:keepNext/>
        <w:spacing w:before="160" w:after="60"/>
        <w:jc w:val="center"/>
      </w:pPr>
      <w:r>
        <w:drawing>
          <wp:inline xmlns:a="http://schemas.openxmlformats.org/drawingml/2006/main" xmlns:pic="http://schemas.openxmlformats.org/drawingml/2006/picture">
            <wp:extent cx="5669280" cy="3164249"/>
            <wp:docPr id="3" name="Picture 3"/>
            <wp:cNvGraphicFramePr>
              <a:graphicFrameLocks noChangeAspect="1"/>
            </wp:cNvGraphicFramePr>
            <a:graphic>
              <a:graphicData uri="http://schemas.openxmlformats.org/drawingml/2006/picture">
                <pic:pic>
                  <pic:nvPicPr>
                    <pic:cNvPr id="0" name="campaign_pipeline_ui.jpg"/>
                    <pic:cNvPicPr/>
                  </pic:nvPicPr>
                  <pic:blipFill>
                    <a:blip r:embed="rId13"/>
                    <a:stretch>
                      <a:fillRect/>
                    </a:stretch>
                  </pic:blipFill>
                  <pic:spPr>
                    <a:xfrm>
                      <a:off x="0" y="0"/>
                      <a:ext cx="5669280" cy="3164249"/>
                    </a:xfrm>
                    <a:prstGeom prst="rect"/>
                  </pic:spPr>
                </pic:pic>
              </a:graphicData>
            </a:graphic>
          </wp:inline>
        </w:drawing>
      </w:r>
    </w:p>
    <w:p>
      <w:pPr>
        <w:spacing w:before="40" w:after="240"/>
        <w:jc w:val="center"/>
      </w:pPr>
      <w:r>
        <w:rPr>
          <w:rFonts w:ascii="Segoe UI" w:hAnsi="Segoe UI"/>
          <w:b/>
          <w:color w:val="1E293B"/>
          <w:sz w:val="18"/>
        </w:rPr>
        <w:t>Figure 3: Campaign Content Deliverable Pipeline View</w:t>
        <w:br/>
      </w:r>
      <w:r>
        <w:rPr>
          <w:rFonts w:ascii="Segoe UI" w:hAnsi="Segoe UI"/>
          <w:i/>
          <w:color w:val="64748B"/>
          <w:sz w:val="16"/>
        </w:rPr>
        <w:t>Filterable deliverable matrix tracking channel, status badges, creator assignment, and deadlines.</w:t>
      </w:r>
    </w:p>
    <w:p>
      <w:pPr>
        <w:keepNext/>
        <w:spacing w:before="160" w:after="60"/>
        <w:jc w:val="center"/>
      </w:pPr>
      <w:r>
        <w:drawing>
          <wp:inline xmlns:a="http://schemas.openxmlformats.org/drawingml/2006/main" xmlns:pic="http://schemas.openxmlformats.org/drawingml/2006/picture">
            <wp:extent cx="5669280" cy="3164249"/>
            <wp:docPr id="4" name="Picture 4"/>
            <wp:cNvGraphicFramePr>
              <a:graphicFrameLocks noChangeAspect="1"/>
            </wp:cNvGraphicFramePr>
            <a:graphic>
              <a:graphicData uri="http://schemas.openxmlformats.org/drawingml/2006/picture">
                <pic:pic>
                  <pic:nvPicPr>
                    <pic:cNvPr id="0" name="approval_studio_ui.jpg"/>
                    <pic:cNvPicPr/>
                  </pic:nvPicPr>
                  <pic:blipFill>
                    <a:blip r:embed="rId14"/>
                    <a:stretch>
                      <a:fillRect/>
                    </a:stretch>
                  </pic:blipFill>
                  <pic:spPr>
                    <a:xfrm>
                      <a:off x="0" y="0"/>
                      <a:ext cx="5669280" cy="3164249"/>
                    </a:xfrm>
                    <a:prstGeom prst="rect"/>
                  </pic:spPr>
                </pic:pic>
              </a:graphicData>
            </a:graphic>
          </wp:inline>
        </w:drawing>
      </w:r>
    </w:p>
    <w:p>
      <w:pPr>
        <w:spacing w:before="40" w:after="240"/>
        <w:jc w:val="center"/>
      </w:pPr>
      <w:r>
        <w:rPr>
          <w:rFonts w:ascii="Segoe UI" w:hAnsi="Segoe UI"/>
          <w:b/>
          <w:color w:val="1E293B"/>
          <w:sz w:val="18"/>
        </w:rPr>
        <w:t>Figure 4: Review &amp; Studio Interface with Direct Social Publishing</w:t>
        <w:br/>
      </w:r>
      <w:r>
        <w:rPr>
          <w:rFonts w:ascii="Segoe UI" w:hAnsi="Segoe UI"/>
          <w:i/>
          <w:color w:val="64748B"/>
          <w:sz w:val="16"/>
        </w:rPr>
        <w:t>Interactive review screen featuring script editor, automated compliance score, version diffing, and direct publishing.</w:t>
      </w:r>
    </w:p>
    <w:p>
      <w:pPr>
        <w:keepNext/>
        <w:spacing w:before="320" w:after="120"/>
      </w:pPr>
      <w:r>
        <w:rPr>
          <w:rFonts w:ascii="Segoe UI" w:hAnsi="Segoe UI"/>
          <w:b/>
          <w:color w:val="1E3A8A"/>
          <w:sz w:val="28"/>
        </w:rPr>
        <w:t>9. Initial SRS (System Requirements Specification)</w:t>
      </w:r>
    </w:p>
    <w:p>
      <w:pPr>
        <w:spacing w:after="100" w:line="276" w:lineRule="auto"/>
      </w:pPr>
      <w:r>
        <w:rPr>
          <w:rFonts w:ascii="Segoe UI" w:hAnsi="Segoe UI"/>
          <w:color w:val="334155"/>
          <w:sz w:val="19"/>
        </w:rPr>
        <w:t>Summary specification conforming to IEEE 830 standards:</w:t>
      </w:r>
    </w:p>
    <w:tbl>
      <w:tblPr>
        <w:tblW w:type="auto" w:w="0"/>
        <w:jc w:val="center"/>
        <w:tblLayout w:type="fixed"/>
        <w:tblLook w:firstColumn="1" w:firstRow="1" w:lastColumn="0" w:lastRow="0" w:noHBand="0" w:noVBand="1" w:val="04A0"/>
      </w:tblPr>
      <w:tblGrid>
        <w:gridCol w:w="3120"/>
        <w:gridCol w:w="3120"/>
        <w:gridCol w:w="3120"/>
      </w:tblGrid>
      <w:tr>
        <w:tc>
          <w:tcPr>
            <w:tcW w:type="dxa" w:w="2160"/>
            <w:shd w:fill="1E3A8A"/>
            <w:tcMar>
              <w:top w:w="120" w:type="dxa"/>
              <w:bottom w:w="120" w:type="dxa"/>
              <w:left w:w="140" w:type="dxa"/>
              <w:right w:w="140" w:type="dxa"/>
            </w:tcMar>
            <w:tcBorders>
              <w:top w:val="single" w:sz="6" w:space="0" w:color="1E3A8A"/>
              <w:left w:val="single" w:sz="4" w:space="0" w:color="2563EB"/>
              <w:bottom w:val="single" w:sz="12" w:space="0" w:color="3B82F6"/>
              <w:right w:val="single" w:sz="4" w:space="0" w:color="2563EB"/>
            </w:tcBorders>
          </w:tcPr>
          <w:p>
            <w:pPr>
              <w:jc w:val="left"/>
            </w:pPr>
            <w:r>
              <w:rPr>
                <w:rFonts w:ascii="Segoe UI" w:hAnsi="Segoe UI"/>
                <w:b/>
                <w:color w:val="FFFFFF"/>
                <w:sz w:val="17"/>
              </w:rPr>
              <w:t>SRS Section</w:t>
            </w:r>
          </w:p>
        </w:tc>
        <w:tc>
          <w:tcPr>
            <w:tcW w:type="dxa" w:w="4608"/>
            <w:shd w:fill="1E3A8A"/>
            <w:tcMar>
              <w:top w:w="120" w:type="dxa"/>
              <w:bottom w:w="120" w:type="dxa"/>
              <w:left w:w="140" w:type="dxa"/>
              <w:right w:w="140" w:type="dxa"/>
            </w:tcMar>
            <w:tcBorders>
              <w:top w:val="single" w:sz="6" w:space="0" w:color="1E3A8A"/>
              <w:left w:val="single" w:sz="4" w:space="0" w:color="2563EB"/>
              <w:bottom w:val="single" w:sz="12" w:space="0" w:color="3B82F6"/>
              <w:right w:val="single" w:sz="4" w:space="0" w:color="2563EB"/>
            </w:tcBorders>
          </w:tcPr>
          <w:p>
            <w:pPr>
              <w:jc w:val="left"/>
            </w:pPr>
            <w:r>
              <w:rPr>
                <w:rFonts w:ascii="Segoe UI" w:hAnsi="Segoe UI"/>
                <w:b/>
                <w:color w:val="FFFFFF"/>
                <w:sz w:val="17"/>
              </w:rPr>
              <w:t>Requirement Specification</w:t>
            </w:r>
          </w:p>
        </w:tc>
        <w:tc>
          <w:tcPr>
            <w:tcW w:type="dxa" w:w="2880"/>
            <w:shd w:fill="1E3A8A"/>
            <w:tcMar>
              <w:top w:w="120" w:type="dxa"/>
              <w:bottom w:w="120" w:type="dxa"/>
              <w:left w:w="140" w:type="dxa"/>
              <w:right w:w="140" w:type="dxa"/>
            </w:tcMar>
            <w:tcBorders>
              <w:top w:val="single" w:sz="6" w:space="0" w:color="1E3A8A"/>
              <w:left w:val="single" w:sz="4" w:space="0" w:color="2563EB"/>
              <w:bottom w:val="single" w:sz="12" w:space="0" w:color="3B82F6"/>
              <w:right w:val="single" w:sz="4" w:space="0" w:color="2563EB"/>
            </w:tcBorders>
          </w:tcPr>
          <w:p>
            <w:pPr>
              <w:jc w:val="left"/>
            </w:pPr>
            <w:r>
              <w:rPr>
                <w:rFonts w:ascii="Segoe UI" w:hAnsi="Segoe UI"/>
                <w:b/>
                <w:color w:val="FFFFFF"/>
                <w:sz w:val="17"/>
              </w:rPr>
              <w:t>Implementation Mapping</w:t>
            </w:r>
          </w:p>
        </w:tc>
      </w:tr>
      <w:tr>
        <w:tc>
          <w:tcPr>
            <w:tcW w:type="dxa" w:w="216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1.0 System Purpose</w:t>
            </w:r>
          </w:p>
        </w:tc>
        <w:tc>
          <w:tcPr>
            <w:tcW w:type="dxa" w:w="460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Multi-tenant cloud SaaS platform to eliminate creator marketing workflow chaos.</w:t>
            </w:r>
          </w:p>
        </w:tc>
        <w:tc>
          <w:tcPr>
            <w:tcW w:type="dxa" w:w="288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Core Django SaaS Architecture</w:t>
            </w:r>
          </w:p>
        </w:tc>
      </w:tr>
      <w:tr>
        <w:tc>
          <w:tcPr>
            <w:tcW w:type="dxa" w:w="216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2.0 User Classes</w:t>
            </w:r>
          </w:p>
        </w:tc>
        <w:tc>
          <w:tcPr>
            <w:tcW w:type="dxa" w:w="460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Admin (full control), Manager (review/publish), Creator (draft), Client (sign-off).</w:t>
            </w:r>
          </w:p>
        </w:tc>
        <w:tc>
          <w:tcPr>
            <w:tcW w:type="dxa" w:w="288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workspaces.Membership RBAC</w:t>
            </w:r>
          </w:p>
        </w:tc>
      </w:tr>
      <w:tr>
        <w:tc>
          <w:tcPr>
            <w:tcW w:type="dxa" w:w="216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3.0 State Progression</w:t>
            </w:r>
          </w:p>
        </w:tc>
        <w:tc>
          <w:tcPr>
            <w:tcW w:type="dxa" w:w="460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Strict 7-stage transition: Draft -&gt; In Review -&gt; Changes Req -&gt; Approved -&gt; Client Review -&gt; Ready -&gt; Published.</w:t>
            </w:r>
          </w:p>
        </w:tc>
        <w:tc>
          <w:tcPr>
            <w:tcW w:type="dxa" w:w="288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content.models.ContentItem state machine</w:t>
            </w:r>
          </w:p>
        </w:tc>
      </w:tr>
      <w:tr>
        <w:tc>
          <w:tcPr>
            <w:tcW w:type="dxa" w:w="216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4.0 External Interfaces</w:t>
            </w:r>
          </w:p>
        </w:tc>
        <w:tc>
          <w:tcPr>
            <w:tcW w:type="dxa" w:w="460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Meta Graph API v19.0, YouTube Data API v3, TikTok Content Posting API v2, REST APIs.</w:t>
            </w:r>
          </w:p>
        </w:tc>
        <w:tc>
          <w:tcPr>
            <w:tcW w:type="dxa" w:w="288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content.publishing_service &amp; DRF</w:t>
            </w:r>
          </w:p>
        </w:tc>
      </w:tr>
      <w:tr>
        <w:tc>
          <w:tcPr>
            <w:tcW w:type="dxa" w:w="216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5.0 Security &amp; Safety</w:t>
            </w:r>
          </w:p>
        </w:tc>
        <w:tc>
          <w:tcPr>
            <w:tcW w:type="dxa" w:w="460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PBKDF2 password hashing, CSRF tokens, SQL injection prevention, tenant boundary filters.</w:t>
            </w:r>
          </w:p>
        </w:tc>
        <w:tc>
          <w:tcPr>
            <w:tcW w:type="dxa" w:w="288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Django ORM &amp; middleware</w:t>
            </w:r>
          </w:p>
        </w:tc>
      </w:tr>
      <w:tr>
        <w:tc>
          <w:tcPr>
            <w:tcW w:type="dxa" w:w="216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6.0 Cloud Infrastructure</w:t>
            </w:r>
          </w:p>
        </w:tc>
        <w:tc>
          <w:tcPr>
            <w:tcW w:type="dxa" w:w="460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Vercel Serverless Edge, WhiteNoise static delivery, managed cloud PostgreSQL.</w:t>
            </w:r>
          </w:p>
        </w:tc>
        <w:tc>
          <w:tcPr>
            <w:tcW w:type="dxa" w:w="288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Segoe UI" w:hAnsi="Segoe UI"/>
                <w:color w:val="1E293B"/>
                <w:sz w:val="17"/>
              </w:rPr>
              <w:t>Vercel serverless edge runtime</w:t>
            </w:r>
          </w:p>
        </w:tc>
      </w:tr>
    </w:tbl>
    <w:p>
      <w:pPr>
        <w:spacing w:after="16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Candidate: Kathyayani T T | Project 12: CreatorOps | VIT Chennai</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BCSE408L: Cloud Computing | CreatorOps SaaS | Review 1 Deliverables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Segoe UI" w:hAnsi="Segoe UI"/>
      <w:color w:val="64748B"/>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Segoe UI" w:hAnsi="Segoe UI"/>
      <w:color w:val="94A3B8"/>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