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D9777B" w14:paraId="0CCFB479" w14:textId="77777777" w:rsidTr="00D9777B">
        <w:tc>
          <w:tcPr>
            <w:tcW w:w="3116" w:type="dxa"/>
          </w:tcPr>
          <w:p w14:paraId="60C21A5A" w14:textId="391F69E9" w:rsidR="00D9777B" w:rsidRDefault="00D9777B">
            <w:r>
              <w:t>Date</w:t>
            </w:r>
          </w:p>
        </w:tc>
        <w:tc>
          <w:tcPr>
            <w:tcW w:w="3117" w:type="dxa"/>
          </w:tcPr>
          <w:p w14:paraId="1179E5FC" w14:textId="186F6DB7" w:rsidR="00D9777B" w:rsidRDefault="00D9777B">
            <w:r>
              <w:t>Description</w:t>
            </w:r>
          </w:p>
        </w:tc>
        <w:tc>
          <w:tcPr>
            <w:tcW w:w="3117" w:type="dxa"/>
          </w:tcPr>
          <w:p w14:paraId="0C78AE9F" w14:textId="62ACFC86" w:rsidR="00D9777B" w:rsidRDefault="00D9777B">
            <w:r>
              <w:t>Responsible Party</w:t>
            </w:r>
          </w:p>
        </w:tc>
      </w:tr>
      <w:tr w:rsidR="00D9777B" w14:paraId="21AEEA54" w14:textId="77777777" w:rsidTr="00D9777B">
        <w:tc>
          <w:tcPr>
            <w:tcW w:w="3116" w:type="dxa"/>
          </w:tcPr>
          <w:p w14:paraId="174B4DF7" w14:textId="020AE7CB" w:rsidR="00D9777B" w:rsidRDefault="00D9777B">
            <w:r>
              <w:t>11/30/21</w:t>
            </w:r>
          </w:p>
        </w:tc>
        <w:tc>
          <w:tcPr>
            <w:tcW w:w="3117" w:type="dxa"/>
          </w:tcPr>
          <w:p w14:paraId="3EFAC590" w14:textId="05C347A6" w:rsidR="00D9777B" w:rsidRDefault="00D9777B">
            <w:r>
              <w:t>Initial</w:t>
            </w:r>
          </w:p>
        </w:tc>
        <w:tc>
          <w:tcPr>
            <w:tcW w:w="3117" w:type="dxa"/>
          </w:tcPr>
          <w:p w14:paraId="3579EE12" w14:textId="441F77EE" w:rsidR="00D9777B" w:rsidRDefault="00D9777B">
            <w:r>
              <w:t>T</w:t>
            </w:r>
            <w:r w:rsidR="00C8303E">
              <w:t xml:space="preserve">auk </w:t>
            </w:r>
            <w:r>
              <w:t>Chang</w:t>
            </w:r>
          </w:p>
        </w:tc>
      </w:tr>
      <w:tr w:rsidR="00D9777B" w14:paraId="0A974893" w14:textId="77777777" w:rsidTr="00D9777B">
        <w:tc>
          <w:tcPr>
            <w:tcW w:w="3116" w:type="dxa"/>
          </w:tcPr>
          <w:p w14:paraId="1FD79501" w14:textId="77777777" w:rsidR="00D9777B" w:rsidRDefault="00D9777B"/>
        </w:tc>
        <w:tc>
          <w:tcPr>
            <w:tcW w:w="3117" w:type="dxa"/>
          </w:tcPr>
          <w:p w14:paraId="2C7C1238" w14:textId="77777777" w:rsidR="00D9777B" w:rsidRDefault="00D9777B"/>
        </w:tc>
        <w:tc>
          <w:tcPr>
            <w:tcW w:w="3117" w:type="dxa"/>
          </w:tcPr>
          <w:p w14:paraId="2ED3B36E" w14:textId="77777777" w:rsidR="00D9777B" w:rsidRDefault="00D9777B"/>
        </w:tc>
      </w:tr>
    </w:tbl>
    <w:p w14:paraId="06309468" w14:textId="38FDCAA9" w:rsidR="007461E6" w:rsidRDefault="005F59AF"/>
    <w:p w14:paraId="7B5492E7" w14:textId="4434F4BA" w:rsidR="00D9777B" w:rsidRPr="00CF62C4" w:rsidRDefault="00D9777B">
      <w:pPr>
        <w:rPr>
          <w:b/>
          <w:bCs/>
          <w:sz w:val="28"/>
          <w:szCs w:val="28"/>
        </w:rPr>
      </w:pPr>
      <w:r w:rsidRPr="00CF62C4">
        <w:rPr>
          <w:b/>
          <w:bCs/>
          <w:sz w:val="28"/>
          <w:szCs w:val="28"/>
        </w:rPr>
        <w:t>Design Patterns for Modern Access Management - Strategic Viewpoint</w:t>
      </w:r>
    </w:p>
    <w:p w14:paraId="61C324A9" w14:textId="77777777" w:rsidR="00B766F1" w:rsidRDefault="00B766F1"/>
    <w:p w14:paraId="60DB4DEE" w14:textId="492B40F3" w:rsidR="006028C8" w:rsidRPr="006028C8" w:rsidRDefault="006028C8">
      <w:pPr>
        <w:rPr>
          <w:b/>
          <w:bCs/>
        </w:rPr>
      </w:pPr>
      <w:r w:rsidRPr="006028C8">
        <w:rPr>
          <w:b/>
          <w:bCs/>
        </w:rPr>
        <w:t>Summary</w:t>
      </w:r>
    </w:p>
    <w:p w14:paraId="6350B5E1" w14:textId="77777777" w:rsidR="00B51BD7" w:rsidRDefault="00903C8D">
      <w:r>
        <w:t>The purpose of this document is to provide a simple strategy for the one most important step in securing applications today  - that of requiring applications to use MFA.</w:t>
      </w:r>
    </w:p>
    <w:p w14:paraId="028F670A" w14:textId="5270ADFE" w:rsidR="00B51BD7" w:rsidRDefault="00B51BD7"/>
    <w:p w14:paraId="35293C53" w14:textId="636147C2" w:rsidR="00B51BD7" w:rsidRDefault="00B51BD7" w:rsidP="00B51BD7">
      <w:r>
        <w:t xml:space="preserve">In general, the current best practice for modern access management for applications is to enable the application to use MFA. To accomplish </w:t>
      </w:r>
      <w:r w:rsidR="00F84CC1">
        <w:t>this,</w:t>
      </w:r>
      <w:r>
        <w:t xml:space="preserve"> we use an authorization server (Okta) that has MFA enabled or is capable of MFA. Otherwise, we use an Access Gateway (Okta Access Gateway) </w:t>
      </w:r>
      <w:r w:rsidR="00F3502F">
        <w:t>in</w:t>
      </w:r>
      <w:r>
        <w:t xml:space="preserve"> between these legacy apps and Okta.</w:t>
      </w:r>
    </w:p>
    <w:p w14:paraId="0A2F24AF" w14:textId="09FC1792" w:rsidR="00B51BD7" w:rsidRDefault="00B51BD7" w:rsidP="00B51BD7"/>
    <w:p w14:paraId="2BC2F44F" w14:textId="119C35E4" w:rsidR="00B425C5" w:rsidRDefault="00B425C5">
      <w:r>
        <w:t>Thus, all applications need to authenticate against an authorization server that is MFA - enabled</w:t>
      </w:r>
      <w:r w:rsidR="00B51BD7">
        <w:t xml:space="preserve"> (Okta)</w:t>
      </w:r>
      <w:r>
        <w:t xml:space="preserve">.  The preferred protocol to be used is OIDC (and pkce).  </w:t>
      </w:r>
    </w:p>
    <w:p w14:paraId="30CC18A3" w14:textId="77777777" w:rsidR="00F3502F" w:rsidRDefault="00F3502F"/>
    <w:tbl>
      <w:tblPr>
        <w:tblStyle w:val="TableGrid"/>
        <w:tblW w:w="0" w:type="auto"/>
        <w:tblInd w:w="2047" w:type="dxa"/>
        <w:tblLook w:val="04A0" w:firstRow="1" w:lastRow="0" w:firstColumn="1" w:lastColumn="0" w:noHBand="0" w:noVBand="1"/>
      </w:tblPr>
      <w:tblGrid>
        <w:gridCol w:w="1350"/>
        <w:gridCol w:w="4675"/>
      </w:tblGrid>
      <w:tr w:rsidR="00F3502F" w14:paraId="3DAA3610" w14:textId="77777777" w:rsidTr="00F3502F">
        <w:tc>
          <w:tcPr>
            <w:tcW w:w="1350" w:type="dxa"/>
          </w:tcPr>
          <w:p w14:paraId="46E3C67F" w14:textId="6F81595B" w:rsidR="00F3502F" w:rsidRDefault="00F3502F">
            <w:r>
              <w:t>Goal</w:t>
            </w:r>
          </w:p>
        </w:tc>
        <w:tc>
          <w:tcPr>
            <w:tcW w:w="4675" w:type="dxa"/>
          </w:tcPr>
          <w:p w14:paraId="2B42D320" w14:textId="65BFA857" w:rsidR="00F3502F" w:rsidRDefault="00F3502F">
            <w:r>
              <w:t>Secure Applications with MFA</w:t>
            </w:r>
          </w:p>
        </w:tc>
      </w:tr>
      <w:tr w:rsidR="00F3502F" w14:paraId="5631054C" w14:textId="77777777" w:rsidTr="00F3502F">
        <w:tc>
          <w:tcPr>
            <w:tcW w:w="1350" w:type="dxa"/>
          </w:tcPr>
          <w:p w14:paraId="45E8C992" w14:textId="1BAFEA82" w:rsidR="00F3502F" w:rsidRDefault="00F3502F">
            <w:r>
              <w:t>Solution</w:t>
            </w:r>
          </w:p>
        </w:tc>
        <w:tc>
          <w:tcPr>
            <w:tcW w:w="4675" w:type="dxa"/>
          </w:tcPr>
          <w:p w14:paraId="7B35C470" w14:textId="77777777" w:rsidR="00F3502F" w:rsidRDefault="00F3502F">
            <w:r>
              <w:t>Migrate applications to use OIDC against an MFA enabled Authorization Server (Okta),</w:t>
            </w:r>
          </w:p>
          <w:p w14:paraId="0E89C401" w14:textId="2598C27A" w:rsidR="00F3502F" w:rsidRDefault="00F3502F">
            <w:r>
              <w:t>Otherwise use an Access Gateway (Okta Access Gateway) to perform the authentication.</w:t>
            </w:r>
          </w:p>
        </w:tc>
      </w:tr>
    </w:tbl>
    <w:p w14:paraId="7374C38B" w14:textId="25C61F9C" w:rsidR="00B425C5" w:rsidRDefault="00B425C5"/>
    <w:p w14:paraId="614FB55B" w14:textId="2AB4A296" w:rsidR="00EC62E2" w:rsidRPr="00B766F1" w:rsidRDefault="00EC62E2" w:rsidP="00EC62E2">
      <w:pPr>
        <w:rPr>
          <w:b/>
          <w:bCs/>
        </w:rPr>
      </w:pPr>
      <w:r w:rsidRPr="00B766F1">
        <w:rPr>
          <w:b/>
          <w:bCs/>
        </w:rPr>
        <w:t>I. Two Types of Apps</w:t>
      </w:r>
    </w:p>
    <w:p w14:paraId="79C75933" w14:textId="253CED40" w:rsidR="00EC62E2" w:rsidRDefault="00EC62E2" w:rsidP="00EC62E2">
      <w:r>
        <w:t>We have two types of applications (clients) : OIDC applications vs "Legacy Applications.</w:t>
      </w:r>
      <w:r w:rsidR="009859C8">
        <w:t>"</w:t>
      </w:r>
    </w:p>
    <w:p w14:paraId="6FB60019" w14:textId="06DE11AA" w:rsidR="00EC62E2" w:rsidRDefault="00EC62E2" w:rsidP="00EC62E2">
      <w:pPr>
        <w:ind w:left="720"/>
      </w:pPr>
      <w:r>
        <w:t>1. OIDC Apps (OIDC clients, or able to</w:t>
      </w:r>
      <w:r w:rsidR="00F84CC1">
        <w:t xml:space="preserve"> be</w:t>
      </w:r>
      <w:r>
        <w:t xml:space="preserve"> migrated to be OIDC clients).</w:t>
      </w:r>
    </w:p>
    <w:p w14:paraId="342EA19D" w14:textId="77777777" w:rsidR="00EC62E2" w:rsidRDefault="00EC62E2" w:rsidP="00EC62E2">
      <w:pPr>
        <w:ind w:left="720"/>
      </w:pPr>
      <w:r>
        <w:t>2. Legacy Applications that use protocols such as LDAP, IWA, Kerberos, Login Forms, Headers Auth (Siteminder.)</w:t>
      </w:r>
    </w:p>
    <w:p w14:paraId="7239A292" w14:textId="77777777" w:rsidR="00EC62E2" w:rsidRDefault="00EC62E2"/>
    <w:p w14:paraId="323BE803" w14:textId="220AA89C" w:rsidR="00B425C5" w:rsidRPr="00B766F1" w:rsidRDefault="00EC62E2" w:rsidP="00697E31">
      <w:pPr>
        <w:ind w:left="720"/>
        <w:rPr>
          <w:b/>
          <w:bCs/>
        </w:rPr>
      </w:pPr>
      <w:r w:rsidRPr="00B766F1">
        <w:rPr>
          <w:b/>
          <w:bCs/>
        </w:rPr>
        <w:t>A</w:t>
      </w:r>
      <w:r w:rsidR="00B425C5" w:rsidRPr="00B766F1">
        <w:rPr>
          <w:b/>
          <w:bCs/>
        </w:rPr>
        <w:t>. OIDC Apps</w:t>
      </w:r>
    </w:p>
    <w:p w14:paraId="4EB006FD" w14:textId="05C28E61" w:rsidR="00B425C5" w:rsidRDefault="00B425C5" w:rsidP="00697E31">
      <w:pPr>
        <w:pStyle w:val="ListParagraph"/>
        <w:numPr>
          <w:ilvl w:val="0"/>
          <w:numId w:val="1"/>
        </w:numPr>
        <w:ind w:left="2160"/>
      </w:pPr>
      <w:r>
        <w:t>For OIDC Apps</w:t>
      </w:r>
      <w:r w:rsidR="00C727E9">
        <w:t xml:space="preserve"> webapps</w:t>
      </w:r>
      <w:r>
        <w:t xml:space="preserve">, </w:t>
      </w:r>
      <w:r w:rsidR="00C727E9">
        <w:t>we install OIDC libraries into the app (examples are: Okta Auth SDK, IBM Auth SDK, Spring, etc..) to authenticate against an Auth Server, such as Okta.</w:t>
      </w:r>
    </w:p>
    <w:p w14:paraId="6DD9BB11" w14:textId="51735656" w:rsidR="003F0AE7" w:rsidRDefault="003F0AE7" w:rsidP="00697E31">
      <w:pPr>
        <w:pStyle w:val="ListParagraph"/>
        <w:numPr>
          <w:ilvl w:val="0"/>
          <w:numId w:val="1"/>
        </w:numPr>
        <w:ind w:left="2160"/>
      </w:pPr>
      <w:r>
        <w:t>For APIs, we put in an API gateway in between the calling application and the Auth Server. The API gateway will perform OIDC authentication against the Auth Server on behalf of the calling application.</w:t>
      </w:r>
    </w:p>
    <w:p w14:paraId="2FD144EB" w14:textId="0C487583" w:rsidR="00C727E9" w:rsidRDefault="00C727E9" w:rsidP="00697E31">
      <w:pPr>
        <w:pStyle w:val="ListParagraph"/>
        <w:numPr>
          <w:ilvl w:val="0"/>
          <w:numId w:val="1"/>
        </w:numPr>
        <w:ind w:left="2160"/>
      </w:pPr>
      <w:r>
        <w:t>For Mobile apps, we use OIDC / PKCE.</w:t>
      </w:r>
    </w:p>
    <w:p w14:paraId="58D0FCB0" w14:textId="5E91A3EF" w:rsidR="00C727E9" w:rsidRDefault="00C727E9" w:rsidP="00697E31">
      <w:pPr>
        <w:pStyle w:val="ListParagraph"/>
        <w:numPr>
          <w:ilvl w:val="0"/>
          <w:numId w:val="1"/>
        </w:numPr>
        <w:ind w:left="2160"/>
      </w:pPr>
      <w:r>
        <w:t>For SAAS apps, we use OIDC "Federation."  In Okta terms, this is considered  "social authentication."   If the SaaS app does not support OIDC, we can use SAML SSO.</w:t>
      </w:r>
    </w:p>
    <w:p w14:paraId="2316B4A7" w14:textId="77777777" w:rsidR="00B425C5" w:rsidRDefault="00B425C5" w:rsidP="00697E31">
      <w:pPr>
        <w:ind w:left="720"/>
      </w:pPr>
    </w:p>
    <w:p w14:paraId="3C0BDAE2" w14:textId="77777777" w:rsidR="00FD0F6C" w:rsidRDefault="00FD0F6C">
      <w:pPr>
        <w:rPr>
          <w:b/>
          <w:bCs/>
        </w:rPr>
      </w:pPr>
      <w:r>
        <w:rPr>
          <w:b/>
          <w:bCs/>
        </w:rPr>
        <w:br w:type="page"/>
      </w:r>
    </w:p>
    <w:p w14:paraId="36B811FC" w14:textId="4B920663" w:rsidR="00B425C5" w:rsidRPr="00B766F1" w:rsidRDefault="00EC62E2" w:rsidP="00697E31">
      <w:pPr>
        <w:ind w:left="720"/>
        <w:rPr>
          <w:b/>
          <w:bCs/>
        </w:rPr>
      </w:pPr>
      <w:r w:rsidRPr="00B766F1">
        <w:rPr>
          <w:b/>
          <w:bCs/>
        </w:rPr>
        <w:lastRenderedPageBreak/>
        <w:t>B</w:t>
      </w:r>
      <w:r w:rsidR="003F0AE7" w:rsidRPr="00B766F1">
        <w:rPr>
          <w:b/>
          <w:bCs/>
        </w:rPr>
        <w:t>. Legacy Apps</w:t>
      </w:r>
      <w:r w:rsidRPr="00B766F1">
        <w:rPr>
          <w:b/>
          <w:bCs/>
        </w:rPr>
        <w:t xml:space="preserve"> (non OIDC Apps)</w:t>
      </w:r>
    </w:p>
    <w:p w14:paraId="6E3D25CA" w14:textId="3117DF5A" w:rsidR="00EC62E2" w:rsidRDefault="003F0AE7" w:rsidP="00697E31">
      <w:pPr>
        <w:ind w:left="720"/>
      </w:pPr>
      <w:r>
        <w:t xml:space="preserve">For applications that cannot be migrated for various reasons, we </w:t>
      </w:r>
      <w:r w:rsidR="003C5FAF">
        <w:t xml:space="preserve">will </w:t>
      </w:r>
      <w:r>
        <w:t>use a gateway approach. For Okta, we use the Okta Access Gateway. The legacy app will be repointed to the OAG, which will perform</w:t>
      </w:r>
      <w:r w:rsidR="00EC62E2">
        <w:t xml:space="preserve"> authentication against the Auth Server (Okta instance).  Ping offers </w:t>
      </w:r>
      <w:r w:rsidR="00F3502F">
        <w:t>a simply access gateway product. For Azure Ad, there is no such product. In this case we can use the Big IP F5 APM module, which has similar functionality as OAG. A legacy app will point to the F5 APM which authenticates using SAML SSO against Azure AD.</w:t>
      </w:r>
    </w:p>
    <w:p w14:paraId="1C7F3E7E" w14:textId="7EDBF94E" w:rsidR="00314E38" w:rsidRDefault="00314E38" w:rsidP="00314E38">
      <w:pPr>
        <w:jc w:val="center"/>
      </w:pPr>
    </w:p>
    <w:p w14:paraId="558F9821" w14:textId="00CBFED0" w:rsidR="00314E38" w:rsidRDefault="00314E38"/>
    <w:p w14:paraId="4DC18BB3" w14:textId="65730AA9" w:rsidR="009812E8" w:rsidRDefault="009812E8" w:rsidP="00CA06B5">
      <w:pPr>
        <w:ind w:left="720"/>
      </w:pPr>
      <w:r>
        <w:t>(Why not put MFA elsewhere? Enabling MFA within an application will require that separate MFA software be used installed on each application.)</w:t>
      </w:r>
    </w:p>
    <w:p w14:paraId="24C09F5F" w14:textId="5CE8FFFC" w:rsidR="009812E8" w:rsidRDefault="009812E8" w:rsidP="00CA06B5">
      <w:pPr>
        <w:ind w:left="720"/>
      </w:pPr>
      <w:r>
        <w:t xml:space="preserve">(Which vendors can we use? There are many: Ping, Okta, WSO2, </w:t>
      </w:r>
      <w:r w:rsidR="00F84CC1">
        <w:t>etc. .</w:t>
      </w:r>
      <w:r>
        <w:t>)</w:t>
      </w:r>
    </w:p>
    <w:p w14:paraId="2CD38222" w14:textId="49342DD7" w:rsidR="00053C23" w:rsidRDefault="00053C23"/>
    <w:p w14:paraId="71CF62A0" w14:textId="43A87E03" w:rsidR="00053C23" w:rsidRPr="00FD0F6C" w:rsidRDefault="00053C23">
      <w:pPr>
        <w:rPr>
          <w:b/>
          <w:bCs/>
        </w:rPr>
      </w:pPr>
      <w:r w:rsidRPr="00FD0F6C">
        <w:rPr>
          <w:b/>
          <w:bCs/>
        </w:rPr>
        <w:t>III. Review with Graphics</w:t>
      </w:r>
    </w:p>
    <w:p w14:paraId="2D58434E" w14:textId="77777777" w:rsidR="00C8303E" w:rsidRDefault="00C8303E"/>
    <w:p w14:paraId="2441326C" w14:textId="2939E6CE" w:rsidR="00053C23" w:rsidRDefault="00053C23">
      <w:r>
        <w:t xml:space="preserve">A. In the most abstract fashion we </w:t>
      </w:r>
      <w:r w:rsidR="0029474A">
        <w:t>an Authorization Server that is used by Applications, which are OIDC Clients.</w:t>
      </w:r>
    </w:p>
    <w:p w14:paraId="09F83908" w14:textId="77777777" w:rsidR="00053C23" w:rsidRDefault="00053C23"/>
    <w:p w14:paraId="11DD8A70" w14:textId="2736F105" w:rsidR="00903C8D" w:rsidRDefault="0029474A" w:rsidP="00FD0F6C">
      <w:pPr>
        <w:ind w:left="3600"/>
      </w:pPr>
      <w:r>
        <w:object w:dxaOrig="2205" w:dyaOrig="2026" w14:anchorId="43E79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pt;height:101.25pt" o:ole="">
            <v:imagedata r:id="rId7" o:title=""/>
          </v:shape>
          <o:OLEObject Type="Embed" ProgID="Visio.Drawing.15" ShapeID="_x0000_i1025" DrawAspect="Content" ObjectID="_1699953973" r:id="rId8"/>
        </w:object>
      </w:r>
    </w:p>
    <w:p w14:paraId="65AB121E" w14:textId="72D7E6CC" w:rsidR="00F3502F" w:rsidRDefault="00F3502F"/>
    <w:p w14:paraId="79001D92" w14:textId="304BC6D5" w:rsidR="0029474A" w:rsidRDefault="0029474A">
      <w:r>
        <w:t>B. This can be expanded</w:t>
      </w:r>
      <w:r w:rsidR="00FD0F6C">
        <w:t xml:space="preserve">. </w:t>
      </w:r>
      <w:r>
        <w:t xml:space="preserve">These OIDC clients </w:t>
      </w:r>
      <w:r w:rsidR="00FD0F6C">
        <w:t>are</w:t>
      </w:r>
      <w:r>
        <w:t xml:space="preserve"> : Web Apps, Mobile Apps (PKCE),  </w:t>
      </w:r>
      <w:r w:rsidR="00357AB6">
        <w:t xml:space="preserve">the API Gateway, </w:t>
      </w:r>
      <w:r>
        <w:t>and Federated Apps</w:t>
      </w:r>
    </w:p>
    <w:p w14:paraId="63217937" w14:textId="1634198F" w:rsidR="0029474A" w:rsidRDefault="0029474A"/>
    <w:p w14:paraId="67C54FF9" w14:textId="43E6667F" w:rsidR="0029474A" w:rsidRDefault="00357AB6">
      <w:r>
        <w:object w:dxaOrig="8686" w:dyaOrig="2386" w14:anchorId="51444A62">
          <v:shape id="_x0000_i1029" type="#_x0000_t75" style="width:434.3pt;height:119.4pt" o:ole="">
            <v:imagedata r:id="rId9" o:title=""/>
          </v:shape>
          <o:OLEObject Type="Embed" ProgID="Visio.Drawing.15" ShapeID="_x0000_i1029" DrawAspect="Content" ObjectID="_1699953974" r:id="rId10"/>
        </w:object>
      </w:r>
    </w:p>
    <w:p w14:paraId="7930B83A" w14:textId="5D1887FF" w:rsidR="0029474A" w:rsidRDefault="0029474A"/>
    <w:p w14:paraId="326F763A" w14:textId="77777777" w:rsidR="00FD0F6C" w:rsidRDefault="00FD0F6C">
      <w:r>
        <w:br w:type="page"/>
      </w:r>
    </w:p>
    <w:p w14:paraId="11263674" w14:textId="5B84264F" w:rsidR="0029474A" w:rsidRDefault="0029474A">
      <w:r>
        <w:lastRenderedPageBreak/>
        <w:t xml:space="preserve">C. For legacy apps, we </w:t>
      </w:r>
      <w:r w:rsidR="00C8303E">
        <w:t>will</w:t>
      </w:r>
      <w:r>
        <w:t xml:space="preserve"> use the Okta Access Gateway</w:t>
      </w:r>
      <w:r w:rsidR="00C8303E">
        <w:t xml:space="preserve"> </w:t>
      </w:r>
      <w:r w:rsidR="00357AB6">
        <w:t xml:space="preserve">(which </w:t>
      </w:r>
      <w:r w:rsidR="00C8303E">
        <w:t>is also an OIDC Client</w:t>
      </w:r>
      <w:r w:rsidR="00623513">
        <w:t>.</w:t>
      </w:r>
      <w:r w:rsidR="00C8303E">
        <w:t>)</w:t>
      </w:r>
    </w:p>
    <w:p w14:paraId="539701E5" w14:textId="343D2448" w:rsidR="0029474A" w:rsidRDefault="0029474A"/>
    <w:p w14:paraId="28A5ADE2" w14:textId="3616D112" w:rsidR="00C8303E" w:rsidRDefault="00357AB6">
      <w:r>
        <w:object w:dxaOrig="13725" w:dyaOrig="3376" w14:anchorId="27FE3D1F">
          <v:shape id="_x0000_i1031" type="#_x0000_t75" style="width:467.3pt;height:114.75pt" o:ole="">
            <v:imagedata r:id="rId11" o:title=""/>
          </v:shape>
          <o:OLEObject Type="Embed" ProgID="Visio.Drawing.15" ShapeID="_x0000_i1031" DrawAspect="Content" ObjectID="_1699953975" r:id="rId12"/>
        </w:object>
      </w:r>
    </w:p>
    <w:p w14:paraId="498952DF" w14:textId="77777777" w:rsidR="00C8303E" w:rsidRDefault="00C8303E"/>
    <w:p w14:paraId="65A80B5E" w14:textId="77777777" w:rsidR="004D6E69" w:rsidRDefault="004D6E69"/>
    <w:sectPr w:rsidR="004D6E6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BD34" w14:textId="77777777" w:rsidR="005F59AF" w:rsidRDefault="005F59AF" w:rsidP="00623513">
      <w:pPr>
        <w:spacing w:line="240" w:lineRule="auto"/>
      </w:pPr>
      <w:r>
        <w:separator/>
      </w:r>
    </w:p>
  </w:endnote>
  <w:endnote w:type="continuationSeparator" w:id="0">
    <w:p w14:paraId="036FF8F6" w14:textId="77777777" w:rsidR="005F59AF" w:rsidRDefault="005F59AF" w:rsidP="00623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3482" w14:textId="77777777" w:rsidR="00623513" w:rsidRDefault="00623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FB21" w14:textId="77777777" w:rsidR="00623513" w:rsidRDefault="00623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33E7" w14:textId="77777777" w:rsidR="00623513" w:rsidRDefault="0062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FDBE" w14:textId="77777777" w:rsidR="005F59AF" w:rsidRDefault="005F59AF" w:rsidP="00623513">
      <w:pPr>
        <w:spacing w:line="240" w:lineRule="auto"/>
      </w:pPr>
      <w:r>
        <w:separator/>
      </w:r>
    </w:p>
  </w:footnote>
  <w:footnote w:type="continuationSeparator" w:id="0">
    <w:p w14:paraId="373C875D" w14:textId="77777777" w:rsidR="005F59AF" w:rsidRDefault="005F59AF" w:rsidP="00623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FA4" w14:textId="77777777" w:rsidR="00623513" w:rsidRDefault="00623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10292"/>
      <w:docPartObj>
        <w:docPartGallery w:val="Page Numbers (Top of Page)"/>
        <w:docPartUnique/>
      </w:docPartObj>
    </w:sdtPr>
    <w:sdtEndPr>
      <w:rPr>
        <w:noProof/>
      </w:rPr>
    </w:sdtEndPr>
    <w:sdtContent>
      <w:p w14:paraId="1740CA3C" w14:textId="79DFD7D6" w:rsidR="00623513" w:rsidRDefault="006235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CDE724" w14:textId="77777777" w:rsidR="00623513" w:rsidRDefault="006235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B022" w14:textId="77777777" w:rsidR="00623513" w:rsidRDefault="00623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50B5"/>
    <w:multiLevelType w:val="hybridMultilevel"/>
    <w:tmpl w:val="DE2C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12"/>
    <w:rsid w:val="00053C23"/>
    <w:rsid w:val="00103F45"/>
    <w:rsid w:val="001E5EA5"/>
    <w:rsid w:val="001F2E83"/>
    <w:rsid w:val="00214559"/>
    <w:rsid w:val="0029474A"/>
    <w:rsid w:val="00314E38"/>
    <w:rsid w:val="00357AB6"/>
    <w:rsid w:val="003C5FAF"/>
    <w:rsid w:val="003F0AE7"/>
    <w:rsid w:val="004D6E69"/>
    <w:rsid w:val="005F59AF"/>
    <w:rsid w:val="006028C8"/>
    <w:rsid w:val="00603C0C"/>
    <w:rsid w:val="00623513"/>
    <w:rsid w:val="00631674"/>
    <w:rsid w:val="00697E31"/>
    <w:rsid w:val="006F7712"/>
    <w:rsid w:val="007666E2"/>
    <w:rsid w:val="00832DFE"/>
    <w:rsid w:val="00836FD9"/>
    <w:rsid w:val="0087656A"/>
    <w:rsid w:val="0088432E"/>
    <w:rsid w:val="00903C8D"/>
    <w:rsid w:val="009308E9"/>
    <w:rsid w:val="0093773A"/>
    <w:rsid w:val="009812E8"/>
    <w:rsid w:val="00983930"/>
    <w:rsid w:val="009859C8"/>
    <w:rsid w:val="00B425C5"/>
    <w:rsid w:val="00B51BD7"/>
    <w:rsid w:val="00B766F1"/>
    <w:rsid w:val="00C727E9"/>
    <w:rsid w:val="00C8303E"/>
    <w:rsid w:val="00CA06B5"/>
    <w:rsid w:val="00CF62C4"/>
    <w:rsid w:val="00D32266"/>
    <w:rsid w:val="00D9777B"/>
    <w:rsid w:val="00EA6012"/>
    <w:rsid w:val="00EC62E2"/>
    <w:rsid w:val="00F3502F"/>
    <w:rsid w:val="00F8489F"/>
    <w:rsid w:val="00F84CC1"/>
    <w:rsid w:val="00FD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D224"/>
  <w15:chartTrackingRefBased/>
  <w15:docId w15:val="{6C170DEA-5031-4C1F-8F38-CF3B5D77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7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AE7"/>
    <w:pPr>
      <w:ind w:left="720"/>
      <w:contextualSpacing/>
    </w:pPr>
  </w:style>
  <w:style w:type="paragraph" w:styleId="Header">
    <w:name w:val="header"/>
    <w:basedOn w:val="Normal"/>
    <w:link w:val="HeaderChar"/>
    <w:uiPriority w:val="99"/>
    <w:unhideWhenUsed/>
    <w:rsid w:val="00623513"/>
    <w:pPr>
      <w:tabs>
        <w:tab w:val="center" w:pos="4680"/>
        <w:tab w:val="right" w:pos="9360"/>
      </w:tabs>
      <w:spacing w:line="240" w:lineRule="auto"/>
    </w:pPr>
  </w:style>
  <w:style w:type="character" w:customStyle="1" w:styleId="HeaderChar">
    <w:name w:val="Header Char"/>
    <w:basedOn w:val="DefaultParagraphFont"/>
    <w:link w:val="Header"/>
    <w:uiPriority w:val="99"/>
    <w:rsid w:val="00623513"/>
  </w:style>
  <w:style w:type="paragraph" w:styleId="Footer">
    <w:name w:val="footer"/>
    <w:basedOn w:val="Normal"/>
    <w:link w:val="FooterChar"/>
    <w:uiPriority w:val="99"/>
    <w:unhideWhenUsed/>
    <w:rsid w:val="00623513"/>
    <w:pPr>
      <w:tabs>
        <w:tab w:val="center" w:pos="4680"/>
        <w:tab w:val="right" w:pos="9360"/>
      </w:tabs>
      <w:spacing w:line="240" w:lineRule="auto"/>
    </w:pPr>
  </w:style>
  <w:style w:type="character" w:customStyle="1" w:styleId="FooterChar">
    <w:name w:val="Footer Char"/>
    <w:basedOn w:val="DefaultParagraphFont"/>
    <w:link w:val="Footer"/>
    <w:uiPriority w:val="99"/>
    <w:rsid w:val="0062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Tauk Chang</dc:creator>
  <cp:keywords/>
  <dc:description/>
  <cp:lastModifiedBy>Tauk Chang</cp:lastModifiedBy>
  <cp:revision>15</cp:revision>
  <dcterms:created xsi:type="dcterms:W3CDTF">2021-11-30T17:02:00Z</dcterms:created>
  <dcterms:modified xsi:type="dcterms:W3CDTF">2021-12-02T20:39:00Z</dcterms:modified>
</cp:coreProperties>
</file>