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31156" w14:textId="77777777" w:rsidR="001B41DA" w:rsidRDefault="00000000">
      <w:pPr>
        <w:pStyle w:val="Heading1"/>
      </w:pPr>
      <w:r>
        <w:t>Chapter 2: Trust as a Computational Problem</w:t>
      </w:r>
    </w:p>
    <w:p w14:paraId="478CCAFC" w14:textId="77777777" w:rsidR="001B41DA" w:rsidRDefault="00000000">
      <w:r>
        <w:rPr>
          <w:rFonts w:ascii="Times New Roman" w:hAnsi="Times New Roman"/>
        </w:rPr>
        <w:t>Before we can compute trust, we must define what it means. This chapter explores why trust in networks is fundamentally a mathematical problem of uncertainty and risk, establishing the theoretical and probabilistic language used throughout this thesis. It proceeds from foundational security principles, through the realities of heterogeneous enterprise networks, to the formal mathematical frameworks—probabilistic, deterministic, and hybrid—that underpin the Dynamic Context-Aware Trust Architecture (DCTA) developed in subsequent chapters.</w:t>
      </w:r>
    </w:p>
    <w:p w14:paraId="7F540EF8" w14:textId="77777777" w:rsidR="001B41DA" w:rsidRDefault="00000000">
      <w:pPr>
        <w:pStyle w:val="Heading2"/>
      </w:pPr>
      <w:r>
        <w:t>2.1 Introduction</w:t>
      </w:r>
    </w:p>
    <w:p w14:paraId="56CF2FBC" w14:textId="77777777" w:rsidR="001B41DA" w:rsidRDefault="00000000">
      <w:r>
        <w:rPr>
          <w:rFonts w:ascii="Times New Roman" w:hAnsi="Times New Roman"/>
        </w:rPr>
        <w:t>This chapter reviews the evolution of modern enterprise networks and the roles of different types of identities in user authentication and trust estimation to guide per-request access decisions. It examines heterogeneous network landscapes, the propagation of threats across their diverse components, and the inadequacy of static access controls. Building on these observations, the chapter formalizes trust as a computable, dynamic metric by introducing the probabilistic and subjective-logic frameworks that form the mathematical backbone of this thesis. The culmination is a research gap justifying the need for an adaptive, context-aware trust architecture and the conceptual framework for the testbed developed in subsequent chapters.</w:t>
      </w:r>
    </w:p>
    <w:p w14:paraId="65673203" w14:textId="77777777" w:rsidR="001B41DA" w:rsidRDefault="00000000">
      <w:pPr>
        <w:pStyle w:val="Heading2"/>
      </w:pPr>
      <w:r>
        <w:t>2.2 Theoretical Framework: Underlying Security Principles</w:t>
      </w:r>
    </w:p>
    <w:p w14:paraId="42F67A73" w14:textId="77777777" w:rsidR="001B41DA" w:rsidRDefault="00000000">
      <w:r>
        <w:rPr>
          <w:rFonts w:ascii="Times New Roman" w:hAnsi="Times New Roman"/>
        </w:rPr>
        <w:t>The architectural realization of Zero Trust is theoretically anchored in foundational cybersecurity principles. Historically, network engineering favored an 'allow-by-default' topology to prioritize seamless connectivity and availability. Security practitioners were forced to construct extensive blacklists, firewalls, and intrusion detection systems in an attempt to identify and block malicious anomalies on an already open network. The contemporary 'deny-first' paradigm fundamentally inverts this operational logic, and it is operationalized through four classical principles:</w:t>
      </w:r>
    </w:p>
    <w:p w14:paraId="04C4740F" w14:textId="77777777" w:rsidR="001B41DA" w:rsidRDefault="00000000">
      <w:pPr>
        <w:pStyle w:val="Heading3"/>
      </w:pPr>
      <w:r>
        <w:t>2.2.1 Principle of Fail-Safe Defaults</w:t>
      </w:r>
    </w:p>
    <w:p w14:paraId="7FA51499" w14:textId="77777777" w:rsidR="001B41DA" w:rsidRDefault="00000000">
      <w:r>
        <w:rPr>
          <w:rFonts w:ascii="Times New Roman" w:hAnsi="Times New Roman"/>
        </w:rPr>
        <w:t>Unless a subject is given explicit access to an object, it should be denied access to that object. The default access to an object is none. Whenever access, privileges, or some security-related attribute is not explicitly granted, it should be denied. Moreover, if the subject is unable to complete its action or task, it should undo those changes it made in the security state of the system before it terminates. This way, even if the program fails, the system is still safe (Stallings &amp; Brown, 2018).</w:t>
      </w:r>
    </w:p>
    <w:p w14:paraId="7B1437C6" w14:textId="77777777" w:rsidR="001B41DA" w:rsidRDefault="00000000">
      <w:r>
        <w:rPr>
          <w:rFonts w:ascii="Times New Roman" w:hAnsi="Times New Roman"/>
        </w:rPr>
        <w:t>The fail-safe default fundamentally inverts the traditional 'allow-by-default' operational logic. Under this principle, a system mathematically defaults to a secure, restrictive, offline state; it denies all environmental visibility and access unless explicit, cryptographically sound authorization is presented and actively maintained (Turner &amp; O'Connor, 2024). Recent theoretical literature highlights that this 'deny-first' approach is the granular, operative mechanism that makes Zero Trust functional across highly complex, cloud-native frameworks and autonomous agentic communication systems (Davidson, 2025; Turner &amp; O'Connor, 2024).</w:t>
      </w:r>
    </w:p>
    <w:p w14:paraId="51ACB36B" w14:textId="77777777" w:rsidR="001B41DA" w:rsidRDefault="00000000">
      <w:r>
        <w:rPr>
          <w:rFonts w:ascii="Times New Roman" w:hAnsi="Times New Roman"/>
        </w:rPr>
        <w:t xml:space="preserve">When an entity attempts to access a resource under ZTA, it is treated as inherently hostile, embodying the 'assume breach' mentality. By defaulting to denial, the architecture proactively </w:t>
      </w:r>
      <w:r>
        <w:rPr>
          <w:rFonts w:ascii="Times New Roman" w:hAnsi="Times New Roman"/>
        </w:rPr>
        <w:lastRenderedPageBreak/>
        <w:t>limits initial exposure and neutralizes lateral attack surfaces. Critically, if an authentication service crashes, a software agent encounters an operational exception, or a device's telemetry feed goes silent, a fail-safe system does not fail 'open' to preserve business continuity; it fails securely by instantly revoking the network entitlement (Davidson, 2025). Ultimately, fail-safe defaults represent the tactical, mechanical implementation of trust denial, while Zero Trust serves as the overarching strategic framework governing its enterprise-wide application.</w:t>
      </w:r>
    </w:p>
    <w:p w14:paraId="696BFFE3" w14:textId="77777777" w:rsidR="001B41DA" w:rsidRDefault="00000000">
      <w:pPr>
        <w:jc w:val="center"/>
      </w:pPr>
      <w:r>
        <w:rPr>
          <w:noProof/>
        </w:rPr>
        <w:drawing>
          <wp:inline distT="0" distB="0" distL="0" distR="0" wp14:anchorId="509244B7" wp14:editId="16631380">
            <wp:extent cx="2467778" cy="2254105"/>
            <wp:effectExtent l="12700" t="12700" r="8890" b="6985"/>
            <wp:docPr id="1060844456" name="Picture 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Diagram"/>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476003" cy="2261618"/>
                    </a:xfrm>
                    <a:prstGeom prst="rect">
                      <a:avLst/>
                    </a:prstGeom>
                    <a:noFill/>
                    <a:ln>
                      <a:solidFill>
                        <a:sysClr val="window" lastClr="FFFFFF">
                          <a:lumMod val="75000"/>
                        </a:sysClr>
                      </a:solidFill>
                    </a:ln>
                  </pic:spPr>
                </pic:pic>
              </a:graphicData>
            </a:graphic>
          </wp:inline>
        </w:drawing>
      </w:r>
    </w:p>
    <w:p w14:paraId="6F449682" w14:textId="77777777" w:rsidR="001B41DA" w:rsidRDefault="00000000">
      <w:pPr>
        <w:jc w:val="center"/>
      </w:pPr>
      <w:r>
        <w:rPr>
          <w:rFonts w:ascii="Times New Roman" w:hAnsi="Times New Roman"/>
          <w:i/>
          <w:sz w:val="20"/>
        </w:rPr>
        <w:t>Figure 2.1: The divergence between Fail Open and Fail-Safe architectures during system exceptions.</w:t>
      </w:r>
    </w:p>
    <w:p w14:paraId="354EDA69" w14:textId="77777777" w:rsidR="001B41DA" w:rsidRDefault="00000000">
      <w:pPr>
        <w:pStyle w:val="Heading3"/>
      </w:pPr>
      <w:r>
        <w:t>2.2.2 Principle of Least Privilege</w:t>
      </w:r>
    </w:p>
    <w:p w14:paraId="2D1DB840" w14:textId="77777777" w:rsidR="001B41DA" w:rsidRDefault="00000000">
      <w:r>
        <w:rPr>
          <w:rFonts w:ascii="Times New Roman" w:hAnsi="Times New Roman"/>
        </w:rPr>
        <w:t>This is a well-known security practice to reduce the risk of credential theft or data misuse and leakage. It ensures that users and applications only have the minimum privileges needed to perform their intended tasks. Although least privilege is regarded as an important practice, discovering the least-privileged set is an error-prone and burdensome task because the process tends to be trial and error. The permissions should be limited to reduce security risks, but insufficient permissions cannot satisfy a system's requirements (Shimizu &amp; Kanuka, 2020; Wu &amp; Feng, 2021). This principle thus defines a rule of thumb for the default permissions and trust levels for users accessing resources within an enterprise.</w:t>
      </w:r>
    </w:p>
    <w:p w14:paraId="68323B60" w14:textId="77777777" w:rsidR="001B41DA" w:rsidRDefault="00000000">
      <w:pPr>
        <w:pStyle w:val="Heading3"/>
      </w:pPr>
      <w:r>
        <w:t>2.2.3 Principle of Complete Mediation</w:t>
      </w:r>
    </w:p>
    <w:p w14:paraId="6A1CC0B1" w14:textId="77777777" w:rsidR="001B41DA" w:rsidRDefault="00000000">
      <w:r>
        <w:rPr>
          <w:rFonts w:ascii="Times New Roman" w:hAnsi="Times New Roman"/>
        </w:rPr>
        <w:t>The principle of complete mediation requires that all accesses to objects be checked to ensure that they are allowed. Whenever a subject attempts to read an object, the system should mediate the action. First, it determines if the subject is allowed to read the object. If so, it provides the resources for the read to occur. If the subject tries to read the object again, the system should check that the subject is still allowed to read the object. This ensures that checks are always performed before access requests are granted, guaranteeing that security checks are performed before and not after transactions have been made. It thus becomes a prevention principle and not an audit mechanism.</w:t>
      </w:r>
    </w:p>
    <w:p w14:paraId="6C1938F0" w14:textId="77777777" w:rsidR="001B41DA" w:rsidRDefault="00000000">
      <w:pPr>
        <w:pStyle w:val="Heading3"/>
      </w:pPr>
      <w:r>
        <w:t>2.2.4 Principle of Separation of Privileges</w:t>
      </w:r>
    </w:p>
    <w:p w14:paraId="1EAA4BF2" w14:textId="77777777" w:rsidR="001B41DA" w:rsidRDefault="00000000">
      <w:r>
        <w:rPr>
          <w:rFonts w:ascii="Times New Roman" w:hAnsi="Times New Roman"/>
        </w:rPr>
        <w:t xml:space="preserve">Separation of privileges requires that multiple privilege attributes are required to achieve access to a restricted resource. It ensures that a system should not grant permission based on a single </w:t>
      </w:r>
      <w:r>
        <w:rPr>
          <w:rFonts w:ascii="Times New Roman" w:hAnsi="Times New Roman"/>
        </w:rPr>
        <w:lastRenderedPageBreak/>
        <w:t>condition. A good example is multifactor user authentication, which requires the use of multiple techniques, such as a password and a smart card, to authorize a user. The term is also now applied to any technique in which a program or data is divided into parts that are limited to the specific privileges they require to perform a specific task (Stallings &amp; Brown, 2018).</w:t>
      </w:r>
    </w:p>
    <w:p w14:paraId="06304707" w14:textId="77777777" w:rsidR="001B41DA" w:rsidRDefault="00000000">
      <w:pPr>
        <w:pStyle w:val="Heading2"/>
      </w:pPr>
      <w:r>
        <w:t>2.3 Heterogeneous Enterprise Network Landscape</w:t>
      </w:r>
    </w:p>
    <w:p w14:paraId="05218F4B" w14:textId="77777777" w:rsidR="001B41DA" w:rsidRDefault="00000000">
      <w:r>
        <w:rPr>
          <w:rFonts w:ascii="Times New Roman" w:hAnsi="Times New Roman"/>
        </w:rPr>
        <w:t>In recent years there has been a dramatic evolution and proliferation of technology in daily life. The number of smartphones, mobile-connected wireless devices, social networks, and sensors has grown substantially due to the emergence of the Internet of Things (IoT) (Moubayed et al., 2019). These developments have facilitated more pervasive and ubiquitous computing, resulting in transformative change in enterprise computing over the last two decades with the appearance of new approaches such as cloud and edge computing, the Industrial Internet of Things (IIoT), and computing on demand. These environments are characterized by distributed interactions on a scale not seen heretofore, with attendant high levels of complexity, dynamicity, mobility, heterogeneity, and uncertainty (Vanickis et al., 2018).</w:t>
      </w:r>
    </w:p>
    <w:p w14:paraId="7382E91D" w14:textId="77777777" w:rsidR="001B41DA" w:rsidRDefault="00000000">
      <w:r>
        <w:rPr>
          <w:rFonts w:ascii="Times New Roman" w:hAnsi="Times New Roman"/>
        </w:rPr>
        <w:t>This complexity has been further compounded by the multiplicity of telecommunication transmission and media access, reflected by the coexistence of optical fiber communications, power line communication, wireless local access networks, wireless sensor networks, public networks (GPRS/CDMA, 3G, 230MHz), and cable/wireless systems — with different and supplementary coverage areas, multiple heterogeneous communication systems, wide concurrent access requirements, and changeable, rough communication environments (Guo &amp; Ren, 2015). Many different types of network communication have emerged, from asynchronous store-and-forward networks such as email to synchronous real-time voice communication. Either way, devices and their heterogeneous networks are getting more pervasive. They all have in common that their communication should be secured to protect confidential data (Schürmann, 2017; Das &amp; Debnath, 2020).</w:t>
      </w:r>
    </w:p>
    <w:p w14:paraId="0035F892" w14:textId="77777777" w:rsidR="001B41DA" w:rsidRDefault="00000000">
      <w:pPr>
        <w:jc w:val="center"/>
      </w:pPr>
      <w:r>
        <w:rPr>
          <w:noProof/>
        </w:rPr>
        <w:drawing>
          <wp:inline distT="0" distB="0" distL="0" distR="0" wp14:anchorId="71EFC201" wp14:editId="15F29C86">
            <wp:extent cx="4902200" cy="2698927"/>
            <wp:effectExtent l="12700" t="12700" r="12700" b="19050"/>
            <wp:docPr id="1887865411"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5871" name="Picture 4" descr="A diagram of a network&#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4928484" cy="2713398"/>
                    </a:xfrm>
                    <a:prstGeom prst="rect">
                      <a:avLst/>
                    </a:prstGeom>
                    <a:ln>
                      <a:solidFill>
                        <a:sysClr val="window" lastClr="FFFFFF">
                          <a:lumMod val="65000"/>
                        </a:sysClr>
                      </a:solidFill>
                    </a:ln>
                  </pic:spPr>
                </pic:pic>
              </a:graphicData>
            </a:graphic>
          </wp:inline>
        </w:drawing>
      </w:r>
    </w:p>
    <w:p w14:paraId="318DB668" w14:textId="77777777" w:rsidR="001B41DA" w:rsidRDefault="00000000">
      <w:pPr>
        <w:jc w:val="center"/>
      </w:pPr>
      <w:r>
        <w:rPr>
          <w:rFonts w:ascii="Times New Roman" w:hAnsi="Times New Roman"/>
          <w:i/>
          <w:sz w:val="20"/>
        </w:rPr>
        <w:t>Figure 2.2: Evolution Timeline for Heterogeneous Networks</w:t>
      </w:r>
    </w:p>
    <w:p w14:paraId="249B848F" w14:textId="77777777" w:rsidR="001B41DA" w:rsidRDefault="00000000">
      <w:r>
        <w:rPr>
          <w:rFonts w:ascii="Times New Roman" w:hAnsi="Times New Roman"/>
        </w:rPr>
        <w:lastRenderedPageBreak/>
        <w:t>Additionally, emerging networks such as 4G and 5G systems, as well as other phenomena such as BYOD and teleworking, have resulted in complexities to enable elements such as mobility, virtualized infrastructures, dynamic and heterogeneous user contexts, and transaction-based interactions. The uncertainty introduced by such dynamicity motivates the need for risk-based access control decision making (Vanickis et al., 2018).</w:t>
      </w:r>
    </w:p>
    <w:p w14:paraId="7D391C77" w14:textId="77777777" w:rsidR="001B41DA" w:rsidRDefault="00000000">
      <w:pPr>
        <w:jc w:val="center"/>
      </w:pPr>
      <w:r>
        <w:rPr>
          <w:noProof/>
        </w:rPr>
        <w:drawing>
          <wp:inline distT="0" distB="0" distL="0" distR="0" wp14:anchorId="176B7369" wp14:editId="10373580">
            <wp:extent cx="4902200" cy="3457083"/>
            <wp:effectExtent l="12700" t="12700" r="12700" b="10160"/>
            <wp:docPr id="583846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2148" name="Picture 1320222148"/>
                    <pic:cNvPicPr/>
                  </pic:nvPicPr>
                  <pic:blipFill>
                    <a:blip cstate="print">
                      <a:extLst>
                        <a:ext uri="{28A0092B-C50C-407E-A947-70E740481C1C}">
                          <a14:useLocalDpi xmlns:a14="http://schemas.microsoft.com/office/drawing/2010/main" val="0"/>
                        </a:ext>
                      </a:extLst>
                    </a:blip>
                    <a:stretch>
                      <a:fillRect/>
                    </a:stretch>
                  </pic:blipFill>
                  <pic:spPr>
                    <a:xfrm>
                      <a:off x="0" y="0"/>
                      <a:ext cx="4928603" cy="3475703"/>
                    </a:xfrm>
                    <a:prstGeom prst="rect">
                      <a:avLst/>
                    </a:prstGeom>
                    <a:ln>
                      <a:solidFill>
                        <a:sysClr val="window" lastClr="FFFFFF">
                          <a:lumMod val="65000"/>
                        </a:sysClr>
                      </a:solidFill>
                    </a:ln>
                  </pic:spPr>
                </pic:pic>
              </a:graphicData>
            </a:graphic>
          </wp:inline>
        </w:drawing>
      </w:r>
    </w:p>
    <w:p w14:paraId="1305FC1E" w14:textId="77777777" w:rsidR="001B41DA" w:rsidRDefault="00000000">
      <w:pPr>
        <w:jc w:val="center"/>
      </w:pPr>
      <w:r>
        <w:rPr>
          <w:rFonts w:ascii="Times New Roman" w:hAnsi="Times New Roman"/>
          <w:i/>
          <w:sz w:val="20"/>
        </w:rPr>
        <w:t>Figure 2.3: Structure of Integrated Heterogeneous Networks</w:t>
      </w:r>
    </w:p>
    <w:p w14:paraId="67A5BA2D" w14:textId="77777777" w:rsidR="001B41DA" w:rsidRDefault="00000000">
      <w:r>
        <w:rPr>
          <w:rFonts w:ascii="Times New Roman" w:hAnsi="Times New Roman"/>
        </w:rPr>
        <w:t>It is therefore apparent that most enterprise networks today are inherently heterogeneous, comprising devices, protocols, services, and architectures with varying characteristics. This heterogeneity stems from diverse devices including IoT sensors, mobile devices, legacy systems, cloud servers, and edge nodes with differing computational and security capabilities. Variations in communication protocols (TCP/IP, Zigbee, MQTT, Bluetooth) lead to fragmented security implementations and extended attack surfaces. There is also significant adoption of elastic, off-premise cloud infrastructure, which further compounds the heterogeneity and creates interoperability challenges with legacy systems that are often unpatched or lacking modern security features. The dynamicity and mobility of most devices also introduce frequently changing contexts, metadata, and anchor points as devices transition between edge networks, local infrastructure, and the cloud. The diversity of these heterogeneous environments creates significant challenges for managing trust, enforcing consistent security policies, and ensuring seamless interoperability.</w:t>
      </w:r>
    </w:p>
    <w:p w14:paraId="5BE441CA" w14:textId="77777777" w:rsidR="001B41DA" w:rsidRDefault="00000000">
      <w:r>
        <w:rPr>
          <w:rFonts w:ascii="Times New Roman" w:hAnsi="Times New Roman"/>
        </w:rPr>
        <w:t xml:space="preserve">To handle the increasing number of devices, technologies, and paradigms, risk-based access control to resources needs to be dynamic and context-aware in order to consider the variants of resources available in enterprise networks. Moubayed et al. (2019) hinted at an amalgamation of technologies and paradigms such as zero trust, cloud computing, software-defined networking </w:t>
      </w:r>
      <w:r>
        <w:rPr>
          <w:rFonts w:ascii="Times New Roman" w:hAnsi="Times New Roman"/>
        </w:rPr>
        <w:lastRenderedPageBreak/>
        <w:t>(SDN), and network function virtualization (NFV) for better security in such heterogeneous environments.</w:t>
      </w:r>
    </w:p>
    <w:p w14:paraId="5EBCBC5F" w14:textId="77777777" w:rsidR="001B41DA" w:rsidRDefault="00000000">
      <w:pPr>
        <w:pStyle w:val="Heading3"/>
      </w:pPr>
      <w:r>
        <w:t>2.3.1 Malware and Misuse Propagation in Heterogeneous Networks</w:t>
      </w:r>
    </w:p>
    <w:p w14:paraId="09936820" w14:textId="77777777" w:rsidR="001B41DA" w:rsidRDefault="00000000">
      <w:r>
        <w:rPr>
          <w:rFonts w:ascii="Times New Roman" w:hAnsi="Times New Roman"/>
        </w:rPr>
        <w:t>With the permeation of heterogeneous enterprise networks — their diverse components including wireless systems, IoT devices, legacy systems, virtualized nodes, cloud platforms, and edge nodes — there is a complex and dynamic attack surface that can be exploited for resource misuse or system intrusions (Vanickis et al., 2018). Intrusions and misuse incidents often arise due to inadvertent challenges and deliberate exploitations revolving around user, application, and physical attack surfaces. Layered attacks including insider and outsider attacks are illustrative examples. Authorized internal users with knowledge of system functionalities may misuse their access privileges and originate attacks resulting in data leaks or unauthorized modification of data resources or metadata such as configurations. External attackers mostly target poorly secured IoT devices, legacy systems, or inconsistencies in patches to gain unauthorized access (Li et al., 2019; Ferraris et al., 2023).</w:t>
      </w:r>
    </w:p>
    <w:p w14:paraId="770E3E68" w14:textId="77777777" w:rsidR="001B41DA" w:rsidRDefault="00000000">
      <w:r>
        <w:rPr>
          <w:rFonts w:ascii="Times New Roman" w:hAnsi="Times New Roman"/>
        </w:rPr>
        <w:t>Furthermore, the presence of powerful and distributed nodes from the IoT domain and embedded systems introduces additional attack vectors. Malware, phishing, and DoS vectors disproportionately exploit their inherently weak security mechanisms and unchecked trust relationships between nodes. This asymmetry can eventually overwhelm the defense mechanisms of more secure and trusted network domains and segments (Wang et al., 2018; Rehman et al., 2022).</w:t>
      </w:r>
    </w:p>
    <w:p w14:paraId="787D111E" w14:textId="77777777" w:rsidR="001B41DA" w:rsidRDefault="00000000">
      <w:r>
        <w:rPr>
          <w:rFonts w:ascii="Times New Roman" w:hAnsi="Times New Roman"/>
        </w:rPr>
        <w:t>With the permeation and adoption of heterogeneity, both the number and severity of cybersecurity incidents have grown dramatically. The 2016 attack on the global financial messaging network SWIFT resulted in over $80 million in losses to financial institutions in Asia. The Mirai botnet, harnessing security cameras, baby monitors, home appliances, and other IoT devices, disrupted DNS servers at the service provider Dyn, affecting millions of users on Twitter, Amazon, Spotify, Netflix, Tumblr, and Reddit (Eidle et al., 2018). The dramatic escalation in both the number and sophistication of security attacks will continue to grow, further exposing traditional defense methods as inadequate and reactive to these vulnerabilities (Sheikh et al., 2021; Vanickis et al., 2018).</w:t>
      </w:r>
    </w:p>
    <w:p w14:paraId="7106971E" w14:textId="77777777" w:rsidR="001B41DA" w:rsidRDefault="00000000">
      <w:pPr>
        <w:jc w:val="center"/>
      </w:pPr>
      <w:r>
        <w:rPr>
          <w:noProof/>
        </w:rPr>
        <w:drawing>
          <wp:inline distT="0" distB="0" distL="0" distR="0" wp14:anchorId="310C2560" wp14:editId="3A029E5B">
            <wp:extent cx="5871268" cy="2321169"/>
            <wp:effectExtent l="12700" t="12700" r="8890" b="1587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a:stretch>
                      <a:fillRect/>
                    </a:stretch>
                  </pic:blipFill>
                  <pic:spPr>
                    <a:xfrm>
                      <a:off x="0" y="0"/>
                      <a:ext cx="5933264" cy="2345679"/>
                    </a:xfrm>
                    <a:prstGeom prst="rect">
                      <a:avLst/>
                    </a:prstGeom>
                    <a:ln>
                      <a:solidFill>
                        <a:sysClr val="window" lastClr="FFFFFF">
                          <a:lumMod val="75000"/>
                        </a:sysClr>
                      </a:solidFill>
                    </a:ln>
                  </pic:spPr>
                </pic:pic>
              </a:graphicData>
            </a:graphic>
          </wp:inline>
        </w:drawing>
      </w:r>
    </w:p>
    <w:p w14:paraId="24E05768" w14:textId="77777777" w:rsidR="001B41DA" w:rsidRDefault="00000000">
      <w:pPr>
        <w:jc w:val="center"/>
      </w:pPr>
      <w:r>
        <w:rPr>
          <w:rFonts w:ascii="Times New Roman" w:hAnsi="Times New Roman"/>
          <w:i/>
          <w:sz w:val="20"/>
        </w:rPr>
        <w:lastRenderedPageBreak/>
        <w:t>Figure 2.4: Modern Network Challenges Addressed by Zero Trust (from: Moubayed et al., 2019)</w:t>
      </w:r>
    </w:p>
    <w:p w14:paraId="4D85EDD9" w14:textId="77777777" w:rsidR="001B41DA" w:rsidRDefault="00000000">
      <w:r>
        <w:rPr>
          <w:rFonts w:ascii="Times New Roman" w:hAnsi="Times New Roman"/>
        </w:rPr>
        <w:t>Even more concerning, the cyber-defense capabilities of many organizations are already stretched to their limits. According to the 2017 Security Capabilities Benchmark Study, most organizations can only investigate about half of the alerts they receive on any given day, partially due to 44% of security operations managers receiving over 5,000 security alerts per day. Less than half (about 46%) of legitimate security alerts are addressed, while the remainder are left uninvestigated. There is a corresponding need to improve both efficiency and response time; automated systems are strong candidates for this approach (Eidle et al., 2018).</w:t>
      </w:r>
    </w:p>
    <w:p w14:paraId="26027919" w14:textId="77777777" w:rsidR="001B41DA" w:rsidRDefault="00000000">
      <w:r>
        <w:rPr>
          <w:rFonts w:ascii="Times New Roman" w:hAnsi="Times New Roman"/>
        </w:rPr>
        <w:t>Since almost every network user possesses several types of communication devices that are used in different locations, under different environmental conditions, situations, and time frames, heterogeneous networks allow for different routes and methods of malware propagation. General paths of malware and misuse propagation in heterogeneous networks include:</w:t>
      </w:r>
    </w:p>
    <w:p w14:paraId="47EC70B3" w14:textId="77777777" w:rsidR="001B41DA" w:rsidRDefault="00000000">
      <w:pPr>
        <w:pStyle w:val="ListBullet"/>
      </w:pPr>
      <w:r>
        <w:rPr>
          <w:rFonts w:ascii="Times New Roman" w:hAnsi="Times New Roman"/>
        </w:rPr>
        <w:t>Compromised device subjected to device-to-device synchronization by user, leading to the compromise of other devices of the user.</w:t>
      </w:r>
    </w:p>
    <w:p w14:paraId="54AC5AD8" w14:textId="77777777" w:rsidR="001B41DA" w:rsidRDefault="00000000">
      <w:pPr>
        <w:pStyle w:val="ListBullet"/>
      </w:pPr>
      <w:r>
        <w:rPr>
          <w:rFonts w:ascii="Times New Roman" w:hAnsi="Times New Roman"/>
        </w:rPr>
        <w:t>Common application software on different devices of the same user; first device is compromised, then device-to-device synchronization leads to compromise of other devices.</w:t>
      </w:r>
    </w:p>
    <w:p w14:paraId="7325E5CF" w14:textId="77777777" w:rsidR="001B41DA" w:rsidRDefault="00000000">
      <w:pPr>
        <w:pStyle w:val="ListBullet"/>
      </w:pPr>
      <w:r>
        <w:rPr>
          <w:rFonts w:ascii="Times New Roman" w:hAnsi="Times New Roman"/>
        </w:rPr>
        <w:t>Network users share software; software compromised based on user-to-user propagation or device-to-device synchronization leading to other devices being compromised.</w:t>
      </w:r>
    </w:p>
    <w:p w14:paraId="0FEE3222" w14:textId="77777777" w:rsidR="001B41DA" w:rsidRDefault="00000000">
      <w:pPr>
        <w:pStyle w:val="ListBullet"/>
      </w:pPr>
      <w:r>
        <w:rPr>
          <w:rFonts w:ascii="Times New Roman" w:hAnsi="Times New Roman"/>
        </w:rPr>
        <w:t>Device of one user compromised by malware via email/download/link; the user synchronizes other devices, leading to their compromise.</w:t>
      </w:r>
    </w:p>
    <w:p w14:paraId="4006069D" w14:textId="77777777" w:rsidR="001B41DA" w:rsidRDefault="00000000">
      <w:pPr>
        <w:pStyle w:val="ListBullet"/>
      </w:pPr>
      <w:r>
        <w:rPr>
          <w:rFonts w:ascii="Times New Roman" w:hAnsi="Times New Roman"/>
        </w:rPr>
        <w:t>Device of one user compromised by malware via email/download/link; the user/device sends email or shares the link with other users whose devices become compromised.</w:t>
      </w:r>
    </w:p>
    <w:p w14:paraId="42387AB8" w14:textId="77777777" w:rsidR="001B41DA" w:rsidRDefault="00000000">
      <w:pPr>
        <w:pStyle w:val="ListBullet"/>
      </w:pPr>
      <w:r>
        <w:rPr>
          <w:rFonts w:ascii="Times New Roman" w:hAnsi="Times New Roman"/>
        </w:rPr>
        <w:t>Smartphone malware propagates via random dialling or using the identities in the address book.</w:t>
      </w:r>
    </w:p>
    <w:p w14:paraId="0BC8BBD7" w14:textId="77777777" w:rsidR="001B41DA" w:rsidRDefault="00000000">
      <w:pPr>
        <w:pStyle w:val="ListBullet"/>
      </w:pPr>
      <w:r>
        <w:rPr>
          <w:rFonts w:ascii="Times New Roman" w:hAnsi="Times New Roman"/>
        </w:rPr>
        <w:t>Malware-compromised device propagates via Bluetooth or wireless, compromising other devices (Alexeev et al., 2016).</w:t>
      </w:r>
    </w:p>
    <w:p w14:paraId="2EDAD629" w14:textId="77777777" w:rsidR="001B41DA" w:rsidRDefault="00000000">
      <w:r>
        <w:rPr>
          <w:rFonts w:ascii="Times New Roman" w:hAnsi="Times New Roman"/>
        </w:rPr>
        <w:t>These incidents have highlighted challenges in dynamicity, context awareness, robustness, privacy preservation, and explainability of trust evaluation. Wang et al. (2022) argue that although several works address trust issues in the context of heterogeneous nodes with diverse capabilities, very few focus on trust issues arising from heterogeneous architectures, networking technologies, and protocols. The need for service management and integration, maintaining QoS, and supporting mobility and roaming means this poses challenges in future integrated heterogeneous networks due to differences in security requirements. This makes it very difficult to evaluate, transfer, and maintain trust among different devices, protocols, architectures, and network operators. This calls for a context-aware trust model that can adapt itself in different contexts based on contextual information including device types, network types, and security requirements.</w:t>
      </w:r>
    </w:p>
    <w:p w14:paraId="1C56BF6F" w14:textId="77777777" w:rsidR="001B41DA" w:rsidRDefault="00000000">
      <w:pPr>
        <w:pStyle w:val="Heading3"/>
      </w:pPr>
      <w:r>
        <w:t>2.3.2 The Need for Dynamic Access Control</w:t>
      </w:r>
    </w:p>
    <w:p w14:paraId="46FAC550" w14:textId="77777777" w:rsidR="001B41DA" w:rsidRDefault="00000000">
      <w:r>
        <w:rPr>
          <w:rFonts w:ascii="Times New Roman" w:hAnsi="Times New Roman"/>
        </w:rPr>
        <w:t xml:space="preserve">Static role-based access control (RBAC) mechanisms traditionally used in enterprise networks are insufficient to handle the trust-related misuse and intrusions posed by heterogeneous </w:t>
      </w:r>
      <w:r>
        <w:rPr>
          <w:rFonts w:ascii="Times New Roman" w:hAnsi="Times New Roman"/>
        </w:rPr>
        <w:lastRenderedPageBreak/>
        <w:t>environments. The need for dynamic access control arises due to several factors: (i) dynamic contexts resulting from devices, data, users, and applications frequently changing states, requiring real-time adaptation; (ii) an increased attack surface because the diversity of components and their interactions exposes more vulnerabilities; (iii) the need to stop attacks in real-time and reduce impact by immediately adjusting access policies based on risk assessments; (iv) computational overhead constraints, as dynamic mechanisms must remain lightweight for resource-constrained devices; and (v) adherence to Zero Trust principles where access is continuously verified and never assumed, necessitating context-aware, real-time policy enforcement. Dynamic access control ensures that access decisions are context-aware, risk-sensitive, and responsive to the evolving network conditions.</w:t>
      </w:r>
    </w:p>
    <w:p w14:paraId="1D706C8D" w14:textId="77777777" w:rsidR="001B41DA" w:rsidRDefault="00000000">
      <w:pPr>
        <w:pStyle w:val="Heading2"/>
      </w:pPr>
      <w:r>
        <w:t>2.4 Context-Aware Access Control in Heterogeneous Networks</w:t>
      </w:r>
    </w:p>
    <w:p w14:paraId="7D011291" w14:textId="77777777" w:rsidR="001B41DA" w:rsidRDefault="00000000">
      <w:r>
        <w:rPr>
          <w:rFonts w:ascii="Times New Roman" w:hAnsi="Times New Roman"/>
        </w:rPr>
        <w:t>Context-aware access control introduces situational awareness into access decisions by evaluating contextual parameters beyond static roles and identities. The basis for these contexts is the Zero Trust pillars of data, device, network, application, and user trust. The possible identities considered for each pillar are highlighted in Table 2.1. Contexts in heterogeneous networks are therefore considered on the following dimensions based on ZT pillars:</w:t>
      </w:r>
    </w:p>
    <w:p w14:paraId="2D325178" w14:textId="77777777" w:rsidR="001B41DA" w:rsidRDefault="00000000">
      <w:pPr>
        <w:pStyle w:val="ListBullet"/>
      </w:pPr>
      <w:r>
        <w:rPr>
          <w:rFonts w:ascii="Times New Roman" w:hAnsi="Times New Roman"/>
        </w:rPr>
        <w:t>Data Context: Information such as data object type, sensitivity, integrity violations, freshness, and authenticity. User-related context based on data collected on the user's activities is also considered, with the initial trust value based on previous transactions used as the inertia or residual trust value that is decayed over the time domain.</w:t>
      </w:r>
    </w:p>
    <w:p w14:paraId="7E6C27C1" w14:textId="77777777" w:rsidR="001B41DA" w:rsidRDefault="00000000">
      <w:pPr>
        <w:pStyle w:val="ListBullet"/>
      </w:pPr>
      <w:r>
        <w:rPr>
          <w:rFonts w:ascii="Times New Roman" w:hAnsi="Times New Roman"/>
        </w:rPr>
        <w:t>Device Context: Information such as device type, security posture (e.g., compliance with policies), hardware trust levels, MAC addresses, OUIs, digital certificates, and firmware update compliance scores.</w:t>
      </w:r>
    </w:p>
    <w:p w14:paraId="163E1C0A" w14:textId="77777777" w:rsidR="001B41DA" w:rsidRDefault="00000000">
      <w:pPr>
        <w:pStyle w:val="ListBullet"/>
      </w:pPr>
      <w:r>
        <w:rPr>
          <w:rFonts w:ascii="Times New Roman" w:hAnsi="Times New Roman"/>
        </w:rPr>
        <w:t>Network Context: Real-time network conditions such as traffic patterns, latency, bandwidth, protocol compliance, encryption usage, and detected anomalies.</w:t>
      </w:r>
    </w:p>
    <w:p w14:paraId="67C66819" w14:textId="77777777" w:rsidR="001B41DA" w:rsidRDefault="00000000">
      <w:pPr>
        <w:pStyle w:val="ListBullet"/>
      </w:pPr>
      <w:r>
        <w:rPr>
          <w:rFonts w:ascii="Times New Roman" w:hAnsi="Times New Roman"/>
        </w:rPr>
        <w:t>Application Context: Application-specific security requirements, code signing validity, vulnerability scores, permissions requested, and enforcement via application allowlists or runtime behavior analysis.</w:t>
      </w:r>
    </w:p>
    <w:p w14:paraId="41947753" w14:textId="77777777" w:rsidR="001B41DA" w:rsidRDefault="00000000">
      <w:pPr>
        <w:pStyle w:val="ListBullet"/>
      </w:pPr>
      <w:r>
        <w:rPr>
          <w:rFonts w:ascii="Times New Roman" w:hAnsi="Times New Roman"/>
        </w:rPr>
        <w:t>User Context: Data elements representing user classifications including credentials (biometrics, certificates, role-based permissions), MFA activation, transaction profiles (login history, misuse cases, success/failure ratios), and cyberhygiene coefficients modelled from supplementary trainings and cyber threat intelligence reports.</w:t>
      </w:r>
    </w:p>
    <w:p w14:paraId="77B288BC" w14:textId="77777777" w:rsidR="001B41DA" w:rsidRDefault="00000000">
      <w:pPr>
        <w:pStyle w:val="ListBullet"/>
      </w:pPr>
      <w:r>
        <w:rPr>
          <w:rFonts w:ascii="Times New Roman" w:hAnsi="Times New Roman"/>
        </w:rPr>
        <w:t>Temporal Context: The residual trust value based on previous user activities. To avoid weighting historical data heavily, the residual trust is decayed logarithmically to represent natural decay.</w:t>
      </w:r>
    </w:p>
    <w:p w14:paraId="17348F7B" w14:textId="77777777" w:rsidR="001B41DA" w:rsidRDefault="00000000">
      <w:r>
        <w:rPr>
          <w:rFonts w:ascii="Times New Roman" w:hAnsi="Times New Roman"/>
          <w:b/>
        </w:rPr>
        <w:t>Table 2.1: Zero Trust Adhering Context-Awareness Parameters for Heterogeneous Networks</w:t>
      </w:r>
    </w:p>
    <w:tbl>
      <w:tblPr>
        <w:tblStyle w:val="TableGrid"/>
        <w:tblW w:w="0" w:type="auto"/>
        <w:tblLook w:val="04A0" w:firstRow="1" w:lastRow="0" w:firstColumn="1" w:lastColumn="0" w:noHBand="0" w:noVBand="1"/>
      </w:tblPr>
      <w:tblGrid>
        <w:gridCol w:w="1412"/>
        <w:gridCol w:w="1406"/>
        <w:gridCol w:w="1914"/>
        <w:gridCol w:w="2485"/>
        <w:gridCol w:w="1413"/>
      </w:tblGrid>
      <w:tr w:rsidR="001B41DA" w14:paraId="18AF3E66" w14:textId="77777777">
        <w:tc>
          <w:tcPr>
            <w:tcW w:w="1728" w:type="dxa"/>
          </w:tcPr>
          <w:p w14:paraId="56712CD6" w14:textId="77777777" w:rsidR="001B41DA" w:rsidRDefault="00000000">
            <w:r>
              <w:t xml:space="preserve">Context Parameters </w:t>
            </w:r>
          </w:p>
        </w:tc>
        <w:tc>
          <w:tcPr>
            <w:tcW w:w="1728" w:type="dxa"/>
          </w:tcPr>
          <w:p w14:paraId="4ED1EEB3" w14:textId="77777777" w:rsidR="001B41DA" w:rsidRDefault="00000000">
            <w:r>
              <w:t xml:space="preserve">Context Parameters </w:t>
            </w:r>
          </w:p>
        </w:tc>
        <w:tc>
          <w:tcPr>
            <w:tcW w:w="1728" w:type="dxa"/>
          </w:tcPr>
          <w:p w14:paraId="66BF2483" w14:textId="77777777" w:rsidR="001B41DA" w:rsidRDefault="00000000">
            <w:r>
              <w:t xml:space="preserve">Context Parameters </w:t>
            </w:r>
          </w:p>
        </w:tc>
        <w:tc>
          <w:tcPr>
            <w:tcW w:w="1728" w:type="dxa"/>
          </w:tcPr>
          <w:p w14:paraId="4DE8AD79" w14:textId="77777777" w:rsidR="001B41DA" w:rsidRDefault="00000000">
            <w:r>
              <w:t xml:space="preserve">Context Parameters </w:t>
            </w:r>
          </w:p>
        </w:tc>
        <w:tc>
          <w:tcPr>
            <w:tcW w:w="1728" w:type="dxa"/>
          </w:tcPr>
          <w:p w14:paraId="7253ECC5" w14:textId="77777777" w:rsidR="001B41DA" w:rsidRDefault="00000000">
            <w:r>
              <w:t xml:space="preserve">Context Parameters </w:t>
            </w:r>
          </w:p>
        </w:tc>
      </w:tr>
      <w:tr w:rsidR="001B41DA" w14:paraId="0FE04359" w14:textId="77777777">
        <w:tc>
          <w:tcPr>
            <w:tcW w:w="1728" w:type="dxa"/>
          </w:tcPr>
          <w:p w14:paraId="15F99A36" w14:textId="77777777" w:rsidR="001B41DA" w:rsidRDefault="00000000">
            <w:r>
              <w:t xml:space="preserve">Decay/Residual Trust </w:t>
            </w:r>
            <w:r>
              <w:lastRenderedPageBreak/>
              <w:t>value- Based on last transaction(s) success/failure</w:t>
            </w:r>
          </w:p>
        </w:tc>
        <w:tc>
          <w:tcPr>
            <w:tcW w:w="1728" w:type="dxa"/>
          </w:tcPr>
          <w:p w14:paraId="239DC437" w14:textId="77777777" w:rsidR="001B41DA" w:rsidRDefault="00000000">
            <w:r>
              <w:lastRenderedPageBreak/>
              <w:t xml:space="preserve">Decay/Residual Trust </w:t>
            </w:r>
            <w:r>
              <w:lastRenderedPageBreak/>
              <w:t>value- Based on last transaction(s) success/failure</w:t>
            </w:r>
          </w:p>
        </w:tc>
        <w:tc>
          <w:tcPr>
            <w:tcW w:w="1728" w:type="dxa"/>
          </w:tcPr>
          <w:p w14:paraId="767D271A" w14:textId="77777777" w:rsidR="001B41DA" w:rsidRDefault="00000000">
            <w:r>
              <w:lastRenderedPageBreak/>
              <w:t xml:space="preserve">Decay/Residual Trust value- </w:t>
            </w:r>
            <w:r>
              <w:lastRenderedPageBreak/>
              <w:t>Based on last transaction(s) success/failure</w:t>
            </w:r>
          </w:p>
        </w:tc>
        <w:tc>
          <w:tcPr>
            <w:tcW w:w="1728" w:type="dxa"/>
          </w:tcPr>
          <w:p w14:paraId="3A520855" w14:textId="77777777" w:rsidR="001B41DA" w:rsidRDefault="00000000">
            <w:r>
              <w:lastRenderedPageBreak/>
              <w:t xml:space="preserve">Decay/Residual Trust value- Based on last </w:t>
            </w:r>
            <w:r>
              <w:lastRenderedPageBreak/>
              <w:t>transaction(s) success/failure</w:t>
            </w:r>
          </w:p>
        </w:tc>
        <w:tc>
          <w:tcPr>
            <w:tcW w:w="1728" w:type="dxa"/>
          </w:tcPr>
          <w:p w14:paraId="78167054" w14:textId="77777777" w:rsidR="001B41DA" w:rsidRDefault="00000000">
            <w:r>
              <w:lastRenderedPageBreak/>
              <w:t xml:space="preserve">Decay/Residual Trust </w:t>
            </w:r>
            <w:r>
              <w:lastRenderedPageBreak/>
              <w:t>value- Based on last transaction(s) success/failure</w:t>
            </w:r>
          </w:p>
        </w:tc>
      </w:tr>
      <w:tr w:rsidR="001B41DA" w14:paraId="3DEE2F14" w14:textId="77777777">
        <w:tc>
          <w:tcPr>
            <w:tcW w:w="1728" w:type="dxa"/>
          </w:tcPr>
          <w:p w14:paraId="2984787D" w14:textId="77777777" w:rsidR="001B41DA" w:rsidRDefault="00000000">
            <w:r>
              <w:lastRenderedPageBreak/>
              <w:t>Data Context</w:t>
            </w:r>
          </w:p>
        </w:tc>
        <w:tc>
          <w:tcPr>
            <w:tcW w:w="1728" w:type="dxa"/>
          </w:tcPr>
          <w:p w14:paraId="5A0F0E01" w14:textId="77777777" w:rsidR="001B41DA" w:rsidRDefault="00000000">
            <w:r>
              <w:t>Device Context</w:t>
            </w:r>
          </w:p>
        </w:tc>
        <w:tc>
          <w:tcPr>
            <w:tcW w:w="1728" w:type="dxa"/>
          </w:tcPr>
          <w:p w14:paraId="0E9917DB" w14:textId="77777777" w:rsidR="001B41DA" w:rsidRDefault="00000000">
            <w:r>
              <w:t>User Context</w:t>
            </w:r>
          </w:p>
        </w:tc>
        <w:tc>
          <w:tcPr>
            <w:tcW w:w="1728" w:type="dxa"/>
          </w:tcPr>
          <w:p w14:paraId="2234D7B8" w14:textId="77777777" w:rsidR="001B41DA" w:rsidRDefault="00000000">
            <w:r>
              <w:t>Application Context</w:t>
            </w:r>
          </w:p>
        </w:tc>
        <w:tc>
          <w:tcPr>
            <w:tcW w:w="1728" w:type="dxa"/>
          </w:tcPr>
          <w:p w14:paraId="6044794B" w14:textId="77777777" w:rsidR="001B41DA" w:rsidRDefault="00000000">
            <w:r>
              <w:t>Network Context</w:t>
            </w:r>
          </w:p>
        </w:tc>
      </w:tr>
      <w:tr w:rsidR="001B41DA" w14:paraId="782C9E86" w14:textId="77777777">
        <w:tc>
          <w:tcPr>
            <w:tcW w:w="1728" w:type="dxa"/>
          </w:tcPr>
          <w:p w14:paraId="7590DD44" w14:textId="77777777" w:rsidR="001B41DA" w:rsidRDefault="00000000">
            <w:r>
              <w:t>{Object_id,</w:t>
            </w:r>
            <w:r>
              <w:br/>
              <w:t>Clearance_level,</w:t>
            </w:r>
            <w:r>
              <w:br/>
              <w:t>Owner,</w:t>
            </w:r>
            <w:r>
              <w:br/>
              <w:t>Format,</w:t>
            </w:r>
            <w:r>
              <w:br/>
              <w:t>Access_type,</w:t>
            </w:r>
            <w:r>
              <w:br/>
              <w:t>}</w:t>
            </w:r>
          </w:p>
        </w:tc>
        <w:tc>
          <w:tcPr>
            <w:tcW w:w="1728" w:type="dxa"/>
          </w:tcPr>
          <w:p w14:paraId="51857316" w14:textId="77777777" w:rsidR="001B41DA" w:rsidRDefault="00000000">
            <w:r>
              <w:t>{Type,</w:t>
            </w:r>
            <w:r>
              <w:br/>
              <w:t>MAC_addr,</w:t>
            </w:r>
            <w:r>
              <w:br/>
              <w:t>IP_address,</w:t>
            </w:r>
            <w:r>
              <w:br/>
              <w:t>Location,</w:t>
            </w:r>
            <w:r>
              <w:br/>
              <w:t>User_Agent,</w:t>
            </w:r>
            <w:r>
              <w:br/>
              <w:t>Vendor,</w:t>
            </w:r>
            <w:r>
              <w:br/>
              <w:t>Platform,</w:t>
            </w:r>
            <w:r>
              <w:br/>
              <w:t>Certificate,</w:t>
            </w:r>
            <w:r>
              <w:br/>
              <w:t>BYOD_Marker</w:t>
            </w:r>
            <w:r>
              <w:br/>
              <w:t>}</w:t>
            </w:r>
          </w:p>
        </w:tc>
        <w:tc>
          <w:tcPr>
            <w:tcW w:w="1728" w:type="dxa"/>
          </w:tcPr>
          <w:p w14:paraId="079CF6BA" w14:textId="77777777" w:rsidR="001B41DA" w:rsidRDefault="00000000">
            <w:r>
              <w:t>{Id,</w:t>
            </w:r>
            <w:r>
              <w:br/>
              <w:t>Credentials,</w:t>
            </w:r>
            <w:r>
              <w:br/>
              <w:t>Location,</w:t>
            </w:r>
            <w:r>
              <w:br/>
              <w:t>Time_of_login,</w:t>
            </w:r>
            <w:r>
              <w:br/>
              <w:t>Access_Requested,</w:t>
            </w:r>
            <w:r>
              <w:br/>
              <w:t>IP_Address,</w:t>
            </w:r>
            <w:r>
              <w:br/>
              <w:t>Login_attempts,</w:t>
            </w:r>
            <w:r>
              <w:br/>
              <w:t>Geo-velocity,</w:t>
            </w:r>
            <w:r>
              <w:br/>
              <w:t>Blocked_attempts,</w:t>
            </w:r>
            <w:r>
              <w:br/>
              <w:t>Attempts_during_cool-off_period,</w:t>
            </w:r>
            <w:r>
              <w:br/>
              <w:t>User_group,</w:t>
            </w:r>
            <w:r>
              <w:br/>
              <w:t>User_awareness*</w:t>
            </w:r>
            <w:r>
              <w:br/>
              <w:t>}</w:t>
            </w:r>
          </w:p>
        </w:tc>
        <w:tc>
          <w:tcPr>
            <w:tcW w:w="1728" w:type="dxa"/>
          </w:tcPr>
          <w:p w14:paraId="2BB1E7FB" w14:textId="77777777" w:rsidR="001B41DA" w:rsidRDefault="00000000">
            <w:r>
              <w:t>{application_Id,</w:t>
            </w:r>
            <w:r>
              <w:br/>
              <w:t>Package_name,</w:t>
            </w:r>
            <w:r>
              <w:br/>
              <w:t>App_version,</w:t>
            </w:r>
            <w:r>
              <w:br/>
              <w:t>Patch_level,</w:t>
            </w:r>
            <w:r>
              <w:br/>
              <w:t>Application_authenticity_data,</w:t>
            </w:r>
            <w:r>
              <w:br/>
              <w:t>Assoc Port_Number</w:t>
            </w:r>
            <w:r>
              <w:br/>
              <w:t>}</w:t>
            </w:r>
          </w:p>
        </w:tc>
        <w:tc>
          <w:tcPr>
            <w:tcW w:w="1728" w:type="dxa"/>
          </w:tcPr>
          <w:p w14:paraId="631D5AAE" w14:textId="77777777" w:rsidR="001B41DA" w:rsidRDefault="00000000">
            <w:r>
              <w:t>{Network-id,</w:t>
            </w:r>
            <w:r>
              <w:br/>
              <w:t>Clearance_level,</w:t>
            </w:r>
            <w:r>
              <w:br/>
              <w:t>Type,</w:t>
            </w:r>
            <w:r>
              <w:br/>
              <w:t>Ip address,</w:t>
            </w:r>
            <w:r>
              <w:br/>
              <w:t>Geolocation,</w:t>
            </w:r>
            <w:r>
              <w:br/>
              <w:t>Network-config type,</w:t>
            </w:r>
            <w:r>
              <w:br/>
              <w:t>VPN Access</w:t>
            </w:r>
            <w:r>
              <w:br/>
              <w:t>}</w:t>
            </w:r>
          </w:p>
        </w:tc>
      </w:tr>
    </w:tbl>
    <w:p w14:paraId="62CA684C" w14:textId="77777777" w:rsidR="001B41DA" w:rsidRDefault="00000000">
      <w:r>
        <w:rPr>
          <w:rFonts w:ascii="Times New Roman" w:hAnsi="Times New Roman"/>
        </w:rPr>
        <w:t>By dynamically incorporating these contextual attributes, access control mechanisms can make informed decisions that align with a heterogeneous network's security posture and operational needs.</w:t>
      </w:r>
    </w:p>
    <w:p w14:paraId="0A1021ED" w14:textId="77777777" w:rsidR="001B41DA" w:rsidRDefault="00000000">
      <w:pPr>
        <w:pStyle w:val="Heading3"/>
      </w:pPr>
      <w:r>
        <w:t>2.4.1 Trust Thresholds as Determinants in Access Control</w:t>
      </w:r>
    </w:p>
    <w:p w14:paraId="27F22D4F" w14:textId="77777777" w:rsidR="001B41DA" w:rsidRDefault="00000000">
      <w:r>
        <w:rPr>
          <w:rFonts w:ascii="Times New Roman" w:hAnsi="Times New Roman"/>
        </w:rPr>
        <w:t>Trust thresholds act as dynamic determinants for access decisions in heterogeneous networks. The trust evaluation process involves calculating a trust score for entities (users, devices, networks, data, and/or services) based on observed behavior and contextual factors. Key aspects include:</w:t>
      </w:r>
    </w:p>
    <w:p w14:paraId="10C0E99F" w14:textId="77777777" w:rsidR="001B41DA" w:rsidRDefault="00000000">
      <w:pPr>
        <w:pStyle w:val="ListBullet"/>
      </w:pPr>
      <w:r>
        <w:rPr>
          <w:rFonts w:ascii="Times New Roman" w:hAnsi="Times New Roman"/>
        </w:rPr>
        <w:t>Dynamic Trust Scores: Trust is not static but evolves based on real-time assessments of contextual factors and historical behavior.</w:t>
      </w:r>
    </w:p>
    <w:p w14:paraId="53CF3BE6" w14:textId="77777777" w:rsidR="001B41DA" w:rsidRDefault="00000000">
      <w:pPr>
        <w:pStyle w:val="ListBullet"/>
      </w:pPr>
      <w:r>
        <w:rPr>
          <w:rFonts w:ascii="Times New Roman" w:hAnsi="Times New Roman"/>
        </w:rPr>
        <w:t>Threshold Enforcement: Access decisions are made based on whether an entity's trust score meets or exceeds a defined threshold. Entities below the threshold will have restricted or denied access.</w:t>
      </w:r>
    </w:p>
    <w:p w14:paraId="5039B6CD" w14:textId="77777777" w:rsidR="001B41DA" w:rsidRDefault="00000000">
      <w:pPr>
        <w:pStyle w:val="ListBullet"/>
      </w:pPr>
      <w:r>
        <w:rPr>
          <w:rFonts w:ascii="Times New Roman" w:hAnsi="Times New Roman"/>
        </w:rPr>
        <w:t>Context Sensitivity: Trust thresholds adapt to changing conditions. For example, during a high-bandwidth event, thresholds may increase to enforce stricter access policies.</w:t>
      </w:r>
    </w:p>
    <w:p w14:paraId="5126C4EB" w14:textId="77777777" w:rsidR="001B41DA" w:rsidRDefault="00000000">
      <w:pPr>
        <w:pStyle w:val="ListBullet"/>
      </w:pPr>
      <w:r>
        <w:rPr>
          <w:rFonts w:ascii="Times New Roman" w:hAnsi="Times New Roman"/>
        </w:rPr>
        <w:t>Zero Trust Integration: Trust thresholds align with Zero Trust Architecture principles, ensuring continuous verification and conditional access based on real-time analysis.</w:t>
      </w:r>
    </w:p>
    <w:p w14:paraId="575D3B2B" w14:textId="77777777" w:rsidR="001B41DA" w:rsidRDefault="00000000">
      <w:pPr>
        <w:pStyle w:val="ListBullet"/>
      </w:pPr>
      <w:r>
        <w:rPr>
          <w:rFonts w:ascii="Times New Roman" w:hAnsi="Times New Roman"/>
        </w:rPr>
        <w:t>Anomaly Detection: Sudden deviations in trust scores (e.g., suspicious activity or compromised devices) trigger dynamic access restrictions and security responses.</w:t>
      </w:r>
    </w:p>
    <w:p w14:paraId="2EB3CB9F" w14:textId="77777777" w:rsidR="001B41DA" w:rsidRDefault="00000000">
      <w:r>
        <w:rPr>
          <w:rFonts w:ascii="Times New Roman" w:hAnsi="Times New Roman"/>
        </w:rPr>
        <w:t xml:space="preserve">The use of trust thresholds enables fine-grained, adaptive access control that balances usability, security, and operational efficiency in complex heterogeneous environments. This work thus demonstrates the need to design an adaptive and dynamic trust model that considers enterprise </w:t>
      </w:r>
      <w:r>
        <w:rPr>
          <w:rFonts w:ascii="Times New Roman" w:hAnsi="Times New Roman"/>
        </w:rPr>
        <w:lastRenderedPageBreak/>
        <w:t>networks with heterogeneous contexts. The model should collect sufficient contextual information on network types, applications, and networking requirements rather than relying on just information such as location and user credentials. The proposed evaluation strategies — dynamic weighted sum and subjective logic — are highlighted for their suitability by Wang et al. (2022).</w:t>
      </w:r>
    </w:p>
    <w:p w14:paraId="429754EC" w14:textId="77777777" w:rsidR="001B41DA" w:rsidRDefault="00000000">
      <w:pPr>
        <w:pStyle w:val="Heading2"/>
      </w:pPr>
      <w:r>
        <w:t>2.5 Network Infrastructure Identities and Trust Calculation</w:t>
      </w:r>
    </w:p>
    <w:p w14:paraId="42A1CA7C" w14:textId="77777777" w:rsidR="001B41DA" w:rsidRDefault="00000000">
      <w:r>
        <w:rPr>
          <w:rFonts w:ascii="Times New Roman" w:hAnsi="Times New Roman"/>
        </w:rPr>
        <w:t>In heterogeneous network environments, identity plays a pivotal role in determining access control policies and trust score calculations. Each Zero Trust facet can be evaluated as an independent set of identities that are cumulated then weighted for an overall trust score computation. The multiplicity of identities across the facets ensures that trust scores are representative of a risk profile for an access request before the decision is made. Key identity sources include:</w:t>
      </w:r>
    </w:p>
    <w:p w14:paraId="53E1CE56" w14:textId="77777777" w:rsidR="001B41DA" w:rsidRDefault="00000000">
      <w:pPr>
        <w:pStyle w:val="ListBullet"/>
      </w:pPr>
      <w:r>
        <w:rPr>
          <w:rFonts w:ascii="Times New Roman" w:hAnsi="Times New Roman"/>
        </w:rPr>
        <w:t>Data Identities: Attributes such as data integrity (accuracy and consistency), data confidentiality (sensitivity and multilevel security requirements), data freshness, and data authenticity (reliability of data source).</w:t>
      </w:r>
    </w:p>
    <w:p w14:paraId="18B5AA89" w14:textId="77777777" w:rsidR="001B41DA" w:rsidRDefault="00000000">
      <w:pPr>
        <w:pStyle w:val="ListBullet"/>
      </w:pPr>
      <w:r>
        <w:rPr>
          <w:rFonts w:ascii="Times New Roman" w:hAnsi="Times New Roman"/>
        </w:rPr>
        <w:t>User Identities: Properties describing user behavior and interactions, including user credentials (biometrics, certificates, role-based permissions), user roles (multiple and context-dependent), MFA activation and utilization profiles, and transaction profiles (login history, misuse cases, success/failure ratios).</w:t>
      </w:r>
    </w:p>
    <w:p w14:paraId="0C5C15D3" w14:textId="77777777" w:rsidR="001B41DA" w:rsidRDefault="00000000">
      <w:pPr>
        <w:pStyle w:val="ListBullet"/>
      </w:pPr>
      <w:r>
        <w:rPr>
          <w:rFonts w:ascii="Times New Roman" w:hAnsi="Times New Roman"/>
        </w:rPr>
        <w:t>Device Identities: Unique attributes including IP/MAC addresses, hardware IDs, certificates, node reputation based on vendor or historical data, and compliance scores derived from interface types and firmware updates.</w:t>
      </w:r>
    </w:p>
    <w:p w14:paraId="43BE0124" w14:textId="77777777" w:rsidR="001B41DA" w:rsidRDefault="00000000">
      <w:pPr>
        <w:pStyle w:val="ListBullet"/>
      </w:pPr>
      <w:r>
        <w:rPr>
          <w:rFonts w:ascii="Times New Roman" w:hAnsi="Times New Roman"/>
        </w:rPr>
        <w:t>Service and Application Identities: Cloud services, microservices, and virtualized applications maintaining dynamic, unique identities. Parameters such as code signing, vulnerability scores, and permissions requested are used to calculate trust levels, enforced via application allowlists or runtime behavior analysis.</w:t>
      </w:r>
    </w:p>
    <w:p w14:paraId="6B3E9279" w14:textId="77777777" w:rsidR="001B41DA" w:rsidRDefault="00000000">
      <w:pPr>
        <w:pStyle w:val="ListBullet"/>
      </w:pPr>
      <w:r>
        <w:rPr>
          <w:rFonts w:ascii="Times New Roman" w:hAnsi="Times New Roman"/>
        </w:rPr>
        <w:t>Network Context Identities: Network segments such as VLANs, SDN flows, or software-defined perimeters contributing to identity multiplicity. Attributes such as IP addresses, traffic patterns, and protocol compliance are measured based on encrypted communications and deviation from baseline.</w:t>
      </w:r>
    </w:p>
    <w:p w14:paraId="5A862856" w14:textId="77777777" w:rsidR="001B41DA" w:rsidRDefault="00000000">
      <w:r>
        <w:rPr>
          <w:rFonts w:ascii="Times New Roman" w:hAnsi="Times New Roman"/>
        </w:rPr>
        <w:t>The multiplicity of these identities necessitates aggregation and correlation across diverse, dynamic sources for unified trust evaluation to make accurate access decisions.</w:t>
      </w:r>
    </w:p>
    <w:p w14:paraId="67C65929" w14:textId="77777777" w:rsidR="001B41DA" w:rsidRDefault="00000000">
      <w:pPr>
        <w:pStyle w:val="Heading2"/>
      </w:pPr>
      <w:r>
        <w:t>2.6 Core Trust Equations</w:t>
      </w:r>
    </w:p>
    <w:p w14:paraId="3F5765A4" w14:textId="77777777" w:rsidR="001B41DA" w:rsidRDefault="00000000">
      <w:r>
        <w:rPr>
          <w:rFonts w:ascii="Times New Roman" w:hAnsi="Times New Roman"/>
        </w:rPr>
        <w:t>Trust estimation in heterogeneous networks relies on evaluating and aggregating the multiplicity of identities across the facets of Zero Trust. The final trust value is considered as a dynamic weighted sum of the cumulated values per facet. Trust calculation is influenced by the following factors:</w:t>
      </w:r>
    </w:p>
    <w:p w14:paraId="16E32610" w14:textId="77777777" w:rsidR="001B41DA" w:rsidRDefault="00000000">
      <w:pPr>
        <w:pStyle w:val="Heading3"/>
      </w:pPr>
      <w:r>
        <w:t>2.6.1 Trust Score as a Function of Zero Trust Pillars</w:t>
      </w:r>
    </w:p>
    <w:p w14:paraId="2337F35B" w14:textId="77777777" w:rsidR="001B41DA" w:rsidRDefault="00000000">
      <w:r>
        <w:rPr>
          <w:rFonts w:ascii="Times New Roman" w:hAnsi="Times New Roman"/>
        </w:rPr>
        <w:t>The overarching trust estimation is defined as a mathematical function of identities across all domains:</w:t>
      </w:r>
    </w:p>
    <w:p w14:paraId="347F9EBC" w14:textId="77777777" w:rsidR="001B41DA" w:rsidRDefault="00000000">
      <w:r>
        <w:rPr>
          <w:rFonts w:ascii="Times New Roman" w:hAnsi="Times New Roman"/>
          <w:b/>
          <w:i/>
        </w:rPr>
        <w:lastRenderedPageBreak/>
        <w:t>TS = f(DT, DP, AT, UT, NT) + T_inertia</w:t>
      </w:r>
    </w:p>
    <w:p w14:paraId="1EF96060" w14:textId="77777777" w:rsidR="001B41DA" w:rsidRDefault="00000000">
      <w:pPr>
        <w:jc w:val="center"/>
      </w:pPr>
      <w:r>
        <w:rPr>
          <w:rFonts w:ascii="Times New Roman" w:hAnsi="Times New Roman"/>
          <w:b/>
        </w:rPr>
        <w:t>Equation 2.1: Eventual trust score as a function of Zero Trust pillars</w:t>
      </w:r>
    </w:p>
    <w:p w14:paraId="5FF300B0" w14:textId="77777777" w:rsidR="001B41DA" w:rsidRDefault="00000000">
      <w:r>
        <w:rPr>
          <w:rFonts w:ascii="Times New Roman" w:hAnsi="Times New Roman"/>
        </w:rPr>
        <w:t>Where TS is the eventual Trust Score, DT is the data trust score, DP is the device posture trust score, AT is the application trust score, UT is the user trust score, and NT is the network trust score. T_inertia is the residual trust value resulting from the last known transaction or a decayed trust value of the previous estimation iteration.</w:t>
      </w:r>
    </w:p>
    <w:p w14:paraId="086E5A86" w14:textId="77777777" w:rsidR="001B41DA" w:rsidRDefault="00000000">
      <w:pPr>
        <w:pStyle w:val="Heading3"/>
      </w:pPr>
      <w:r>
        <w:t>2.6.2 Threshold-Based Access Control Decision</w:t>
      </w:r>
    </w:p>
    <w:p w14:paraId="0C938074" w14:textId="77777777" w:rsidR="001B41DA" w:rsidRDefault="00000000">
      <w:r>
        <w:rPr>
          <w:rFonts w:ascii="Times New Roman" w:hAnsi="Times New Roman"/>
        </w:rPr>
        <w:t>Calculated trust scores are compared against predefined or dynamically updated thresholds to make access control decisions. This creates gray-area routing rather than binary allow/deny outcomes:</w:t>
      </w:r>
    </w:p>
    <w:p w14:paraId="11B39758" w14:textId="77777777" w:rsidR="001B41DA" w:rsidRDefault="00000000">
      <w:pPr>
        <w:pStyle w:val="ListBullet"/>
      </w:pPr>
      <w:r>
        <w:rPr>
          <w:rFonts w:ascii="Times New Roman" w:hAnsi="Times New Roman"/>
        </w:rPr>
        <w:t>TS &gt; 0.75: Full Access granted.</w:t>
      </w:r>
    </w:p>
    <w:p w14:paraId="31C1BD19" w14:textId="77777777" w:rsidR="001B41DA" w:rsidRDefault="00000000">
      <w:pPr>
        <w:pStyle w:val="ListBullet"/>
      </w:pPr>
      <w:r>
        <w:rPr>
          <w:rFonts w:ascii="Times New Roman" w:hAnsi="Times New Roman"/>
        </w:rPr>
        <w:t>0.45 ≤ TS ≤ 0.75: Limited Access granted (restricted bandwidth or specific application access).</w:t>
      </w:r>
    </w:p>
    <w:p w14:paraId="70802F69" w14:textId="77777777" w:rsidR="001B41DA" w:rsidRDefault="00000000">
      <w:pPr>
        <w:pStyle w:val="ListBullet"/>
      </w:pPr>
      <w:r>
        <w:rPr>
          <w:rFonts w:ascii="Times New Roman" w:hAnsi="Times New Roman"/>
        </w:rPr>
        <w:t>TS &lt; 0.45: Access Denied immediately.</w:t>
      </w:r>
    </w:p>
    <w:p w14:paraId="00A7CC5B" w14:textId="77777777" w:rsidR="001B41DA" w:rsidRDefault="00000000">
      <w:pPr>
        <w:jc w:val="center"/>
      </w:pPr>
      <w:r>
        <w:rPr>
          <w:rFonts w:ascii="Times New Roman" w:hAnsi="Times New Roman"/>
          <w:b/>
        </w:rPr>
        <w:t>Equation 2.2: Threshold-based access control decision</w:t>
      </w:r>
    </w:p>
    <w:p w14:paraId="40576041" w14:textId="77777777" w:rsidR="001B41DA" w:rsidRDefault="00000000">
      <w:r>
        <w:rPr>
          <w:rFonts w:ascii="Times New Roman" w:hAnsi="Times New Roman"/>
        </w:rPr>
        <w:t>Variations and/or combinations of these tiers can be derived to have more granular access decision options. Entities that fail to meet trust thresholds may have restricted or denied access.</w:t>
      </w:r>
    </w:p>
    <w:p w14:paraId="731462FF" w14:textId="77777777" w:rsidR="001B41DA" w:rsidRDefault="00000000">
      <w:pPr>
        <w:pStyle w:val="Heading3"/>
      </w:pPr>
      <w:r>
        <w:t>2.6.3 Exponential Trust Decay Over Time</w:t>
      </w:r>
    </w:p>
    <w:p w14:paraId="7026BD94" w14:textId="77777777" w:rsidR="001B41DA" w:rsidRDefault="00000000">
      <w:r>
        <w:rPr>
          <w:rFonts w:ascii="Times New Roman" w:hAnsi="Times New Roman"/>
        </w:rPr>
        <w:t>Trust decay reflects the temporal degradation of trustworthiness due to potential changes in entity behavior such as device compromise or user privilege escalation, evolving threat landscapes such as new vulnerabilities, or other context changes such as session inactivity or roaming. Trust decays automatically — if a device stops proving it is safe, its score drifts toward zero. The decay is modelled as:</w:t>
      </w:r>
    </w:p>
    <w:p w14:paraId="1943DB2B" w14:textId="77777777" w:rsidR="001B41DA" w:rsidRDefault="00000000">
      <w:r>
        <w:rPr>
          <w:rFonts w:ascii="Times New Roman" w:hAnsi="Times New Roman"/>
          <w:b/>
          <w:i/>
        </w:rPr>
        <w:t>T(t) = T₀ · e^(−λt)</w:t>
      </w:r>
    </w:p>
    <w:p w14:paraId="5B3BB299" w14:textId="77777777" w:rsidR="001B41DA" w:rsidRDefault="00000000">
      <w:pPr>
        <w:jc w:val="center"/>
      </w:pPr>
      <w:r>
        <w:rPr>
          <w:rFonts w:ascii="Times New Roman" w:hAnsi="Times New Roman"/>
          <w:b/>
        </w:rPr>
        <w:t>Equation 2.3: Exponential trust decay over time</w:t>
      </w:r>
    </w:p>
    <w:p w14:paraId="1C3F7758" w14:textId="77777777" w:rsidR="001B41DA" w:rsidRDefault="00000000">
      <w:r>
        <w:rPr>
          <w:rFonts w:ascii="Times New Roman" w:hAnsi="Times New Roman"/>
        </w:rPr>
        <w:t>Where T₀ is the initial trust score, λ is the decay rate (aging factor per hour), and t is the time elapsed since last trust validation. Faster decay enforces tighter security.</w:t>
      </w:r>
    </w:p>
    <w:p w14:paraId="49D223B0" w14:textId="77777777" w:rsidR="001B41DA" w:rsidRDefault="00000000">
      <w:pPr>
        <w:pStyle w:val="Heading3"/>
      </w:pPr>
      <w:r>
        <w:t>2.6.4 Additional Trust Computation Factors</w:t>
      </w:r>
    </w:p>
    <w:p w14:paraId="1DB00409" w14:textId="77777777" w:rsidR="001B41DA" w:rsidRDefault="00000000">
      <w:pPr>
        <w:pStyle w:val="ListBullet"/>
      </w:pPr>
      <w:r>
        <w:rPr>
          <w:rFonts w:ascii="Times New Roman" w:hAnsi="Times New Roman"/>
        </w:rPr>
        <w:t>Identity Correlation: Trust is established by correlating various identity attributes including user trust, device posture, application trust, data sensitivity, and network trust. A stronger correlation among identities leads to higher confidence in trust estimation.</w:t>
      </w:r>
    </w:p>
    <w:p w14:paraId="049792BB" w14:textId="77777777" w:rsidR="001B41DA" w:rsidRDefault="00000000">
      <w:pPr>
        <w:pStyle w:val="ListBullet"/>
      </w:pPr>
      <w:r>
        <w:rPr>
          <w:rFonts w:ascii="Times New Roman" w:hAnsi="Times New Roman"/>
        </w:rPr>
        <w:t>Per-Scenario Behavioral Analysis: Trust scores are adjusted based on observed or existing behavior of the identified entity within the enterprise environment. Different network scenarios with varying contexts can have varied weightings.</w:t>
      </w:r>
    </w:p>
    <w:p w14:paraId="45E4D205" w14:textId="77777777" w:rsidR="001B41DA" w:rsidRDefault="00000000">
      <w:pPr>
        <w:pStyle w:val="ListBullet"/>
      </w:pPr>
      <w:r>
        <w:rPr>
          <w:rFonts w:ascii="Times New Roman" w:hAnsi="Times New Roman"/>
        </w:rPr>
        <w:t xml:space="preserve">Dynamic Contextual Attributes: Context-aware parameters such as time of access, geographic location, and real-time threat intelligence impact trust calculation. Organizational contexts </w:t>
      </w:r>
      <w:r>
        <w:rPr>
          <w:rFonts w:ascii="Times New Roman" w:hAnsi="Times New Roman"/>
        </w:rPr>
        <w:lastRenderedPageBreak/>
        <w:t>such as existence of BYOD and remote working policies may also influence the weighting on device, application, or network posture.</w:t>
      </w:r>
    </w:p>
    <w:p w14:paraId="7659EB98" w14:textId="77777777" w:rsidR="001B41DA" w:rsidRDefault="00000000">
      <w:pPr>
        <w:pStyle w:val="ListBullet"/>
      </w:pPr>
      <w:r>
        <w:rPr>
          <w:rFonts w:ascii="Times New Roman" w:hAnsi="Times New Roman"/>
        </w:rPr>
        <w:t>Risk-Based Trust Modeling: Trust is calculated as a function of risk scores associated with the multiple identities of an entity as well as the temporal context. The temporal component is introduced as a natural decay function of the initial/residual trust referred to as inertia trust.</w:t>
      </w:r>
    </w:p>
    <w:p w14:paraId="72B027FE" w14:textId="77777777" w:rsidR="001B41DA" w:rsidRDefault="00000000">
      <w:r>
        <w:rPr>
          <w:rFonts w:ascii="Times New Roman" w:hAnsi="Times New Roman"/>
        </w:rPr>
        <w:t>This comprehensive approach ensures that trust estimation remains dynamic, scalable, and responsive to the diversity and context of networked identities in heterogeneous enterprise networks.</w:t>
      </w:r>
    </w:p>
    <w:p w14:paraId="6AFB2C30" w14:textId="77777777" w:rsidR="001B41DA" w:rsidRDefault="00000000">
      <w:pPr>
        <w:pStyle w:val="Heading2"/>
      </w:pPr>
      <w:r>
        <w:t>2.7 Dynamic and Context-Aware Trust Framework</w:t>
      </w:r>
    </w:p>
    <w:p w14:paraId="40DB2373" w14:textId="77777777" w:rsidR="001B41DA" w:rsidRDefault="00000000">
      <w:r>
        <w:rPr>
          <w:rFonts w:ascii="Times New Roman" w:hAnsi="Times New Roman"/>
        </w:rPr>
        <w:t>A dynamic and context-aware trust model serves as a foundation for adaptive access control. The dynamic nature of heterogeneous environments requires trust models to be flexible, real-time, and responsive to changing conditions. The proposed work integrates the following aspects:</w:t>
      </w:r>
    </w:p>
    <w:p w14:paraId="31EBCFEA" w14:textId="77777777" w:rsidR="001B41DA" w:rsidRDefault="00000000">
      <w:pPr>
        <w:pStyle w:val="ListBullet"/>
      </w:pPr>
      <w:r>
        <w:rPr>
          <w:rFonts w:ascii="Times New Roman" w:hAnsi="Times New Roman"/>
        </w:rPr>
        <w:t>Dynamic Trust Evaluation: Trust is continuously monitored and recalculated based on real-time data from multiple identity sources. Entities may have fluctuating trust scores as network conditions, device behavior, application infrastructure, or user actions evolve.</w:t>
      </w:r>
    </w:p>
    <w:p w14:paraId="3E941561" w14:textId="77777777" w:rsidR="001B41DA" w:rsidRDefault="00000000">
      <w:pPr>
        <w:pStyle w:val="ListBullet"/>
      </w:pPr>
      <w:r>
        <w:rPr>
          <w:rFonts w:ascii="Times New Roman" w:hAnsi="Times New Roman"/>
        </w:rPr>
        <w:t>Context-Awareness: Incorporation of real-time situational parameters, such as temporal context (ensuring data freshness and anomaly consideration), location context (access from unfamiliar locations may lower trust scores), and device posture (outdated or compromised devices dynamically reduce trustworthiness).</w:t>
      </w:r>
    </w:p>
    <w:p w14:paraId="52050E1E" w14:textId="77777777" w:rsidR="001B41DA" w:rsidRDefault="00000000">
      <w:pPr>
        <w:pStyle w:val="ListBullet"/>
      </w:pPr>
      <w:r>
        <w:rPr>
          <w:rFonts w:ascii="Times New Roman" w:hAnsi="Times New Roman"/>
        </w:rPr>
        <w:t>Integration with Zero Trust Principles: Continuous verification of user, device, and network identities forms the basis for trust reassessment. Even trusted entities are subject to continuous monitoring and validation.</w:t>
      </w:r>
    </w:p>
    <w:p w14:paraId="26FB739C" w14:textId="77777777" w:rsidR="001B41DA" w:rsidRDefault="00000000">
      <w:pPr>
        <w:pStyle w:val="ListBullet"/>
      </w:pPr>
      <w:r>
        <w:rPr>
          <w:rFonts w:ascii="Times New Roman" w:hAnsi="Times New Roman"/>
        </w:rPr>
        <w:t>Trust Decay and Recovery: Trust scores are designed to decay over time if an entity does not interact with the network or if anomalies are detected. Reassessment mechanisms allow entities to regain trust through corrective actions such as software updates, reauthentication, or security compliance checks.</w:t>
      </w:r>
    </w:p>
    <w:p w14:paraId="178EF1EE" w14:textId="77777777" w:rsidR="001B41DA" w:rsidRDefault="00000000">
      <w:pPr>
        <w:pStyle w:val="ListBullet"/>
      </w:pPr>
      <w:r>
        <w:rPr>
          <w:rFonts w:ascii="Times New Roman" w:hAnsi="Times New Roman"/>
        </w:rPr>
        <w:t>Scalability and Adaptability: Dynamic trust models scale to handle the vast diversity of devices, users, and services. Context-awareness ensures adaptability to evolving network policies and threat landscapes without manual intervention.</w:t>
      </w:r>
    </w:p>
    <w:p w14:paraId="61E3EB29" w14:textId="77777777" w:rsidR="001B41DA" w:rsidRDefault="00000000">
      <w:r>
        <w:rPr>
          <w:rFonts w:ascii="Times New Roman" w:hAnsi="Times New Roman"/>
        </w:rPr>
        <w:t>The multiplicity of network infrastructure identities, combined with dynamic and context-aware trust evaluation, ensures that access control mechanisms remain robust, adaptive, and secure. By incorporating real-time identity validation, behavioral analysis, and context-awareness, enterprises can achieve a fine-grained, responsive trust framework that aligns with modern security paradigms such as Zero Trust Architecture.</w:t>
      </w:r>
    </w:p>
    <w:p w14:paraId="7FC16A78" w14:textId="77777777" w:rsidR="001B41DA" w:rsidRDefault="00000000">
      <w:pPr>
        <w:pStyle w:val="Heading2"/>
      </w:pPr>
      <w:r>
        <w:t>2.8 Performance-Centric and Trust-Centric Approaches</w:t>
      </w:r>
    </w:p>
    <w:p w14:paraId="3A1E70FC" w14:textId="77777777" w:rsidR="001B41DA" w:rsidRDefault="00000000">
      <w:r>
        <w:rPr>
          <w:rFonts w:ascii="Times New Roman" w:hAnsi="Times New Roman"/>
        </w:rPr>
        <w:t>Heterogeneous enterprise networks present unique challenges in achieving both optimal performance and robust trust management. Addressing these challenges requires a balance between performance-centric and trust-centric paradigms, each catering to distinct yet interconnected priorities.</w:t>
      </w:r>
    </w:p>
    <w:p w14:paraId="3CE142E5" w14:textId="77777777" w:rsidR="001B41DA" w:rsidRDefault="00000000">
      <w:pPr>
        <w:pStyle w:val="Heading3"/>
      </w:pPr>
      <w:r>
        <w:lastRenderedPageBreak/>
        <w:t>2.8.1 Performance-Centric Approaches</w:t>
      </w:r>
    </w:p>
    <w:p w14:paraId="28D032BE" w14:textId="77777777" w:rsidR="001B41DA" w:rsidRDefault="00000000">
      <w:r>
        <w:rPr>
          <w:rFonts w:ascii="Times New Roman" w:hAnsi="Times New Roman"/>
        </w:rPr>
        <w:t>Performance-centric designs prioritize network efficiency, scalability, and resource optimization. Key considerations include:</w:t>
      </w:r>
    </w:p>
    <w:p w14:paraId="56377DE9" w14:textId="77777777" w:rsidR="001B41DA" w:rsidRDefault="00000000">
      <w:pPr>
        <w:pStyle w:val="ListBullet"/>
      </w:pPr>
      <w:r>
        <w:rPr>
          <w:rFonts w:ascii="Times New Roman" w:hAnsi="Times New Roman"/>
        </w:rPr>
        <w:t>Scalability and Latency Optimization: Enterprise networks often operate under strict performance requirements, necessitating low-latency communication and seamless scalability. Techniques such as SDN and NFV are leveraged to dynamically allocate resources based on real-time demands (Wang et al., 2018).</w:t>
      </w:r>
    </w:p>
    <w:p w14:paraId="29E63A26" w14:textId="77777777" w:rsidR="001B41DA" w:rsidRDefault="00000000">
      <w:pPr>
        <w:pStyle w:val="ListBullet"/>
      </w:pPr>
      <w:r>
        <w:rPr>
          <w:rFonts w:ascii="Times New Roman" w:hAnsi="Times New Roman"/>
        </w:rPr>
        <w:t>Quality of Service (QoS): QoS mechanisms ensure differentiated treatment for various types of traffic through bandwidth allocation policies, prioritization schemes, and congestion management protocols (Chen et al., 2017).</w:t>
      </w:r>
    </w:p>
    <w:p w14:paraId="005189DE" w14:textId="77777777" w:rsidR="001B41DA" w:rsidRDefault="00000000">
      <w:pPr>
        <w:pStyle w:val="ListBullet"/>
      </w:pPr>
      <w:r>
        <w:rPr>
          <w:rFonts w:ascii="Times New Roman" w:hAnsi="Times New Roman"/>
        </w:rPr>
        <w:t>Energy Efficiency: Energy-efficient routing and device management are critical. Protocols like Energy-Efficient Ethernet (EEE) and adaptive power management techniques contribute to reducing operational costs and environmental impact (Ali et al., 2019).</w:t>
      </w:r>
    </w:p>
    <w:p w14:paraId="5322B6C1" w14:textId="77777777" w:rsidR="001B41DA" w:rsidRDefault="00000000">
      <w:pPr>
        <w:pStyle w:val="Heading3"/>
      </w:pPr>
      <w:r>
        <w:t>2.8.2 Trust-Centric Approaches</w:t>
      </w:r>
    </w:p>
    <w:p w14:paraId="75C9F14A" w14:textId="77777777" w:rsidR="001B41DA" w:rsidRDefault="00000000">
      <w:r>
        <w:rPr>
          <w:rFonts w:ascii="Times New Roman" w:hAnsi="Times New Roman"/>
        </w:rPr>
        <w:t>Trust-centric frameworks focus on ensuring secure and reliable interactions among network entities:</w:t>
      </w:r>
    </w:p>
    <w:p w14:paraId="5F3A90AD" w14:textId="77777777" w:rsidR="001B41DA" w:rsidRDefault="00000000">
      <w:pPr>
        <w:pStyle w:val="ListBullet"/>
      </w:pPr>
      <w:r>
        <w:rPr>
          <w:rFonts w:ascii="Times New Roman" w:hAnsi="Times New Roman"/>
        </w:rPr>
        <w:t>Trust Metrics and Models: Trust is quantified using models that incorporate behavioral and contextual factors. Node reputation, interaction history, and environmental context are combined to derive trust scores that inform access control decisions (Luo et al., 2019).</w:t>
      </w:r>
    </w:p>
    <w:p w14:paraId="64CD3328" w14:textId="77777777" w:rsidR="001B41DA" w:rsidRDefault="00000000">
      <w:pPr>
        <w:pStyle w:val="ListBullet"/>
      </w:pPr>
      <w:r>
        <w:rPr>
          <w:rFonts w:ascii="Times New Roman" w:hAnsi="Times New Roman"/>
        </w:rPr>
        <w:t>Dynamic Trust Management: In dynamic environments, trust evaluation must adapt to real-time changes. Context-aware mechanisms integrating ZTA principles such as continuous verification and least privilege access are critical for mitigating insider threats (Khan et al., 2020).</w:t>
      </w:r>
    </w:p>
    <w:p w14:paraId="2F307E78" w14:textId="77777777" w:rsidR="001B41DA" w:rsidRDefault="00000000">
      <w:pPr>
        <w:pStyle w:val="ListBullet"/>
      </w:pPr>
      <w:r>
        <w:rPr>
          <w:rFonts w:ascii="Times New Roman" w:hAnsi="Times New Roman"/>
        </w:rPr>
        <w:t>Anomaly Detection and Response: Trust-centric systems often incorporate anomaly detection algorithms. Machine learning techniques such as SVMs and neural networks have shown effectiveness in detecting anomalous patterns in heterogeneous networks (Sharma et al., 2021).</w:t>
      </w:r>
    </w:p>
    <w:p w14:paraId="72707B83" w14:textId="77777777" w:rsidR="001B41DA" w:rsidRDefault="00000000">
      <w:pPr>
        <w:pStyle w:val="Heading3"/>
      </w:pPr>
      <w:r>
        <w:t>2.8.3 Integrative Strategies: Balancing Performance and Trust</w:t>
      </w:r>
    </w:p>
    <w:p w14:paraId="603F3A16" w14:textId="77777777" w:rsidR="001B41DA" w:rsidRDefault="00000000">
      <w:r>
        <w:rPr>
          <w:rFonts w:ascii="Times New Roman" w:hAnsi="Times New Roman"/>
        </w:rPr>
        <w:t>In modern enterprise networks, achieving a balance between performance and trust is imperative. Integrative strategies include:</w:t>
      </w:r>
    </w:p>
    <w:p w14:paraId="74A4549A" w14:textId="77777777" w:rsidR="001B41DA" w:rsidRDefault="00000000">
      <w:pPr>
        <w:pStyle w:val="ListBullet"/>
      </w:pPr>
      <w:r>
        <w:rPr>
          <w:rFonts w:ascii="Times New Roman" w:hAnsi="Times New Roman"/>
        </w:rPr>
        <w:t>Policy-Driven Resource Allocation: Policies that dynamically allocate resources based on both performance metrics and trust scores can optimize dual objectives. Higher-priority traffic from trusted nodes may receive preferential treatment during congestion scenarios.</w:t>
      </w:r>
    </w:p>
    <w:p w14:paraId="5F4E8663" w14:textId="77777777" w:rsidR="001B41DA" w:rsidRDefault="00000000">
      <w:pPr>
        <w:pStyle w:val="ListBullet"/>
      </w:pPr>
      <w:r>
        <w:rPr>
          <w:rFonts w:ascii="Times New Roman" w:hAnsi="Times New Roman"/>
        </w:rPr>
        <w:t>SDN-Based Trust Frameworks: SDN facilitates centralized control, enabling the integration of trust evaluation into network management for real-time adjustments to routing and access control policies based on trust levels and performance metrics (Jiang et al., 2020).</w:t>
      </w:r>
    </w:p>
    <w:p w14:paraId="62867A46" w14:textId="77777777" w:rsidR="001B41DA" w:rsidRDefault="00000000">
      <w:pPr>
        <w:pStyle w:val="ListBullet"/>
      </w:pPr>
      <w:r>
        <w:rPr>
          <w:rFonts w:ascii="Times New Roman" w:hAnsi="Times New Roman"/>
        </w:rPr>
        <w:t>Context-Aware QoS: Combining context-aware trust evaluation with QoS mechanisms ensures that trust-centric security measures do not degrade network performance. Devices with high trust scores may be granted expedited processing without compromising security (Zhou et al., 2018).</w:t>
      </w:r>
    </w:p>
    <w:p w14:paraId="5C0DC85D" w14:textId="77777777" w:rsidR="001B41DA" w:rsidRDefault="00000000">
      <w:pPr>
        <w:pStyle w:val="Heading3"/>
      </w:pPr>
      <w:r>
        <w:lastRenderedPageBreak/>
        <w:t>2.8.4 Challenges to Integration</w:t>
      </w:r>
    </w:p>
    <w:p w14:paraId="17CC7812" w14:textId="77777777" w:rsidR="001B41DA" w:rsidRDefault="00000000">
      <w:pPr>
        <w:pStyle w:val="ListBullet"/>
      </w:pPr>
      <w:r>
        <w:rPr>
          <w:rFonts w:ascii="Times New Roman" w:hAnsi="Times New Roman"/>
        </w:rPr>
        <w:t>Interoperability: Ensuring seamless interaction among diverse devices and protocols remains a significant challenge. Standardization efforts and open-source platforms can help mitigate interoperability issues (Goyal et al., 2019).</w:t>
      </w:r>
    </w:p>
    <w:p w14:paraId="1A270DAD" w14:textId="77777777" w:rsidR="001B41DA" w:rsidRDefault="00000000">
      <w:pPr>
        <w:pStyle w:val="ListBullet"/>
      </w:pPr>
      <w:r>
        <w:rPr>
          <w:rFonts w:ascii="Times New Roman" w:hAnsi="Times New Roman"/>
        </w:rPr>
        <w:t>Scalability of Trust Models: As networks grow in size and complexity, the computational overhead of trust evaluation frameworks must be addressed. Hierarchical trust models and distributed computation are promising solutions (Ahmed et al., 2021).</w:t>
      </w:r>
    </w:p>
    <w:p w14:paraId="67447618" w14:textId="77777777" w:rsidR="001B41DA" w:rsidRDefault="00000000">
      <w:pPr>
        <w:pStyle w:val="ListBullet"/>
      </w:pPr>
      <w:r>
        <w:rPr>
          <w:rFonts w:ascii="Times New Roman" w:hAnsi="Times New Roman"/>
        </w:rPr>
        <w:t>Integration of AI and Blockchain: AI can improve anomaly detection and trust prediction, while blockchain offers tamper-proof trust records (Yao et al., 2020).</w:t>
      </w:r>
    </w:p>
    <w:p w14:paraId="4873652A" w14:textId="77777777" w:rsidR="001B41DA" w:rsidRDefault="00000000">
      <w:r>
        <w:rPr>
          <w:rFonts w:ascii="Times New Roman" w:hAnsi="Times New Roman"/>
        </w:rPr>
        <w:t>By adopting integrative strategies that harmonize performance and trust considerations, heterogeneous enterprise networks can achieve resilience, scalability, and security in increasingly dynamic environments.</w:t>
      </w:r>
    </w:p>
    <w:p w14:paraId="0DFCCC0F" w14:textId="77777777" w:rsidR="001B41DA" w:rsidRDefault="00000000">
      <w:pPr>
        <w:pStyle w:val="Heading2"/>
      </w:pPr>
      <w:r>
        <w:t>2.9 Probabilistic Foundations: Trust as Statistical Inference</w:t>
      </w:r>
    </w:p>
    <w:p w14:paraId="362D2016" w14:textId="77777777" w:rsidR="001B41DA" w:rsidRDefault="00000000">
      <w:r>
        <w:rPr>
          <w:rFonts w:ascii="Times New Roman" w:hAnsi="Times New Roman"/>
        </w:rPr>
        <w:t>Why infer trust probabilistically? At the atomic level, network interactions are uncertain. We capture this uncertainty using explicit statistical formulas. This section formalizes trust computation using Bernoulli trials, Binomial distributions, and Bayesian inference.</w:t>
      </w:r>
    </w:p>
    <w:p w14:paraId="7C34AE27" w14:textId="77777777" w:rsidR="001B41DA" w:rsidRDefault="00000000">
      <w:pPr>
        <w:pStyle w:val="Heading3"/>
      </w:pPr>
      <w:r>
        <w:t>2.9.1 The Bernoulli Trial: The Atomic Unit of Interaction</w:t>
      </w:r>
    </w:p>
    <w:p w14:paraId="0C09F6EC" w14:textId="77777777" w:rsidR="001B41DA" w:rsidRDefault="00000000">
      <w:r>
        <w:rPr>
          <w:rFonts w:ascii="Times New Roman" w:hAnsi="Times New Roman"/>
        </w:rPr>
        <w:t>The most straightforward way to estimate the trust of an entity, Tₓ, is to model each interaction as a Bernoulli trial — an experiment with exactly two outcomes: success (Xᵢ = 1), meaning the trustee behaves correctly (e.g., provides valid data, forwards a packet successfully, or fulfills a request); or failure (Xᵢ = 0), meaning the trustee behaves maliciously (e.g., provides false data, drops a packet, or refuses service). The outcome is governed by the trustee's inherent, but unknown, probability of success θ. This value θ ∈ [0, 1] is the very quantity to be estimated — the true, latent trustworthiness of the node.</w:t>
      </w:r>
    </w:p>
    <w:p w14:paraId="75526CCF" w14:textId="77777777" w:rsidR="001B41DA" w:rsidRDefault="00000000">
      <w:pPr>
        <w:jc w:val="center"/>
      </w:pPr>
      <w:r>
        <w:rPr>
          <w:rFonts w:ascii="Times New Roman" w:hAnsi="Times New Roman"/>
          <w:b/>
        </w:rPr>
        <w:t>Equation 2.4: Bernoulli trial for a single trust interaction</w:t>
      </w:r>
    </w:p>
    <w:p w14:paraId="7625406D" w14:textId="77777777" w:rsidR="001B41DA" w:rsidRDefault="00000000">
      <w:pPr>
        <w:pStyle w:val="Heading3"/>
      </w:pPr>
      <w:r>
        <w:t>2.9.2 The Binomial Distribution: The Aggregated History</w:t>
      </w:r>
    </w:p>
    <w:p w14:paraId="0E257FED" w14:textId="77777777" w:rsidR="001B41DA" w:rsidRDefault="00000000">
      <w:r>
        <w:rPr>
          <w:rFonts w:ascii="Times New Roman" w:hAnsi="Times New Roman"/>
        </w:rPr>
        <w:t>A sequence of n independent transactions with a trustee forms a set of n Bernoulli trials. The Binomial distribution Bin(n, θ) models the probability of observing k successes in n independent Bernoulli trials, each with the same probability of success θ. For Sₙ, a random variable representing the total number of successful interactions out of n trials: Sₙ = X₁ + X₂ + ... + Xₙ.</w:t>
      </w:r>
    </w:p>
    <w:p w14:paraId="4FA950FB" w14:textId="77777777" w:rsidR="001B41DA" w:rsidRDefault="00000000">
      <w:pPr>
        <w:jc w:val="center"/>
      </w:pPr>
      <w:r>
        <w:rPr>
          <w:rFonts w:ascii="Times New Roman" w:hAnsi="Times New Roman"/>
          <w:b/>
        </w:rPr>
        <w:t>Equation 2.5: Binomial probability mass function</w:t>
      </w:r>
    </w:p>
    <w:p w14:paraId="2D949BA1" w14:textId="77777777" w:rsidR="001B41DA" w:rsidRDefault="00000000">
      <w:r>
        <w:rPr>
          <w:rFonts w:ascii="Times New Roman" w:hAnsi="Times New Roman"/>
        </w:rPr>
        <w:t>The value k/n as the observed success ratio serves as a natural, albeit naive, point estimate for θ. If r is the number of successful (positive) interactions, s the number of unsuccessful (negative) interactions, and n = r + s is the total number of interactions (trials), the naive trust probability is given by:</w:t>
      </w:r>
    </w:p>
    <w:p w14:paraId="39233F4A" w14:textId="77777777" w:rsidR="001B41DA" w:rsidRDefault="00000000">
      <w:pPr>
        <w:jc w:val="center"/>
      </w:pPr>
      <w:r>
        <w:rPr>
          <w:rFonts w:ascii="Times New Roman" w:hAnsi="Times New Roman"/>
          <w:b/>
        </w:rPr>
        <w:t>Equation 2.6: Naive trust probability estimate</w:t>
      </w:r>
    </w:p>
    <w:p w14:paraId="183FBE85" w14:textId="77777777" w:rsidR="001B41DA" w:rsidRDefault="00000000">
      <w:r>
        <w:rPr>
          <w:rFonts w:ascii="Times New Roman" w:hAnsi="Times New Roman"/>
        </w:rPr>
        <w:lastRenderedPageBreak/>
        <w:t>Modeling dynamic trust as a series of Bernoulli trials culminating in a Binomial likelihood, updated via Bayesian inference with a Beta prior, remains a cornerstone of probabilistic trust management. Its mathematical purity, computational efficiency, and innate ability to quantify uncertainty make it exceptionally valuable for heterogeneous network environments. While the base model has limitations regarding temporal dynamics and context-awareness, it provides a robust and flexible foundation. Contemporary research does not discard this model but rather enhances it through decay mechanisms, weighted evidence, and integration into larger hybrid or AI-driven frameworks. It continues to be a critical component in the toolkit for designing scalable and mathematically sound trust systems for heterogeneous networks.</w:t>
      </w:r>
    </w:p>
    <w:p w14:paraId="607CB67A" w14:textId="77777777" w:rsidR="001B41DA" w:rsidRDefault="00000000">
      <w:r>
        <w:rPr>
          <w:rFonts w:ascii="Times New Roman" w:hAnsi="Times New Roman"/>
          <w:i/>
          <w:color w:val="808080"/>
          <w:sz w:val="20"/>
        </w:rPr>
        <w:t>[NOTE: Show how parameters (Bernoulli) add to facets (add up to Binomial) then add to eventual trust value (nested Binomial).]</w:t>
      </w:r>
    </w:p>
    <w:p w14:paraId="2B714F12" w14:textId="77777777" w:rsidR="001B41DA" w:rsidRDefault="00000000">
      <w:pPr>
        <w:pStyle w:val="Heading2"/>
      </w:pPr>
      <w:r>
        <w:t>2.10 Subjective Logic and Belief Fusion</w:t>
      </w:r>
    </w:p>
    <w:p w14:paraId="34F33CD5" w14:textId="77777777" w:rsidR="001B41DA" w:rsidRDefault="00000000">
      <w:r>
        <w:rPr>
          <w:rFonts w:ascii="Times New Roman" w:hAnsi="Times New Roman"/>
        </w:rPr>
        <w:t>In dynamic and context-aware trust modeling, Subjective Logic and Bayesian inference models enable the aggregation of data from multiple sources to determine the eventual trust score. The choice between cumulative, weighted, and average belief fusion depends on the specific requirements of the environment, including heterogeneity, trust update frequency, the role of context, and how much weight is given to various sources of information.</w:t>
      </w:r>
    </w:p>
    <w:p w14:paraId="7271824E" w14:textId="77777777" w:rsidR="001B41DA" w:rsidRDefault="00000000">
      <w:r>
        <w:rPr>
          <w:rFonts w:ascii="Times New Roman" w:hAnsi="Times New Roman"/>
        </w:rPr>
        <w:t>Subjective Logic (SL), introduced by Audun Jøsang, provides an algebraic framework that explicitly models uncertainty and belief. It extends probabilistic models by representing a trust opinion as a triplet, making it ideal for the sparse and ambiguous evidence often found in dynamic networks. In probabilistic logic, a uniform distribution does not express 'no knowledge' because a uniform distribution says that we know the distribution over the domain is uniform. Subjective logic can distinguish between the situation where the distribution over outcomes is unknown and the situation where the distribution is known and, for example, uniform. In subjective logic, it is also possible to have a situation where some information about the distribution is known and there is some uncertainty.</w:t>
      </w:r>
    </w:p>
    <w:p w14:paraId="07A0DCC1" w14:textId="77777777" w:rsidR="001B41DA" w:rsidRDefault="00000000">
      <w:pPr>
        <w:pStyle w:val="Heading3"/>
      </w:pPr>
      <w:r>
        <w:t>2.10.1 Opinion Triplets</w:t>
      </w:r>
    </w:p>
    <w:p w14:paraId="414199AD" w14:textId="77777777" w:rsidR="001B41DA" w:rsidRDefault="00000000">
      <w:r>
        <w:rPr>
          <w:rFonts w:ascii="Times New Roman" w:hAnsi="Times New Roman"/>
        </w:rPr>
        <w:t>An opinion about a node X is represented as a triplet ωₓ = (b, d, u), where: b (belief) represents the belief that X is trustworthy, d (disbelief) represents the belief that X is untrustworthy, and u (uncertainty) represents the amount of uncommitted belief due to lack of evidence. These components satisfy the constraint: b + d + u = 1. The opinion triplet can be directly derived from observed evidence, where b is the belief value represented as a ratio of positive attempts, d the disbelief value represented as a ratio of unsuccessful values, and u the uncertainty value derived as a ratio of C (the base rate representing the weight of prior uncertainty). A large C indicates a more conservative model that requires more evidence to reduce uncertainty.</w:t>
      </w:r>
    </w:p>
    <w:p w14:paraId="0CB15938" w14:textId="77777777" w:rsidR="001B41DA" w:rsidRDefault="00000000">
      <w:pPr>
        <w:pStyle w:val="Heading3"/>
      </w:pPr>
      <w:r>
        <w:t>2.10.2 Cumulative Belief Fusion</w:t>
      </w:r>
    </w:p>
    <w:p w14:paraId="0AB864E1" w14:textId="77777777" w:rsidR="001B41DA" w:rsidRDefault="00000000">
      <w:r>
        <w:rPr>
          <w:rFonts w:ascii="Times New Roman" w:hAnsi="Times New Roman"/>
        </w:rPr>
        <w:t xml:space="preserve">Cumulative belief fusion aggregates all pieces of trust evidence from past interactions over time to form a single, overall trust belief in an entity's trustworthiness. It continuously updates the trust score based on all available historical evidence without discarding any previous interactions. Unlike other methods, cumulative belief fusion treats all trust-related interactions as equally valuable. This ensures consistency in assessment and reassessment of trust and works well with </w:t>
      </w:r>
      <w:r>
        <w:rPr>
          <w:rFonts w:ascii="Times New Roman" w:hAnsi="Times New Roman"/>
        </w:rPr>
        <w:lastRenderedPageBreak/>
        <w:t>environments that have very long-term interactions between users and devices, applications, and networks. However, it may introduce skewness due to the cumulative approach giving too much weight to old interactions that are no longer relevant in a dynamic system. It is also very rigid when dealing with rapidly changing environments where more recent actions are more indicative of expected behavior.</w:t>
      </w:r>
    </w:p>
    <w:p w14:paraId="5F02D3AB" w14:textId="77777777" w:rsidR="001B41DA" w:rsidRDefault="00000000">
      <w:pPr>
        <w:pStyle w:val="Heading3"/>
      </w:pPr>
      <w:r>
        <w:t>2.10.3 Average Belief Fusion</w:t>
      </w:r>
    </w:p>
    <w:p w14:paraId="0A7F2F5A" w14:textId="77777777" w:rsidR="001B41DA" w:rsidRDefault="00000000">
      <w:r>
        <w:rPr>
          <w:rFonts w:ascii="Times New Roman" w:hAnsi="Times New Roman"/>
        </w:rPr>
        <w:t>Average belief fusion computes the average of all trust evaluations, treating all interactions equally. This provides a simplistic yet balanced approach to trust evaluation, avoiding giving too much importance to outliers or contextual factors. While it generally provides a straightforward view of trust scores, it ignores temporal relevance common in dynamic environments and lacks context sensitivity. It is thus suitable for relatively stable environments where all pieces of trust information are equally reliable and relevant.</w:t>
      </w:r>
    </w:p>
    <w:p w14:paraId="4C483635" w14:textId="77777777" w:rsidR="001B41DA" w:rsidRDefault="00000000">
      <w:pPr>
        <w:pStyle w:val="Heading3"/>
      </w:pPr>
      <w:r>
        <w:t>2.10.4 Weighted Belief Fusion</w:t>
      </w:r>
    </w:p>
    <w:p w14:paraId="09547709" w14:textId="77777777" w:rsidR="001B41DA" w:rsidRDefault="00000000">
      <w:r>
        <w:rPr>
          <w:rFonts w:ascii="Times New Roman" w:hAnsi="Times New Roman"/>
        </w:rPr>
        <w:t>Weighted belief fusion assigns different weights to different pieces of trust evidence based on their importance, recency, or reliability. More recent or contextually relevant interactions may be weighted more heavily. This makes the fusion model more adaptable and customizable to contexts, prioritizing recent interactions or those more relevant to the current context. The weightings can be adjusted based on context, ensuring trust is modelled in line with situational importance. Expert opinions and dynamic policies can also be incorporated. However, determining appropriate weights requires careful tuning, especially in environments with diverse and evolving contexts — if not calibrated well, the system may overreact to anomalies or temporary changes in behavior. This fusion model is most appropriate for environments that are dynamic, where recent interactions or specific context-based information are more valuable in determining trustworthiness.</w:t>
      </w:r>
    </w:p>
    <w:p w14:paraId="08673757" w14:textId="77777777" w:rsidR="001B41DA" w:rsidRDefault="00000000">
      <w:pPr>
        <w:pStyle w:val="Heading2"/>
      </w:pPr>
      <w:r>
        <w:t>2.11 Deterministic versus Probabilistic Trust Approaches</w:t>
      </w:r>
    </w:p>
    <w:p w14:paraId="7AC2B861" w14:textId="77777777" w:rsidR="001B41DA" w:rsidRDefault="00000000">
      <w:pPr>
        <w:pStyle w:val="Heading3"/>
      </w:pPr>
      <w:r>
        <w:t>2.11.1 Deterministic Trust Models</w:t>
      </w:r>
    </w:p>
    <w:p w14:paraId="1B284EC9" w14:textId="77777777" w:rsidR="001B41DA" w:rsidRDefault="00000000">
      <w:r>
        <w:rPr>
          <w:rFonts w:ascii="Times New Roman" w:hAnsi="Times New Roman"/>
        </w:rPr>
        <w:t>Deterministic trust models assign a static, binary, or categorical value to trust. A node is either 'trusted' (1) or 'untrusted' (0), or perhaps classified into a fixed set of levels such as Low, Medium, and High. This approach is simple and computationally inexpensive, making it prevalent in early access control systems like Access Control Lists (ACLs). However, it is structurally rigid and cannot represent uncertainty, incorporate new evidence fluidly, or model the gradual erosion or improvement of trust. It is inherently unsuitable for heterogeneous environments due to trust uncertainty and highly volatile contexts.</w:t>
      </w:r>
    </w:p>
    <w:p w14:paraId="74633E12" w14:textId="77777777" w:rsidR="001B41DA" w:rsidRDefault="00000000">
      <w:r>
        <w:rPr>
          <w:rFonts w:ascii="Times New Roman" w:hAnsi="Times New Roman"/>
        </w:rPr>
        <w:t>Some approaches to deterministic trust calculation include:</w:t>
      </w:r>
    </w:p>
    <w:p w14:paraId="1E513C91" w14:textId="77777777" w:rsidR="001B41DA" w:rsidRDefault="00000000">
      <w:pPr>
        <w:pStyle w:val="ListBullet"/>
      </w:pPr>
      <w:r>
        <w:rPr>
          <w:rFonts w:ascii="Times New Roman" w:hAnsi="Times New Roman"/>
        </w:rPr>
        <w:t>Threshold Models: Trust is assigned if a node meets predefined criteria (e.g., successful interactions &gt; threshold%).</w:t>
      </w:r>
    </w:p>
    <w:p w14:paraId="2D8D3C40" w14:textId="77777777" w:rsidR="001B41DA" w:rsidRDefault="00000000">
      <w:pPr>
        <w:pStyle w:val="ListBullet"/>
      </w:pPr>
      <w:r>
        <w:rPr>
          <w:rFonts w:ascii="Times New Roman" w:hAnsi="Times New Roman"/>
        </w:rPr>
        <w:t>Weighted Scoring: Nodes accumulate trust points based on actions, and trust is assigned when a threshold is crossed.</w:t>
      </w:r>
    </w:p>
    <w:p w14:paraId="1E4D3839" w14:textId="77777777" w:rsidR="001B41DA" w:rsidRDefault="00000000">
      <w:pPr>
        <w:pStyle w:val="ListBullet"/>
      </w:pPr>
      <w:r>
        <w:rPr>
          <w:rFonts w:ascii="Times New Roman" w:hAnsi="Times New Roman"/>
        </w:rPr>
        <w:lastRenderedPageBreak/>
        <w:t>Direct Observation: Trust is computed directly from observed behavior without probabilistic inference.</w:t>
      </w:r>
    </w:p>
    <w:p w14:paraId="13729570" w14:textId="77777777" w:rsidR="001B41DA" w:rsidRDefault="00000000">
      <w:r>
        <w:rPr>
          <w:rFonts w:ascii="Times New Roman" w:hAnsi="Times New Roman"/>
        </w:rPr>
        <w:t>Deterministic algorithms and models are highly effective in environments that require instant trust decisions for new entities based on credentials such as digital certificates, hardware-based attestation, and transparency based on clear, auditable rules. Furthermore, they are more immune to attacks that manipulate interaction history. Their lack of adaptability, context awareness, and reliance on a preexisting PKI or central policy verifying authority leave them severely lacking in heterogeneous environments (Nyangaresi et al., 2022).</w:t>
      </w:r>
    </w:p>
    <w:p w14:paraId="2DDB9C0A" w14:textId="77777777" w:rsidR="001B41DA" w:rsidRDefault="00000000">
      <w:pPr>
        <w:pStyle w:val="Heading3"/>
      </w:pPr>
      <w:r>
        <w:t>2.11.2 Probabilistic Trust Models</w:t>
      </w:r>
    </w:p>
    <w:p w14:paraId="5CFE07DE" w14:textId="77777777" w:rsidR="001B41DA" w:rsidRDefault="00000000">
      <w:r>
        <w:rPr>
          <w:rFonts w:ascii="Times New Roman" w:hAnsi="Times New Roman"/>
        </w:rPr>
        <w:t>Probabilistic models address the limitations of determinism by treating trust as a continuous value — typically a probability — representing the expectation that a node will perform a specific action reliably. Trust value Tₓ ranges from 0.0 (complete distrust) to 1.0 (complete trust), with the core idea: Tₓ ≈ E[X] = P(X behaves reliably).</w:t>
      </w:r>
    </w:p>
    <w:p w14:paraId="1880C07E" w14:textId="77777777" w:rsidR="001B41DA" w:rsidRDefault="00000000">
      <w:r>
        <w:rPr>
          <w:rFonts w:ascii="Times New Roman" w:hAnsi="Times New Roman"/>
        </w:rPr>
        <w:t>Key characteristics include: trust values are represented as probabilities based on previous transactions, interactions, and indirect recommendations where trust transmission occurs; trust is recalculated dynamically as new evidence and interactions arrive, relying on feedback loops for improvements; and these feedback loops make probabilistic models better at handling noise, partial data, and inconsistencies in network metadata.</w:t>
      </w:r>
    </w:p>
    <w:p w14:paraId="1E656A62" w14:textId="77777777" w:rsidR="001B41DA" w:rsidRDefault="00000000">
      <w:r>
        <w:rPr>
          <w:rFonts w:ascii="Times New Roman" w:hAnsi="Times New Roman"/>
        </w:rPr>
        <w:t>Approaches for dynamicity in probabilistic trust calculation include Bayesian Networks, which achieve dynamicity through iterative updates using Bayes' theorem based on prior knowledge and new observations; Markov and Hidden Markov Chains, where trust values are incremented or decremented based on transitions between states over time with probabilities dictating the likelihood of moving from one trust level to another; and Gaussian and Continuous Distributions, where continuous trust values (x ∈ (0,1)) can be modeled using distributions like the Continuous Bernoulli for probabilistic fusion of trust from various sources.</w:t>
      </w:r>
    </w:p>
    <w:p w14:paraId="33AEE574" w14:textId="77777777" w:rsidR="001B41DA" w:rsidRDefault="00000000">
      <w:pPr>
        <w:pStyle w:val="Heading3"/>
      </w:pPr>
      <w:r>
        <w:t>2.11.3 Hybrid Models (Probabilistic + Deterministic)</w:t>
      </w:r>
    </w:p>
    <w:p w14:paraId="57A5614A" w14:textId="77777777" w:rsidR="001B41DA" w:rsidRDefault="00000000">
      <w:r>
        <w:rPr>
          <w:rFonts w:ascii="Times New Roman" w:hAnsi="Times New Roman"/>
        </w:rPr>
        <w:t>The escalating complexity and adversarial sophistication inherent in heterogeneous networks have exposed the limitations of monolithic trust management architectures. Pure probabilistic models such as Bayesian and EigenTrust excel at leveraging historical interaction data to infer future behavior but often lack context-awareness and can be slow to react to novel attacks. Conversely, pure deterministic models such as rule-based systems and policy-driven access control provide immediate, verifiable decisions based on predefined criteria but are inherently rigid and cannot adapt to evolving node behavior or subtle malfunctions.</w:t>
      </w:r>
    </w:p>
    <w:p w14:paraId="7E923F07" w14:textId="77777777" w:rsidR="001B41DA" w:rsidRDefault="00000000">
      <w:r>
        <w:rPr>
          <w:rFonts w:ascii="Times New Roman" w:hAnsi="Times New Roman"/>
        </w:rPr>
        <w:t>The integration of these paradigms into Hybrid Trust Models represents a significant evolutionary step. This fusion creates systems where the adaptive, learning capabilities of probabilistic methods are guided and enhanced by the structured, verifiable logic of deterministic frameworks. The core thesis is that such a hybrid approach mitigates the weaknesses of each constituent model, yielding a trust management system that is simultaneously adaptive, robust, explainable, and context-aware.</w:t>
      </w:r>
    </w:p>
    <w:p w14:paraId="4B88E601" w14:textId="77777777" w:rsidR="001B41DA" w:rsidRDefault="00000000">
      <w:r>
        <w:rPr>
          <w:rFonts w:ascii="Times New Roman" w:hAnsi="Times New Roman"/>
        </w:rPr>
        <w:lastRenderedPageBreak/>
        <w:t>Two principal hybrid architectures may be utilized:</w:t>
      </w:r>
    </w:p>
    <w:p w14:paraId="5DEC94F2" w14:textId="77777777" w:rsidR="001B41DA" w:rsidRDefault="00000000">
      <w:pPr>
        <w:pStyle w:val="Heading4"/>
      </w:pPr>
      <w:r>
        <w:t>Deterministic Core with Probabilistic Updates</w:t>
      </w:r>
    </w:p>
    <w:p w14:paraId="581AE6EC" w14:textId="77777777" w:rsidR="001B41DA" w:rsidRDefault="00000000">
      <w:r>
        <w:rPr>
          <w:rFonts w:ascii="Times New Roman" w:hAnsi="Times New Roman"/>
        </w:rPr>
        <w:t>This is a common bootstrapping architecture designed to solve the cold-start problem where the initial trust value is difficult to determine for a new device. In its initial phase, trust is derived deterministically from credentials such as a manufacturer-issued certificate, a hardware-rooted identity, or a device type/role. This provides a secure and justified starting point. Once the node begins interacting, a probabilistic engine (such as a Bayesian updater or temporal trust decay) takes over and continuously monitors the node's activities, dynamically adjusting the initial trust score upwards or downwards (Nyangaresi et al., 2022).</w:t>
      </w:r>
    </w:p>
    <w:p w14:paraId="1B19D1DD" w14:textId="77777777" w:rsidR="001B41DA" w:rsidRDefault="00000000">
      <w:pPr>
        <w:pStyle w:val="Heading4"/>
      </w:pPr>
      <w:r>
        <w:t>Probabilistic Core with Deterministic Guardrails</w:t>
      </w:r>
    </w:p>
    <w:p w14:paraId="4894D4DD" w14:textId="77777777" w:rsidR="001B41DA" w:rsidRDefault="00000000">
      <w:r>
        <w:rPr>
          <w:rFonts w:ascii="Times New Roman" w:hAnsi="Times New Roman"/>
        </w:rPr>
        <w:t>In this constraint-based architecture, the primary trust value is generated probabilistically, but deterministic rules act as overriding constraints or context modifiers. A Bayesian network or fuzzy logic system computes a continuous trust value based on interaction history, and a policy engine applies deterministic rules that can cap, floor, or invalidate the probabilistic score based on context and dynamicity within a heterogeneous network. Critical and non-negotiable values such as certificate validity, lack of MFA, or untrusted devices automatically invalidate the trust level regardless of the threshold (Alshehri &amp; Hussain, 2021).</w:t>
      </w:r>
    </w:p>
    <w:p w14:paraId="10B70A5D" w14:textId="77777777" w:rsidR="001B41DA" w:rsidRDefault="00000000">
      <w:pPr>
        <w:pStyle w:val="Heading4"/>
      </w:pPr>
      <w:r>
        <w:t>Hierarchical Fusion Architecture</w:t>
      </w:r>
    </w:p>
    <w:p w14:paraId="591550B9" w14:textId="77777777" w:rsidR="001B41DA" w:rsidRDefault="00000000">
      <w:r>
        <w:rPr>
          <w:rFonts w:ascii="Times New Roman" w:hAnsi="Times New Roman"/>
        </w:rPr>
        <w:t>This architecture treats trust as a modular concept that can be evaluated in different paradigms. Trust is broken down into multiple dimensions, each calculated using the most appropriate method, and then fused into a final composite score. For example, Identity Trust for user credentials can be calculated deterministically while behavioral trust is calculated probabilistically based on transaction history. A weighted fusion function dynamically combines these dimension scores (Wang et al., 2023).</w:t>
      </w:r>
    </w:p>
    <w:p w14:paraId="21C6B93A" w14:textId="77777777" w:rsidR="001B41DA" w:rsidRDefault="00000000">
      <w:r>
        <w:rPr>
          <w:rFonts w:ascii="Times New Roman" w:hAnsi="Times New Roman"/>
        </w:rPr>
        <w:t>While hybrid approaches are more complex and challenging to implement — requiring optimal fusion strategies, managing increased computational overhead, and addressing explainability concerns — they represent a sophisticated and necessary advancement for securing complex, modern networks. By synergistically combining the adaptive intelligence of probability with the rigid security of determinism, these models overcome the fundamental limitations of their pure-form counterparts.</w:t>
      </w:r>
    </w:p>
    <w:p w14:paraId="5FBCAEC0" w14:textId="77777777" w:rsidR="001B41DA" w:rsidRDefault="00000000">
      <w:pPr>
        <w:pStyle w:val="Heading2"/>
      </w:pPr>
      <w:r>
        <w:t>2.12 Chapter Summary</w:t>
      </w:r>
    </w:p>
    <w:p w14:paraId="6488DCEE" w14:textId="77777777" w:rsidR="001B41DA" w:rsidRDefault="00000000">
      <w:r>
        <w:rPr>
          <w:rFonts w:ascii="Times New Roman" w:hAnsi="Times New Roman"/>
        </w:rPr>
        <w:t xml:space="preserve">This chapter has established trust as a computational problem requiring mathematical formalization. Starting from foundational security principles, it demonstrated why heterogeneous enterprise networks demand dynamic, context-aware access control mechanisms. The chapter formalized trust computation through three core equations (Equations 2.1–2.3) and established the probabilistic foundations (Bernoulli trials, Binomial distributions) that enable rigorous, evidence-based trust estimation. Subjective Logic and its three fusion mechanisms (cumulative, average, and weighted) were introduced as frameworks for aggregating multi-source evidence under uncertainty. Finally, the chapter contrasted deterministic, probabilistic, and hybrid trust architectures, concluding that a hybrid approach — combining the cold-start resilience of </w:t>
      </w:r>
      <w:r>
        <w:rPr>
          <w:rFonts w:ascii="Times New Roman" w:hAnsi="Times New Roman"/>
        </w:rPr>
        <w:lastRenderedPageBreak/>
        <w:t>deterministic models with the adaptive fluidity of probabilistic methods — is necessary for trustworthy operation in heterogeneous enterprise environments.</w:t>
      </w:r>
    </w:p>
    <w:p w14:paraId="719086DA" w14:textId="77777777" w:rsidR="001B41DA" w:rsidRDefault="00000000">
      <w:r>
        <w:rPr>
          <w:rFonts w:ascii="Times New Roman" w:hAnsi="Times New Roman"/>
        </w:rPr>
        <w:t>We now have a mathematical language for describing trust. But why don't current security architectures use it? Part II investigates the limitations of existing Zero Trust frameworks.</w:t>
      </w:r>
    </w:p>
    <w:sectPr w:rsidR="001B41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797032">
    <w:abstractNumId w:val="8"/>
  </w:num>
  <w:num w:numId="2" w16cid:durableId="1054768966">
    <w:abstractNumId w:val="6"/>
  </w:num>
  <w:num w:numId="3" w16cid:durableId="1239091243">
    <w:abstractNumId w:val="5"/>
  </w:num>
  <w:num w:numId="4" w16cid:durableId="1668902072">
    <w:abstractNumId w:val="4"/>
  </w:num>
  <w:num w:numId="5" w16cid:durableId="995231958">
    <w:abstractNumId w:val="7"/>
  </w:num>
  <w:num w:numId="6" w16cid:durableId="1486971847">
    <w:abstractNumId w:val="3"/>
  </w:num>
  <w:num w:numId="7" w16cid:durableId="13267336">
    <w:abstractNumId w:val="2"/>
  </w:num>
  <w:num w:numId="8" w16cid:durableId="1581332975">
    <w:abstractNumId w:val="1"/>
  </w:num>
  <w:num w:numId="9" w16cid:durableId="118242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EE5"/>
    <w:rsid w:val="001B41DA"/>
    <w:rsid w:val="0029639D"/>
    <w:rsid w:val="00326F90"/>
    <w:rsid w:val="007A19A2"/>
    <w:rsid w:val="00AA1D8D"/>
    <w:rsid w:val="00B47730"/>
    <w:rsid w:val="00B65C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A5E9C"/>
  <w14:defaultImageDpi w14:val="300"/>
  <w15:docId w15:val="{C8DF892B-4F83-724B-B520-6A5681FF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7298</Words>
  <Characters>41601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Tiberius  Tabulu</cp:lastModifiedBy>
  <cp:revision>1</cp:revision>
  <dcterms:created xsi:type="dcterms:W3CDTF">2013-12-23T23:15:00Z</dcterms:created>
  <dcterms:modified xsi:type="dcterms:W3CDTF">2026-03-05T15:48:00Z</dcterms:modified>
  <cp:category/>
</cp:coreProperties>
</file>